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6"/>
        <w:gridCol w:w="3271"/>
        <w:gridCol w:w="1865"/>
        <w:gridCol w:w="2771"/>
        <w:gridCol w:w="258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Prior screening history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Screened for TB symptoms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TB symptoms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TB yield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Started TB treatment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time screening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84,677 (43.7%)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2,489 (2.9%)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 (131.1 per 100,000)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 (80.2%)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Screened once before in the same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55,616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1,264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(102.5 per 100,000)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(77.2%)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Screened twice before in the same zone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53,651 (27.7%)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1,530 (2.9%)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(85.7 per 100,000)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(82.6%)</w:t>
            </w:r>
          </w:p>
        </w:tc>
      </w:tr>
    </w:tbl>
    <w:sectPr w:officer="true">
      <w:pgSz w:h="11906" w:w="16838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2026-10-09T18:56:06Z</dcterms:modified>
  <cp:category/>
</cp:coreProperties>
</file>