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Μεθοδολογικός έλεγχος της διπλωματικής εργασίας</w:t>
      </w:r>
    </w:p>
    <w:p>
      <w:pPr>
        <w:pStyle w:val="Subtitle"/>
      </w:pPr>
      <w:r>
        <w:t xml:space="preserve">Repository AgenticAI_thesis · Επίσημο run agentic_20260805T090249Z · 17 Οκτωβρίου 2026</w:t>
      </w:r>
    </w:p>
    <w:p>
      <w:pPr>
        <w:pStyle w:val="Heading1"/>
      </w:pPr>
      <w:r>
        <w:t xml:space="preserve">1. Σκοπός και εύρος</w:t>
      </w:r>
    </w:p>
    <w:p>
      <w:pPr>
        <w:pStyle w:val="Normal"/>
      </w:pPr>
      <w:r>
        <w:t xml:space="preserve">Το έγγραφο καταγράφει έναν ανεξάρτητο μεθοδολογικό έλεγχο του πειράματος της εργασίας. Ελέγχθηκαν τα docs/ARCHITECTURE.md και docs/REPOSITORY_DEEP_DIVE_GR.md, ο κώδικας που παράγει τα επίσημα αποτελέσματα (experiments/run_agentic.py και τα modules των πακέτων data, quality, modeling και agentic) και τα checked-in artifacts (fold results, paired tests, test dataset results, plan-1.json).</w:t>
      </w:r>
    </w:p>
    <w:p>
      <w:pPr>
        <w:pStyle w:val="Normal"/>
      </w:pPr>
      <w:r>
        <w:t xml:space="preserve">Το ερώτημα δεν είναι αν ο κώδικας είναι καλογραμμένος, γιατί είναι. Το ερώτημα είναι αν ο πειραματικός σχεδιασμός στηρίζει τα δύο ερευνητικά ερωτήματα: (RQ1) αν η Agentic προεπεξεργασία βελτιώνει την προβλεπτική απόδοση έναντι της συμβατικής ροής, και (RQ2) αν το πρόσθετο κόστος δικαιολογείται.</w:t>
      </w:r>
    </w:p>
    <w:p>
      <w:pPr>
        <w:pStyle w:val="Normal"/>
      </w:pPr>
      <w:r>
        <w:t xml:space="preserve">Τα ευρήματα χωρίζονται σε κρίσιμα, που επηρεάζουν άμεσα την εγκυρότητα των κεντρικών συμπερασμάτων, και σημαντικά, που περιορίζουν την ερμηνεία ή τη γενίκευση χωρίς να την ακυρώνουν.</w:t>
      </w:r>
    </w:p>
    <w:p>
      <w:pPr>
        <w:pStyle w:val="Heading1"/>
      </w:pPr>
      <w:r>
        <w:t xml:space="preserve">2. Σύνοψη ευρημάτων</w:t>
      </w:r>
    </w:p>
    <w:tbl>
      <w:tblPr>
        <w:tblW w:w="9026"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Pr>
      <w:tblGrid>
        <w:gridCol w:w="328"/>
        <w:gridCol w:w="4923"/>
        <w:gridCol w:w="2133"/>
        <w:gridCol w:w="1642"/>
      </w:tblGrid>
      <w:tr>
        <w:trPr>
          <w:tblHeader/>
        </w:trPr>
        <w:tc>
          <w:tcPr>
            <w:tcW w:w="328" w:type="dxa"/>
            <w:shd w:val="clear" w:color="auto" w:fill="1F3864"/>
          </w:tcPr>
          <w:p>
            <w:pPr>
              <w:pStyle w:val="TableText"/>
            </w:pPr>
            <w:r>
              <w:rPr>
                <w:b/>
                <w:color w:val="FFFFFF"/>
              </w:rPr>
              <w:t xml:space="preserve">#</w:t>
            </w:r>
          </w:p>
        </w:tc>
        <w:tc>
          <w:tcPr>
            <w:tcW w:w="4923" w:type="dxa"/>
            <w:shd w:val="clear" w:color="auto" w:fill="1F3864"/>
          </w:tcPr>
          <w:p>
            <w:pPr>
              <w:pStyle w:val="TableText"/>
            </w:pPr>
            <w:r>
              <w:rPr>
                <w:b/>
                <w:color w:val="FFFFFF"/>
              </w:rPr>
              <w:t xml:space="preserve">Εύρημα</w:t>
            </w:r>
          </w:p>
        </w:tc>
        <w:tc>
          <w:tcPr>
            <w:tcW w:w="2133" w:type="dxa"/>
            <w:shd w:val="clear" w:color="auto" w:fill="1F3864"/>
          </w:tcPr>
          <w:p>
            <w:pPr>
              <w:pStyle w:val="TableText"/>
            </w:pPr>
            <w:r>
              <w:rPr>
                <w:b/>
                <w:color w:val="FFFFFF"/>
              </w:rPr>
              <w:t xml:space="preserve">Σοβαρότητα</w:t>
            </w:r>
          </w:p>
        </w:tc>
        <w:tc>
          <w:tcPr>
            <w:tcW w:w="1642" w:type="dxa"/>
            <w:shd w:val="clear" w:color="auto" w:fill="1F3864"/>
          </w:tcPr>
          <w:p>
            <w:pPr>
              <w:pStyle w:val="TableText"/>
            </w:pPr>
            <w:r>
              <w:rPr>
                <w:b/>
                <w:color w:val="FFFFFF"/>
              </w:rPr>
              <w:t xml:space="preserve">Επηρεάζει</w:t>
            </w:r>
          </w:p>
        </w:tc>
      </w:tr>
      <w:tr>
        <w:tc>
          <w:tcPr>
            <w:tcW w:w="328" w:type="dxa"/>
          </w:tcPr>
          <w:p>
            <w:pPr>
              <w:pStyle w:val="TableText"/>
            </w:pPr>
            <w:r>
              <w:t xml:space="preserve">1</w:t>
            </w:r>
          </w:p>
        </w:tc>
        <w:tc>
          <w:tcPr>
            <w:tcW w:w="4923" w:type="dxa"/>
          </w:tcPr>
          <w:p>
            <w:pPr>
              <w:pStyle w:val="TableText"/>
            </w:pPr>
            <w:r>
              <w:t xml:space="preserve">Η αλλοίωση δεν αφαιρεί ουσιαστική πληροφορία, επειδή τα derived features μένουν ανέπαφα</w:t>
            </w:r>
          </w:p>
        </w:tc>
        <w:tc>
          <w:tcPr>
            <w:tcW w:w="2133" w:type="dxa"/>
          </w:tcPr>
          <w:p>
            <w:pPr>
              <w:pStyle w:val="TableText"/>
            </w:pPr>
            <w:r>
              <w:rPr>
                <w:b/>
                <w:color w:val="C00000"/>
              </w:rPr>
              <w:t xml:space="preserve">Κρίσιμο</w:t>
            </w:r>
          </w:p>
        </w:tc>
        <w:tc>
          <w:tcPr>
            <w:tcW w:w="1642" w:type="dxa"/>
          </w:tcPr>
          <w:p>
            <w:pPr>
              <w:pStyle w:val="TableText"/>
            </w:pPr>
            <w:r>
              <w:t xml:space="preserve">RQ1</w:t>
            </w:r>
          </w:p>
        </w:tc>
      </w:tr>
      <w:tr>
        <w:tc>
          <w:tcPr>
            <w:tcW w:w="328" w:type="dxa"/>
            <w:shd w:val="clear" w:color="auto" w:fill="F2F5FA"/>
          </w:tcPr>
          <w:p>
            <w:pPr>
              <w:pStyle w:val="TableText"/>
            </w:pPr>
            <w:r>
              <w:t xml:space="preserve">2</w:t>
            </w:r>
          </w:p>
        </w:tc>
        <w:tc>
          <w:tcPr>
            <w:tcW w:w="4923" w:type="dxa"/>
            <w:shd w:val="clear" w:color="auto" w:fill="F2F5FA"/>
          </w:tcPr>
          <w:p>
            <w:pPr>
              <w:pStyle w:val="TableText"/>
            </w:pPr>
            <w:r>
              <w:t xml:space="preserve">Η Agentic Logistic Regression χάνει το scaling· αυτό παράγει την αύξηση PR-AUC και το runtime ×1,667</w:t>
            </w:r>
          </w:p>
        </w:tc>
        <w:tc>
          <w:tcPr>
            <w:tcW w:w="2133" w:type="dxa"/>
            <w:shd w:val="clear" w:color="auto" w:fill="F2F5FA"/>
          </w:tcPr>
          <w:p>
            <w:pPr>
              <w:pStyle w:val="TableText"/>
            </w:pPr>
            <w:r>
              <w:rPr>
                <w:b/>
                <w:color w:val="C00000"/>
              </w:rPr>
              <w:t xml:space="preserve">Κρίσιμο</w:t>
            </w:r>
          </w:p>
        </w:tc>
        <w:tc>
          <w:tcPr>
            <w:tcW w:w="1642" w:type="dxa"/>
            <w:shd w:val="clear" w:color="auto" w:fill="F2F5FA"/>
          </w:tcPr>
          <w:p>
            <w:pPr>
              <w:pStyle w:val="TableText"/>
            </w:pPr>
            <w:r>
              <w:t xml:space="preserve">RQ1, RQ2</w:t>
            </w:r>
          </w:p>
        </w:tc>
      </w:tr>
      <w:tr>
        <w:tc>
          <w:tcPr>
            <w:tcW w:w="328" w:type="dxa"/>
          </w:tcPr>
          <w:p>
            <w:pPr>
              <w:pStyle w:val="TableText"/>
            </w:pPr>
            <w:r>
              <w:t xml:space="preserve">3</w:t>
            </w:r>
          </w:p>
        </w:tc>
        <w:tc>
          <w:tcPr>
            <w:tcW w:w="4923" w:type="dxa"/>
          </w:tcPr>
          <w:p>
            <w:pPr>
              <w:pStyle w:val="TableText"/>
            </w:pPr>
            <w:r>
              <w:t xml:space="preserve">Ο κανόνας αποδοχής είναι κυκλικός και λείπουν κατάλληλα baselines</w:t>
            </w:r>
          </w:p>
        </w:tc>
        <w:tc>
          <w:tcPr>
            <w:tcW w:w="2133" w:type="dxa"/>
          </w:tcPr>
          <w:p>
            <w:pPr>
              <w:pStyle w:val="TableText"/>
            </w:pPr>
            <w:r>
              <w:rPr>
                <w:b/>
                <w:color w:val="C00000"/>
              </w:rPr>
              <w:t xml:space="preserve">Κρίσιμο</w:t>
            </w:r>
          </w:p>
        </w:tc>
        <w:tc>
          <w:tcPr>
            <w:tcW w:w="1642" w:type="dxa"/>
          </w:tcPr>
          <w:p>
            <w:pPr>
              <w:pStyle w:val="TableText"/>
            </w:pPr>
            <w:r>
              <w:t xml:space="preserve">RQ1</w:t>
            </w:r>
          </w:p>
        </w:tc>
      </w:tr>
      <w:tr>
        <w:tc>
          <w:tcPr>
            <w:tcW w:w="328" w:type="dxa"/>
            <w:shd w:val="clear" w:color="auto" w:fill="F2F5FA"/>
          </w:tcPr>
          <w:p>
            <w:pPr>
              <w:pStyle w:val="TableText"/>
            </w:pPr>
            <w:r>
              <w:t xml:space="preserve">4</w:t>
            </w:r>
          </w:p>
        </w:tc>
        <w:tc>
          <w:tcPr>
            <w:tcW w:w="4923" w:type="dxa"/>
            <w:shd w:val="clear" w:color="auto" w:fill="F2F5FA"/>
          </w:tcPr>
          <w:p>
            <w:pPr>
              <w:pStyle w:val="TableText"/>
            </w:pPr>
            <w:r>
              <w:t xml:space="preserve">Το test set πιθανότατα άνοιξε σε exploratory run πριν αλλάξει ο σχεδιασμός</w:t>
            </w:r>
          </w:p>
        </w:tc>
        <w:tc>
          <w:tcPr>
            <w:tcW w:w="2133" w:type="dxa"/>
            <w:shd w:val="clear" w:color="auto" w:fill="F2F5FA"/>
          </w:tcPr>
          <w:p>
            <w:pPr>
              <w:pStyle w:val="TableText"/>
            </w:pPr>
            <w:r>
              <w:rPr>
                <w:b/>
                <w:color w:val="C00000"/>
              </w:rPr>
              <w:t xml:space="preserve">Κρίσιμο (προς επιβεβαίωση)</w:t>
            </w:r>
          </w:p>
        </w:tc>
        <w:tc>
          <w:tcPr>
            <w:tcW w:w="1642" w:type="dxa"/>
            <w:shd w:val="clear" w:color="auto" w:fill="F2F5FA"/>
          </w:tcPr>
          <w:p>
            <w:pPr>
              <w:pStyle w:val="TableText"/>
            </w:pPr>
            <w:r>
              <w:t xml:space="preserve">RQ1</w:t>
            </w:r>
          </w:p>
        </w:tc>
      </w:tr>
      <w:tr>
        <w:tc>
          <w:tcPr>
            <w:tcW w:w="328" w:type="dxa"/>
          </w:tcPr>
          <w:p>
            <w:pPr>
              <w:pStyle w:val="TableText"/>
            </w:pPr>
            <w:r>
              <w:t xml:space="preserve">5</w:t>
            </w:r>
          </w:p>
        </w:tc>
        <w:tc>
          <w:tcPr>
            <w:tcW w:w="4923" w:type="dxa"/>
          </w:tcPr>
          <w:p>
            <w:pPr>
              <w:pStyle w:val="TableText"/>
            </w:pPr>
            <w:r>
              <w:t xml:space="preserve">Η imputation δημιουργεί cross-column ασυνέπειες που το quality score δεν βλέπει</w:t>
            </w:r>
          </w:p>
        </w:tc>
        <w:tc>
          <w:tcPr>
            <w:tcW w:w="2133" w:type="dxa"/>
          </w:tcPr>
          <w:p>
            <w:pPr>
              <w:pStyle w:val="TableText"/>
            </w:pPr>
            <w:r>
              <w:rPr>
                <w:b/>
                <w:color w:val="C55A11"/>
              </w:rPr>
              <w:t xml:space="preserve">Σημαντικό</w:t>
            </w:r>
          </w:p>
        </w:tc>
        <w:tc>
          <w:tcPr>
            <w:tcW w:w="1642" w:type="dxa"/>
          </w:tcPr>
          <w:p>
            <w:pPr>
              <w:pStyle w:val="TableText"/>
            </w:pPr>
            <w:r>
              <w:t xml:space="preserve">Ισχυρισμός ποιότητας</w:t>
            </w:r>
          </w:p>
        </w:tc>
      </w:tr>
      <w:tr>
        <w:tc>
          <w:tcPr>
            <w:tcW w:w="328" w:type="dxa"/>
            <w:shd w:val="clear" w:color="auto" w:fill="F2F5FA"/>
          </w:tcPr>
          <w:p>
            <w:pPr>
              <w:pStyle w:val="TableText"/>
            </w:pPr>
            <w:r>
              <w:t xml:space="preserve">6</w:t>
            </w:r>
          </w:p>
        </w:tc>
        <w:tc>
          <w:tcPr>
            <w:tcW w:w="4923" w:type="dxa"/>
            <w:shd w:val="clear" w:color="auto" w:fill="F2F5FA"/>
          </w:tcPr>
          <w:p>
            <w:pPr>
              <w:pStyle w:val="TableText"/>
            </w:pPr>
            <w:r>
              <w:t xml:space="preserve">Η «agentic» συμπεριφορά δεν δοκιμάστηκε εμπειρικά (1 iteration, n=1 run)</w:t>
            </w:r>
          </w:p>
        </w:tc>
        <w:tc>
          <w:tcPr>
            <w:tcW w:w="2133" w:type="dxa"/>
            <w:shd w:val="clear" w:color="auto" w:fill="F2F5FA"/>
          </w:tcPr>
          <w:p>
            <w:pPr>
              <w:pStyle w:val="TableText"/>
            </w:pPr>
            <w:r>
              <w:rPr>
                <w:b/>
                <w:color w:val="C55A11"/>
              </w:rPr>
              <w:t xml:space="preserve">Σημαντικό</w:t>
            </w:r>
          </w:p>
        </w:tc>
        <w:tc>
          <w:tcPr>
            <w:tcW w:w="1642" w:type="dxa"/>
            <w:shd w:val="clear" w:color="auto" w:fill="F2F5FA"/>
          </w:tcPr>
          <w:p>
            <w:pPr>
              <w:pStyle w:val="TableText"/>
            </w:pPr>
            <w:r>
              <w:t xml:space="preserve">Συνεισφορά</w:t>
            </w:r>
          </w:p>
        </w:tc>
      </w:tr>
      <w:tr>
        <w:tc>
          <w:tcPr>
            <w:tcW w:w="328" w:type="dxa"/>
          </w:tcPr>
          <w:p>
            <w:pPr>
              <w:pStyle w:val="TableText"/>
            </w:pPr>
            <w:r>
              <w:t xml:space="preserve">7</w:t>
            </w:r>
          </w:p>
        </w:tc>
        <w:tc>
          <w:tcPr>
            <w:tcW w:w="4923" w:type="dxa"/>
          </w:tcPr>
          <w:p>
            <w:pPr>
              <w:pStyle w:val="TableText"/>
            </w:pPr>
            <w:r>
              <w:t xml:space="preserve">Στατιστικά: double dipping, επικαλυπτόμενα folds, χωρίς CI στο test</w:t>
            </w:r>
          </w:p>
        </w:tc>
        <w:tc>
          <w:tcPr>
            <w:tcW w:w="2133" w:type="dxa"/>
          </w:tcPr>
          <w:p>
            <w:pPr>
              <w:pStyle w:val="TableText"/>
            </w:pPr>
            <w:r>
              <w:rPr>
                <w:b/>
                <w:color w:val="C55A11"/>
              </w:rPr>
              <w:t xml:space="preserve">Σημαντικό</w:t>
            </w:r>
          </w:p>
        </w:tc>
        <w:tc>
          <w:tcPr>
            <w:tcW w:w="1642" w:type="dxa"/>
          </w:tcPr>
          <w:p>
            <w:pPr>
              <w:pStyle w:val="TableText"/>
            </w:pPr>
            <w:r>
              <w:t xml:space="preserve">RQ1</w:t>
            </w:r>
          </w:p>
        </w:tc>
      </w:tr>
      <w:tr>
        <w:tc>
          <w:tcPr>
            <w:tcW w:w="328" w:type="dxa"/>
            <w:shd w:val="clear" w:color="auto" w:fill="F2F5FA"/>
          </w:tcPr>
          <w:p>
            <w:pPr>
              <w:pStyle w:val="TableText"/>
            </w:pPr>
            <w:r>
              <w:t xml:space="preserve">8</w:t>
            </w:r>
          </w:p>
        </w:tc>
        <w:tc>
          <w:tcPr>
            <w:tcW w:w="4923" w:type="dxa"/>
            <w:shd w:val="clear" w:color="auto" w:fill="F2F5FA"/>
          </w:tcPr>
          <w:p>
            <w:pPr>
              <w:pStyle w:val="TableText"/>
            </w:pPr>
            <w:r>
              <w:t xml:space="preserve">Ισχυρή αλλαγή κατανομής CV→test, threshold 0,50 χωρίς νόημα, extrapolation σε step/day</w:t>
            </w:r>
          </w:p>
        </w:tc>
        <w:tc>
          <w:tcPr>
            <w:tcW w:w="2133" w:type="dxa"/>
            <w:shd w:val="clear" w:color="auto" w:fill="F2F5FA"/>
          </w:tcPr>
          <w:p>
            <w:pPr>
              <w:pStyle w:val="TableText"/>
            </w:pPr>
            <w:r>
              <w:rPr>
                <w:b/>
                <w:color w:val="C55A11"/>
              </w:rPr>
              <w:t xml:space="preserve">Σημαντικό</w:t>
            </w:r>
          </w:p>
        </w:tc>
        <w:tc>
          <w:tcPr>
            <w:tcW w:w="1642" w:type="dxa"/>
            <w:shd w:val="clear" w:color="auto" w:fill="F2F5FA"/>
          </w:tcPr>
          <w:p>
            <w:pPr>
              <w:pStyle w:val="TableText"/>
            </w:pPr>
            <w:r>
              <w:t xml:space="preserve">Ερμηνεία test</w:t>
            </w:r>
          </w:p>
        </w:tc>
      </w:tr>
      <w:tr>
        <w:tc>
          <w:tcPr>
            <w:tcW w:w="328" w:type="dxa"/>
          </w:tcPr>
          <w:p>
            <w:pPr>
              <w:pStyle w:val="TableText"/>
            </w:pPr>
            <w:r>
              <w:t xml:space="preserve">9</w:t>
            </w:r>
          </w:p>
        </w:tc>
        <w:tc>
          <w:tcPr>
            <w:tcW w:w="4923" w:type="dxa"/>
          </w:tcPr>
          <w:p>
            <w:pPr>
              <w:pStyle w:val="TableText"/>
            </w:pPr>
            <w:r>
              <w:t xml:space="preserve">Ο θόρυβος στη μέτρηση χρόνου είναι μεγαλύτερος από το ίδιο το effect</w:t>
            </w:r>
          </w:p>
        </w:tc>
        <w:tc>
          <w:tcPr>
            <w:tcW w:w="2133" w:type="dxa"/>
          </w:tcPr>
          <w:p>
            <w:pPr>
              <w:pStyle w:val="TableText"/>
            </w:pPr>
            <w:r>
              <w:rPr>
                <w:b/>
                <w:color w:val="C55A11"/>
              </w:rPr>
              <w:t xml:space="preserve">Σημαντικό</w:t>
            </w:r>
          </w:p>
        </w:tc>
        <w:tc>
          <w:tcPr>
            <w:tcW w:w="1642" w:type="dxa"/>
          </w:tcPr>
          <w:p>
            <w:pPr>
              <w:pStyle w:val="TableText"/>
            </w:pPr>
            <w:r>
              <w:t xml:space="preserve">RQ2</w:t>
            </w:r>
          </w:p>
        </w:tc>
      </w:tr>
    </w:tbl>
    <w:p>
      <w:pPr>
        <w:pStyle w:val="Normal"/>
        <w:spacing w:before="0" w:after="60"/>
      </w:pPr>
    </w:p>
    <w:p>
      <w:pPr>
        <w:pStyle w:val="Heading1"/>
      </w:pPr>
      <w:r>
        <w:t xml:space="preserve">3. Τι στέκει μεθοδολογικά</w:t>
      </w:r>
    </w:p>
    <w:p>
      <w:pPr>
        <w:pStyle w:val="Normal"/>
      </w:pPr>
      <w:r>
        <w:t xml:space="preserve">Πριν από τα προβλήματα, αξίζει να καταγραφεί ότι αρκετά σημεία του σχεδιασμού είναι σωστά και πρέπει να διατηρηθούν:</w:t>
      </w:r>
    </w:p>
    <w:p>
      <w:pPr>
        <w:pStyle w:val="ListBullet"/>
        <w:numPr>
          <w:ilvl w:val="0"/>
          <w:numId w:val="1"/>
        </w:numPr>
      </w:pPr>
      <w:r>
        <w:t xml:space="preserve">Chronological split ανά πλήρες step, χωρίς κοινά steps ανάμεσα σε training και test.</w:t>
      </w:r>
    </w:p>
    <w:p>
      <w:pPr>
        <w:pStyle w:val="ListBullet"/>
        <w:numPr>
          <w:ilvl w:val="0"/>
          <w:numId w:val="1"/>
        </w:numPr>
      </w:pPr>
      <w:r>
        <w:t xml:space="preserve">Το preprocessing γίνεται fit μέσα σε κάθε fold, άρα δεν υπάρχει leakage από validation statistics.</w:t>
      </w:r>
    </w:p>
    <w:p>
      <w:pPr>
        <w:pStyle w:val="ListBullet"/>
        <w:numPr>
          <w:ilvl w:val="0"/>
          <w:numId w:val="1"/>
        </w:numPr>
      </w:pPr>
      <w:r>
        <w:t xml:space="preserve">Όλα τα pipelines αξιολογούνται στα ίδια materialized folds, με fingerprint του target.</w:t>
      </w:r>
    </w:p>
    <w:p>
      <w:pPr>
        <w:pStyle w:val="ListBullet"/>
        <w:numPr>
          <w:ilvl w:val="0"/>
          <w:numId w:val="1"/>
        </w:numPr>
      </w:pPr>
      <w:r>
        <w:t xml:space="preserve">Αφαίρεση balances, identifiers και isFlaggedFraud ως συντηρητική επιλογή κατά του leakage.</w:t>
      </w:r>
    </w:p>
    <w:p>
      <w:pPr>
        <w:pStyle w:val="ListBullet"/>
        <w:numPr>
          <w:ilvl w:val="0"/>
          <w:numId w:val="1"/>
        </w:numPr>
      </w:pPr>
      <w:r>
        <w:t xml:space="preserve">Paired σύγκριση ανά fold με Holm–Bonferroni correction σε 12 συγκρίσεις.</w:t>
      </w:r>
    </w:p>
    <w:p>
      <w:pPr>
        <w:pStyle w:val="ListBullet"/>
        <w:numPr>
          <w:ilvl w:val="0"/>
          <w:numId w:val="1"/>
        </w:numPr>
      </w:pPr>
      <w:r>
        <w:t xml:space="preserve">Το LLM δεν βλέπει raw rows ούτε το test set και δεν εκτελεί κώδικα· η απόφαση ACCEPT/RETRY/STOP είναι deterministic.</w:t>
      </w:r>
    </w:p>
    <w:p>
      <w:pPr>
        <w:pStyle w:val="ListBullet"/>
        <w:numPr>
          <w:ilvl w:val="0"/>
          <w:numId w:val="1"/>
        </w:numPr>
      </w:pPr>
      <w:r>
        <w:t xml:space="preserve">Οι επιφυλάξεις του §19–20 του Deep Dive είναι γραμμένες τίμια· το παρόν έγγραφο δείχνει ότι κάποιες από αυτές είναι σοβαρότερες απ' όσο παρουσιάζονται.</w:t>
      </w:r>
    </w:p>
    <w:p>
      <w:pPr>
        <w:pStyle w:val="Heading1"/>
      </w:pPr>
      <w:r>
        <w:t xml:space="preserve">4. Κρίσιμα ευρήματα</w:t>
      </w:r>
    </w:p>
    <w:p>
      <w:pPr>
        <w:pStyle w:val="Heading2"/>
      </w:pPr>
      <w:r>
        <w:t xml:space="preserve">4.1 Η αλλοίωση δεν αφαιρεί ουσιαστική πληροφορία</w:t>
      </w:r>
    </w:p>
    <w:p>
      <w:pPr>
        <w:pStyle w:val="Normal"/>
      </w:pPr>
      <w:r>
        <w:rPr>
          <w:b/>
        </w:rPr>
        <w:t xml:space="preserve">Τι συμβαίνει.</w:t>
      </w:r>
      <w:r>
        <w:t xml:space="preserve"> Τα features is_transfer, is_cash_out και is_merchant_destination υπολογίζονται από τη στήλη type κατά το feature engineering, πριν από την αλλοίωση. Το MCAR degradation σβήνει μόνο τη type και αφήνει ανέπαφα τα derived features.</w:t>
      </w:r>
    </w:p>
    <w:p>
      <w:pPr>
        <w:pStyle w:val="Normal"/>
      </w:pPr>
      <w:r>
        <w:rPr>
          <w:b/>
        </w:rPr>
        <w:t xml:space="preserve">Τεκμήρια.</w:t>
      </w:r>
    </w:p>
    <w:p>
      <w:pPr>
        <w:pStyle w:val="ListBullet"/>
        <w:numPr>
          <w:ilvl w:val="0"/>
          <w:numId w:val="1"/>
        </w:numPr>
      </w:pPr>
      <w:r>
        <w:t xml:space="preserve">src/agenticai_thesis/data/features.py, γραμμές 45–47: τα derived features προκύπτουν από τη type.</w:t>
      </w:r>
    </w:p>
    <w:p>
      <w:pPr>
        <w:pStyle w:val="ListBullet"/>
        <w:numPr>
          <w:ilvl w:val="0"/>
          <w:numId w:val="1"/>
        </w:numPr>
      </w:pPr>
      <w:r>
        <w:t xml:space="preserve">src/agenticai_thesis/quality/degradation.py, γραμμή 70: NaN μπαίνει μόνο στις στήλες του config.</w:t>
      </w:r>
    </w:p>
    <w:p>
      <w:pPr>
        <w:pStyle w:val="ListBullet"/>
        <w:numPr>
          <w:ilvl w:val="0"/>
          <w:numId w:val="1"/>
        </w:numPr>
      </w:pPr>
      <w:r>
        <w:t xml:space="preserve">configs/agent.yaml: missing_rates περιέχει μόνο type: 0.05.</w:t>
      </w:r>
    </w:p>
    <w:p>
      <w:pPr>
        <w:pStyle w:val="Normal"/>
      </w:pPr>
      <w:r>
        <w:rPr>
          <w:b/>
        </w:rPr>
        <w:t xml:space="preserve">Γιατί έχει σημασία.</w:t>
      </w:r>
      <w:r>
        <w:t xml:space="preserve"> Στο PaySim fraud εμφανίζεται μόνο σε TRANSFER και CASH_OUT, και ακριβώς αυτές οι δύο κατηγορίες κωδικοποιούνται ήδη από τα is_transfer και is_cash_out. Το is_merchant_destination ταυτίζεται πρακτικά με το PAYMENT. Επομένως η πληροφορία της type παραμένει διαθέσιμη στο μοντέλο και μετά την αλλοίωση. Το «πρόβλημα ποιότητας» που καλείται να λύσει ο Agent έχει σχεδόν μηδενικό predictive κόστος, άρα το πείραμα δεν μπορεί να δείξει ουσιαστικό όφελος από τη διόρθωσή του. Αυτό εξηγεί και γιατί το Decision Tree, που δεν επηρεάζεται από scaling, δεν δείχνει καμία σημαντική διαφορά.</w:t>
      </w:r>
    </w:p>
    <w:p>
      <w:pPr>
        <w:pStyle w:val="Normal"/>
      </w:pPr>
      <w:r>
        <w:rPr>
          <w:b/>
        </w:rPr>
        <w:t xml:space="preserve">Τι πρέπει να γίνει.</w:t>
      </w:r>
      <w:r>
        <w:t xml:space="preserve"> Η αλλοίωση να εφαρμόζεται στα raw δεδομένα πριν από το feature engineering, ή να αλλοιώνονται συνεπώς και τα derived features. Ιδανικά να εξεταστούν περισσότερα επίπεδα (π.χ. 5%, 10%, 20%, 30%) και τουλάχιστον ένα MAR σενάριο, καθώς και αλλοιώσεις σε αριθμητικά features (π.χ. amount).</w:t>
      </w:r>
    </w:p>
    <w:p>
      <w:pPr>
        <w:pStyle w:val="Heading2"/>
      </w:pPr>
      <w:r>
        <w:t xml:space="preserve">4.2 Η Agentic Logistic Regression χάνει το scaling</w:t>
      </w:r>
    </w:p>
    <w:p>
      <w:pPr>
        <w:pStyle w:val="Normal"/>
      </w:pPr>
      <w:r>
        <w:rPr>
          <w:b/>
        </w:rPr>
        <w:t xml:space="preserve">Τι συμβαίνει.</w:t>
      </w:r>
      <w:r>
        <w:t xml:space="preserve"> Το prompt ενημερώνει το LLM ότι στο baseline «all numeric features are standardized» και του ζητά «the smallest defensible plan». Το LLM λογικά πρότεινε μόνο imputation και one-hot encoding, θεωρώντας ότι το plan προστίθεται πάνω στο baseline. Ο ModelPipelineBuilder όμως κατασκευάζει το pipeline από την αρχή με remainder="passthrough", οπότε η Logistic Regression εκπαιδεύεται χωρίς scaling, με το amount να φτάνει τα 92 εκατομμύρια.</w:t>
      </w:r>
    </w:p>
    <w:p>
      <w:pPr>
        <w:pStyle w:val="Normal"/>
      </w:pPr>
      <w:r>
        <w:rPr>
          <w:b/>
        </w:rPr>
        <w:t xml:space="preserve">Τεκμήρια.</w:t>
      </w:r>
    </w:p>
    <w:p>
      <w:pPr>
        <w:pStyle w:val="ListBullet"/>
        <w:numPr>
          <w:ilvl w:val="0"/>
          <w:numId w:val="1"/>
        </w:numPr>
      </w:pPr>
      <w:r>
        <w:t xml:space="preserve">experiments/run_agentic.py, γραμμή 347: το baseline contract που στέλνεται στο LLM.</w:t>
      </w:r>
    </w:p>
    <w:p>
      <w:pPr>
        <w:pStyle w:val="ListBullet"/>
        <w:numPr>
          <w:ilvl w:val="0"/>
          <w:numId w:val="1"/>
        </w:numPr>
      </w:pPr>
      <w:r>
        <w:t xml:space="preserve">src/agenticai_thesis/agentic/execution.py, γραμμές 286–295: ColumnTransformer με remainder="passthrough".</w:t>
      </w:r>
    </w:p>
    <w:p>
      <w:pPr>
        <w:pStyle w:val="ListBullet"/>
        <w:numPr>
          <w:ilvl w:val="0"/>
          <w:numId w:val="1"/>
        </w:numPr>
      </w:pPr>
      <w:r>
        <w:t xml:space="preserve">Χρόνος fit της LR (άθροισμα 25 folds): 12,8 s στο conventional, 101,6 s στο Agentic candidate και 72,1 s στο re-benchmark του ίδιου plan.</w:t>
      </w:r>
    </w:p>
    <w:p>
      <w:pPr>
        <w:pStyle w:val="ListBullet"/>
        <w:numPr>
          <w:ilvl w:val="0"/>
          <w:numId w:val="1"/>
        </w:numPr>
      </w:pPr>
      <w:r>
        <w:t xml:space="preserve">Η LR είναι το μόνο μοντέλο με σημαντική αλλαγή στο PR-AUC (+0,0054, 25/25 wins, Holm p ≈ 7·10⁻⁷).</w:t>
      </w:r>
    </w:p>
    <w:p>
      <w:pPr>
        <w:pStyle w:val="Normal"/>
      </w:pPr>
      <w:r>
        <w:rPr>
          <w:b/>
        </w:rPr>
        <w:t xml:space="preserve">Γιατί έχει σημασία.</w:t>
      </w:r>
      <w:r>
        <w:t xml:space="preserve"> Το §19.2 του Deep Dive αναφέρει το θέμα ως επιφύλαξη, αλλά στην πράξη είναι ο κύριος μηχανισμός πίσω από τα αποτελέσματα. Το πιο ισχυρό στατιστικό εύρημα για το RQ1 (PR-AUC της LR) και σχεδόν όλο το runtime multiplier για το RQ2 προέρχονται από την ασυμφωνία ανάμεσα στο τι υπονοεί το prompt και τι εκτελεί ο executor, όχι από την imputation. Η σύγκριση για τη LR δεν απομονώνει την επίδραση του Agent.</w:t>
      </w:r>
    </w:p>
    <w:p>
      <w:pPr>
        <w:pStyle w:val="Normal"/>
      </w:pPr>
      <w:r>
        <w:rPr>
          <w:b/>
        </w:rPr>
        <w:t xml:space="preserve">Τι πρέπει να γίνει.</w:t>
      </w:r>
      <w:r>
        <w:t xml:space="preserve"> Το Agentic plan να εφαρμόζεται ως διαφορά πάνω στον κοινό base preprocessor, ώστε ό,τι δεν αλλάζει ρητά το plan να παραμένει ίδιο με το conventional. Εναλλακτικά, ο validator να απαιτεί scaling για τη LR. Στη συνέχεια να ξανατρέξει το πείραμα.</w:t>
      </w:r>
    </w:p>
    <w:p>
      <w:pPr>
        <w:pStyle w:val="Heading2"/>
      </w:pPr>
      <w:r>
        <w:t xml:space="preserve">4.3 Κυκλικός κανόνας αποδοχής και ελλιπή baselines</w:t>
      </w:r>
    </w:p>
    <w:p>
      <w:pPr>
        <w:pStyle w:val="Normal"/>
      </w:pPr>
      <w:r>
        <w:rPr>
          <w:b/>
        </w:rPr>
        <w:t xml:space="preserve">Τι συμβαίνει.</w:t>
      </w:r>
      <w:r>
        <w:t xml:space="preserve"> Το baseline παίρνει πάντα το degraded quality score, και το quality score μετρά ουσιαστικά μόνο completeness και duplicates. Η feedback policy δέχεται ACCEPT αν το quality delta είναι ≥ 0,0001 και η μέση PR-AUC δεν πέφτει. Έτσι οποιαδήποτε imputation περνά από κατασκευής το κριτήριο.</w:t>
      </w:r>
    </w:p>
    <w:p>
      <w:pPr>
        <w:pStyle w:val="Normal"/>
      </w:pPr>
      <w:r>
        <w:rPr>
          <w:b/>
        </w:rPr>
        <w:t xml:space="preserve">Τεκμήρια.</w:t>
      </w:r>
    </w:p>
    <w:p>
      <w:pPr>
        <w:pStyle w:val="ListBullet"/>
        <w:numPr>
          <w:ilvl w:val="0"/>
          <w:numId w:val="1"/>
        </w:numPr>
      </w:pPr>
      <w:r>
        <w:t xml:space="preserve">experiments/run_agentic.py, γραμμές 113–119: το baseline assessment χρησιμοποιεί το initial (degraded) quality.</w:t>
      </w:r>
    </w:p>
    <w:p>
      <w:pPr>
        <w:pStyle w:val="ListBullet"/>
        <w:numPr>
          <w:ilvl w:val="0"/>
          <w:numId w:val="1"/>
        </w:numPr>
      </w:pPr>
      <w:r>
        <w:t xml:space="preserve">src/agenticai_thesis/quality/plan_quality.py, γραμμές 32–33: τα validity και consistency checks είναι κενά.</w:t>
      </w:r>
    </w:p>
    <w:p>
      <w:pPr>
        <w:pStyle w:val="ListBullet"/>
        <w:numPr>
          <w:ilvl w:val="0"/>
          <w:numId w:val="1"/>
        </w:numPr>
      </w:pPr>
      <w:r>
        <w:t xml:space="preserve">src/agenticai_thesis/agentic/feedback.py, γραμμές 237–242: ο κανόνας quality_improved.</w:t>
      </w:r>
    </w:p>
    <w:p>
      <w:pPr>
        <w:pStyle w:val="ListBullet"/>
        <w:numPr>
          <w:ilvl w:val="0"/>
          <w:numId w:val="1"/>
        </w:numPr>
      </w:pPr>
      <w:r>
        <w:t xml:space="preserve">Στο επίσημο run το primary delta ήταν +0,0024, κάτω από το όριο 0,005· το ACCEPT δόθηκε μόνο λόγω quality.</w:t>
      </w:r>
    </w:p>
    <w:p>
      <w:pPr>
        <w:pStyle w:val="Normal"/>
      </w:pPr>
      <w:r>
        <w:rPr>
          <w:b/>
        </w:rPr>
        <w:t xml:space="preserve">Γιατί έχει σημασία.</w:t>
      </w:r>
      <w:r>
        <w:t xml:space="preserve"> Το conventional pipeline δεν κάνει imputation· ο OneHotEncoder αντιμετωπίζει το NaN ως ξεχωριστή κατηγορία. Δεν υπάρχει ούτε baseline «conventional + SimpleImputer(most_frequent)», που είναι αυτό που θα έκανε οποιοσδήποτε practitioner και θα έδινε πρακτικά το ίδιο plan, ούτε rule-based agent χωρίς LLM. Χωρίς αυτά δεν φαίνεται τι προσθέτει το LLM πέρα από έναν απλό κανόνα «αν λείπουν τιμές, κάνε imputation».</w:t>
      </w:r>
    </w:p>
    <w:p>
      <w:pPr>
        <w:pStyle w:val="Normal"/>
      </w:pPr>
      <w:r>
        <w:rPr>
          <w:b/>
        </w:rPr>
        <w:t xml:space="preserve">Τι πρέπει να γίνει.</w:t>
      </w:r>
      <w:r>
        <w:t xml:space="preserve"> Να προστεθούν δύο baselines: (α) conventional με mode imputation και (β) deterministic rule-based agent με το ίδιο allowlist. Το quality score του baseline να υπολογίζεται με βάση αυτό που κάνει πράγματι το baseline pipeline, και το κριτήριο αποδοχής να μη μπορεί να ικανοποιηθεί μόνο από τη διόρθωση που προκαλέσαμε εμείς.</w:t>
      </w:r>
    </w:p>
    <w:p>
      <w:pPr>
        <w:pStyle w:val="Heading2"/>
      </w:pPr>
      <w:r>
        <w:t xml:space="preserve">4.4 Το test set πιθανότατα δεν ήταν πράγματι locked</w:t>
      </w:r>
    </w:p>
    <w:p>
      <w:pPr>
        <w:pStyle w:val="Normal"/>
      </w:pPr>
      <w:r>
        <w:rPr>
          <w:b/>
        </w:rPr>
        <w:t xml:space="preserve">Τι συμβαίνει.</w:t>
      </w:r>
      <w:r>
        <w:t xml:space="preserve"> Το PROGRESS.md (γραμμές 602–605) αναφέρει ότι μετά από ένα exploratory πραγματικό run περιορίστηκε το allowlist (αφαιρέθηκαν class_weight και resample_classes) και άλλαξε το prompt. Ο ίδιος runner ανοίγει το test set στο στάδιο 6. Ακόμη και χωρίς ACCEPT, η _select_record επιλέγει το καλύτερο valid plan και η εκτέλεση συνεχίζει στο test.</w:t>
      </w:r>
    </w:p>
    <w:p>
      <w:pPr>
        <w:pStyle w:val="Normal"/>
      </w:pPr>
      <w:r>
        <w:rPr>
          <w:b/>
        </w:rPr>
        <w:t xml:space="preserve">Τεκμήρια.</w:t>
      </w:r>
    </w:p>
    <w:p>
      <w:pPr>
        <w:pStyle w:val="ListBullet"/>
        <w:numPr>
          <w:ilvl w:val="0"/>
          <w:numId w:val="1"/>
        </w:numPr>
      </w:pPr>
      <w:r>
        <w:t xml:space="preserve">experiments/run_agentic.py, γραμμές 204–216: άνοιγμα του test set.</w:t>
      </w:r>
    </w:p>
    <w:p>
      <w:pPr>
        <w:pStyle w:val="ListBullet"/>
        <w:numPr>
          <w:ilvl w:val="0"/>
          <w:numId w:val="1"/>
        </w:numPr>
      </w:pPr>
      <w:r>
        <w:t xml:space="preserve">experiments/run_agentic.py, γραμμές 358–365: fallback επιλογή plan χωρίς ACCEPT.</w:t>
      </w:r>
    </w:p>
    <w:p>
      <w:pPr>
        <w:pStyle w:val="ListBullet"/>
        <w:numPr>
          <w:ilvl w:val="0"/>
          <w:numId w:val="1"/>
        </w:numPr>
      </w:pPr>
      <w:r>
        <w:t xml:space="preserve">Το Deep Dive (§17) αναφέρει checkpoints από πολλαπλά runs.</w:t>
      </w:r>
    </w:p>
    <w:p>
      <w:pPr>
        <w:pStyle w:val="Normal"/>
      </w:pPr>
      <w:r>
        <w:rPr>
          <w:b/>
        </w:rPr>
        <w:t xml:space="preserve">Γιατί έχει σημασία.</w:t>
      </w:r>
      <w:r>
        <w:t xml:space="preserve"> Αν το exploratory run έφτασε στο στάδιο 6, ο σχεδιασμός άλλαξε αφού είχαν ήδη παραχθεί αποτελέσματα στο test set. Τότε ο ισχυρισμός «one-time test evaluation» δεν ισχύει, ακόμη κι αν οι αλλαγές έγιναν για άλλους λόγους (Precision στο CV).</w:t>
      </w:r>
    </w:p>
    <w:p>
      <w:pPr>
        <w:pStyle w:val="Normal"/>
      </w:pPr>
      <w:r>
        <w:rPr>
          <w:b/>
        </w:rPr>
        <w:t xml:space="preserve">Τι πρέπει να γίνει.</w:t>
      </w:r>
      <w:r>
        <w:t xml:space="preserve"> Να επιβεβαιωθεί από τα logs και checkpoints αν το exploratory run έγραψε test_dataset_results. Αν ναι, να δηλωθεί ρητά στην εργασία. Για μελλοντικά runs, ο runner να απαιτεί ρητή σημαία (π.χ. --final) για να ανοίξει το test set, και το exploratory να σταματά πριν από το στάδιο 6.</w:t>
      </w:r>
    </w:p>
    <w:p>
      <w:pPr>
        <w:pStyle w:val="Heading1"/>
      </w:pPr>
      <w:r>
        <w:t xml:space="preserve">5. Σημαντικά ευρήματα</w:t>
      </w:r>
    </w:p>
    <w:p>
      <w:pPr>
        <w:pStyle w:val="Heading2"/>
      </w:pPr>
      <w:r>
        <w:t xml:space="preserve">5.1 Η imputation δημιουργεί cross-column ασυνέπειες</w:t>
      </w:r>
    </w:p>
    <w:p>
      <w:pPr>
        <w:pStyle w:val="Normal"/>
      </w:pPr>
      <w:r>
        <w:rPr>
          <w:b/>
        </w:rPr>
        <w:t xml:space="preserve">Τι συμβαίνει.</w:t>
      </w:r>
      <w:r>
        <w:t xml:space="preserve"> Με τη γνωστή κατανομή του PaySim, η πιο συχνή τιμή της type στο sample είναι πιθανότατα CASH_OUT. Η most-frequent imputation γράφει την ίδια τιμή σε όλες τις 3.607 γραμμές με missing type. Σε όσες από αυτές δεν ήταν πραγματικά CASH_OUT (εκτίμηση: πάνω από 2.000), προκύπτει type=CASH_OUT ενώ is_cash_out=0, ή ακόμη και is_transfer=1.</w:t>
      </w:r>
    </w:p>
    <w:p>
      <w:pPr>
        <w:pStyle w:val="Normal"/>
      </w:pPr>
      <w:r>
        <w:rPr>
          <w:b/>
        </w:rPr>
        <w:t xml:space="preserve">Γιατί έχει σημασία.</w:t>
      </w:r>
      <w:r>
        <w:t xml:space="preserve"> Ο profiler του πλήρους training set έχει cross-column consistency checks ακριβώς γι' αυτά τα derived features, αλλά στο sampled plan-quality report τα checks είναι κενά. Επομένως το «η ποιότητα βελτιώθηκε» ισχύει μόνο για το completeness· στη διάσταση consistency η ποιότητα πιθανότατα χειροτέρεψε. Επιπλέον, η type θα μπορούσε να ανακτηθεί σχεδόν ακριβώς από τα derived features, άρα υπήρχε καλύτερη διαθέσιμη στρατηγική.</w:t>
      </w:r>
    </w:p>
    <w:p>
      <w:pPr>
        <w:pStyle w:val="Normal"/>
      </w:pPr>
      <w:r>
        <w:rPr>
          <w:b/>
        </w:rPr>
        <w:t xml:space="preserve">Επαλήθευση.</w:t>
      </w:r>
      <w:r>
        <w:t xml:space="preserve"> Να μετρηθεί στο degraded sample το mode της type και ο αριθμός γραμμών όπου η imputed type δεν συμφωνεί με τα is_transfer, is_cash_out και is_merchant_destination. Τα consistency checks να συμπεριληφθούν στο plan-quality report.</w:t>
      </w:r>
    </w:p>
    <w:p>
      <w:pPr>
        <w:pStyle w:val="Heading2"/>
      </w:pPr>
      <w:r>
        <w:t xml:space="preserve">5.2 Η «agentic» συμπεριφορά δεν δοκιμάστηκε εμπειρικά</w:t>
      </w:r>
    </w:p>
    <w:p>
      <w:pPr>
        <w:pStyle w:val="Normal"/>
      </w:pPr>
      <w:r>
        <w:rPr>
          <w:b/>
        </w:rPr>
        <w:t xml:space="preserve">Τι συμβαίνει.</w:t>
      </w:r>
      <w:r>
        <w:t xml:space="preserve"> Το επίσημο run ολοκληρώθηκε σε 1 iteration, με 1 LLM call και κανένα retry. Υπάρχει ένα μόνο Agent run (n=1). Το παλαιότερο plan-001 δείχνει ότι άλλο run έδωσε διαφορετικό plan.</w:t>
      </w:r>
    </w:p>
    <w:p>
      <w:pPr>
        <w:pStyle w:val="Normal"/>
      </w:pPr>
      <w:r>
        <w:rPr>
          <w:b/>
        </w:rPr>
        <w:t xml:space="preserve">Γιατί έχει σημασία.</w:t>
      </w:r>
      <w:r>
        <w:t xml:space="preserve"> Το loop, το feedback και ο μηχανισμός retry τεκμηριώνονται μόνο από unit tests με fake LLM. Η εμπειρική εικόνα είναι «το LLM πρότεινε μία φορά το προφανές». Η διακύμανση ανάμεσα σε LLM runs, που είναι σύμφυτη σε remote μοντέλο, δεν έχει μετρηθεί, άρα δεν ξέρουμε αν το αποτέλεσμα είναι τυπικό.</w:t>
      </w:r>
    </w:p>
    <w:p>
      <w:pPr>
        <w:pStyle w:val="Normal"/>
      </w:pPr>
      <w:r>
        <w:rPr>
          <w:b/>
        </w:rPr>
        <w:t xml:space="preserve">Τι πρέπει να γίνει.</w:t>
      </w:r>
      <w:r>
        <w:t xml:space="preserve"> Να τρέξει ο Agent 5–10 φορές και να αναφερθεί η κατανομή των plans, των αποφάσεων και των μετρικών. Ένα δυσκολότερο σενάριο (βλ. 4.1) θα έδινε και πραγματικές ευκαιρίες για RETRY.</w:t>
      </w:r>
    </w:p>
    <w:p>
      <w:pPr>
        <w:pStyle w:val="Heading2"/>
      </w:pPr>
      <w:r>
        <w:t xml:space="preserve">5.3 Στατιστική ανάλυση</w:t>
      </w:r>
    </w:p>
    <w:p>
      <w:pPr>
        <w:pStyle w:val="ListBullet"/>
        <w:numPr>
          <w:ilvl w:val="0"/>
          <w:numId w:val="1"/>
        </w:numPr>
      </w:pPr>
      <w:r>
        <w:rPr>
          <w:b/>
        </w:rPr>
        <w:t xml:space="preserve">Double dipping.</w:t>
      </w:r>
      <w:r>
        <w:t xml:space="preserve"> Τα ίδια 25 folds χρησιμοποιήθηκαν για την απόφαση ACCEPT και για το Wilcoxon. Με ένα iteration η επίδραση είναι μικρή, αλλά σε σενάρια με πολλαπλά iterations γίνεται selection bias.</w:t>
      </w:r>
    </w:p>
    <w:p>
      <w:pPr>
        <w:pStyle w:val="ListBullet"/>
        <w:numPr>
          <w:ilvl w:val="0"/>
          <w:numId w:val="1"/>
        </w:numPr>
      </w:pPr>
      <w:r>
        <w:rPr>
          <w:b/>
        </w:rPr>
        <w:t xml:space="preserve">Επικαλυπτόμενα folds.</w:t>
      </w:r>
      <w:r>
        <w:t xml:space="preserve"> Τα training sets του 5×5 repeated CV μοιράζονται το μεγαλύτερο μέρος των δεδομένων, οπότε οι 25 παρατηρήσεις δεν είναι ανεξάρτητες και τα p-values είναι αισιόδοξα. Η τυπική επιλογή για αυτή την περίπτωση είναι το corrected resampled t-test των Nadeau–Bengio.</w:t>
      </w:r>
    </w:p>
    <w:p>
      <w:pPr>
        <w:pStyle w:val="ListBullet"/>
        <w:numPr>
          <w:ilvl w:val="0"/>
          <w:numId w:val="1"/>
        </w:numPr>
      </w:pPr>
      <w:r>
        <w:rPr>
          <w:b/>
        </w:rPr>
        <w:t xml:space="preserve">Test set χωρίς αβεβαιότητα.</w:t>
      </w:r>
      <w:r>
        <w:t xml:space="preserve"> Οι διαφορές PR-AUC στο test (+0,0073, −0,0047, +0,0019) δεν συνοδεύονται από confidence interval. Με 1.654 fraud, ένα bootstrap CI πάνω στο paired delta είναι απλό και πιθανότατα θα δείξει ότι οι διαφορές βρίσκονται μέσα στον θόρυβο.</w:t>
      </w:r>
    </w:p>
    <w:p>
      <w:pPr>
        <w:pStyle w:val="Heading2"/>
      </w:pPr>
      <w:r>
        <w:t xml:space="preserve">5.4 Αλλαγή κατανομής ανάμεσα σε CV και test</w:t>
      </w:r>
    </w:p>
    <w:p>
      <w:pPr>
        <w:pStyle w:val="ListBullet"/>
        <w:numPr>
          <w:ilvl w:val="0"/>
          <w:numId w:val="1"/>
        </w:numPr>
      </w:pPr>
      <w:r>
        <w:t xml:space="preserve">Το fraud rate είναι 9,09% στο CV sample, 0,105% στο πλήρες training και 1,34% στο test, δηλαδή περίπου 13 φορές υψηλότερο στο test απ' ό,τι στο training.</w:t>
      </w:r>
    </w:p>
    <w:p>
      <w:pPr>
        <w:pStyle w:val="ListBullet"/>
        <w:numPr>
          <w:ilvl w:val="0"/>
          <w:numId w:val="1"/>
        </w:numPr>
      </w:pPr>
      <w:r>
        <w:t xml:space="preserve">Το «20% test» αντιστοιχεί σε 20% των steps αλλά μόνο σε 1,9% των γραμμών.</w:t>
      </w:r>
    </w:p>
    <w:p>
      <w:pPr>
        <w:pStyle w:val="ListBullet"/>
        <w:numPr>
          <w:ilvl w:val="0"/>
          <w:numId w:val="1"/>
        </w:numPr>
      </w:pPr>
      <w:r>
        <w:t xml:space="preserve">Το threshold 0,50 σε μοντέλα με balanced class weights εκπαιδευμένα σε sample 9% δίνει precision περίπου 3% στη LR στο test. Τα συμπεράσματα για operational trade-off στο 0,50 έχουν επομένως περιορισμένη αξία.</w:t>
      </w:r>
    </w:p>
    <w:p>
      <w:pPr>
        <w:pStyle w:val="ListBullet"/>
        <w:numPr>
          <w:ilvl w:val="0"/>
          <w:numId w:val="1"/>
        </w:numPr>
      </w:pPr>
      <w:r>
        <w:t xml:space="preserve">Τα step και day στο test βρίσκονται εκτός του εύρους του training (steps 595–743), οπότε τα μοντέλα κάνουν extrapolation σε features χρόνου.</w:t>
      </w:r>
    </w:p>
    <w:p>
      <w:pPr>
        <w:pStyle w:val="Normal"/>
      </w:pPr>
      <w:r>
        <w:rPr>
          <w:b/>
        </w:rPr>
        <w:t xml:space="preserve">Τι πρέπει να γίνει.</w:t>
      </w:r>
      <w:r>
        <w:t xml:space="preserve"> Η εργασία να συζητήσει ρητά την prior shift, να εξετάσει αν τα step και day πρέπει να μείνουν ως features και, αν γίνεται αναφορά σε thresholds, να επιλέγονται σε validation δεδομένα με ρητό κόστος.</w:t>
      </w:r>
    </w:p>
    <w:p>
      <w:pPr>
        <w:pStyle w:val="Heading2"/>
      </w:pPr>
      <w:r>
        <w:t xml:space="preserve">5.5 Θόρυβος στη μέτρηση κόστους</w:t>
      </w:r>
    </w:p>
    <w:p>
      <w:pPr>
        <w:pStyle w:val="Normal"/>
      </w:pPr>
      <w:r>
        <w:t xml:space="preserve">Το ίδιο plan μετρήθηκε δύο φορές με σημαντικά διαφορετικούς χρόνους: LR 101,6 s έναντι 72,1 s και RF 103,3 s έναντι 91,7 s, δηλαδή απόκλιση 10–40% μόνο από θόρυβο. Το Random Forest τρέχει με n_jobs=-1, που κάνει τον χρόνο ευαίσθητο στο φορτίο του συστήματος. Η διαφορά μνήμης των 8,4 MiB προέρχεται από μία μέτρηση με διαφορετικό αρχικό RSS. Με αυτά τα δεδομένα το RQ2 δεν μπορεί να απαντηθεί αξιόπιστα.</w:t>
      </w:r>
    </w:p>
    <w:p>
      <w:pPr>
        <w:pStyle w:val="Normal"/>
      </w:pPr>
      <w:r>
        <w:rPr>
          <w:b/>
        </w:rPr>
        <w:t xml:space="preserve">Τι πρέπει να γίνει.</w:t>
      </w:r>
      <w:r>
        <w:t xml:space="preserve"> Επαναλαμβανόμενες μετρήσεις (π.χ. 5 επαναλήψεις) με σταθερό n_jobs και εναλλασσόμενη σειρά εκτέλεσης conventional και Agentic, αναφορά median και διασποράς, και διαχωρισμός του κόστους LLM από το κόστος αξιολόγησης.</w:t>
      </w:r>
    </w:p>
    <w:p>
      <w:pPr>
        <w:pStyle w:val="Heading1"/>
      </w:pPr>
      <w:r>
        <w:t xml:space="preserve">6. Προτεινόμενες ενέργειες κατά προτεραιότητα</w:t>
      </w:r>
    </w:p>
    <w:tbl>
      <w:tblPr>
        <w:tblW w:w="9026"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Pr>
      <w:tblGrid>
        <w:gridCol w:w="468"/>
        <w:gridCol w:w="7033"/>
        <w:gridCol w:w="1525"/>
      </w:tblGrid>
      <w:tr>
        <w:trPr>
          <w:tblHeader/>
        </w:trPr>
        <w:tc>
          <w:tcPr>
            <w:tcW w:w="468" w:type="dxa"/>
            <w:shd w:val="clear" w:color="auto" w:fill="1F3864"/>
          </w:tcPr>
          <w:p>
            <w:pPr>
              <w:pStyle w:val="TableText"/>
            </w:pPr>
            <w:r>
              <w:rPr>
                <w:b/>
                <w:color w:val="FFFFFF"/>
              </w:rPr>
              <w:t xml:space="preserve">#</w:t>
            </w:r>
          </w:p>
        </w:tc>
        <w:tc>
          <w:tcPr>
            <w:tcW w:w="7033" w:type="dxa"/>
            <w:shd w:val="clear" w:color="auto" w:fill="1F3864"/>
          </w:tcPr>
          <w:p>
            <w:pPr>
              <w:pStyle w:val="TableText"/>
            </w:pPr>
            <w:r>
              <w:rPr>
                <w:b/>
                <w:color w:val="FFFFFF"/>
              </w:rPr>
              <w:t xml:space="preserve">Ενέργεια</w:t>
            </w:r>
          </w:p>
        </w:tc>
        <w:tc>
          <w:tcPr>
            <w:tcW w:w="1525" w:type="dxa"/>
            <w:shd w:val="clear" w:color="auto" w:fill="1F3864"/>
          </w:tcPr>
          <w:p>
            <w:pPr>
              <w:pStyle w:val="TableText"/>
            </w:pPr>
            <w:r>
              <w:rPr>
                <w:b/>
                <w:color w:val="FFFFFF"/>
              </w:rPr>
              <w:t xml:space="preserve">Λύνει</w:t>
            </w:r>
          </w:p>
        </w:tc>
      </w:tr>
      <w:tr>
        <w:tc>
          <w:tcPr>
            <w:tcW w:w="468" w:type="dxa"/>
          </w:tcPr>
          <w:p>
            <w:pPr>
              <w:pStyle w:val="TableText"/>
            </w:pPr>
            <w:r>
              <w:t xml:space="preserve">1</w:t>
            </w:r>
          </w:p>
        </w:tc>
        <w:tc>
          <w:tcPr>
            <w:tcW w:w="7033" w:type="dxa"/>
          </w:tcPr>
          <w:p>
            <w:pPr>
              <w:pStyle w:val="TableText"/>
            </w:pPr>
            <w:r>
              <w:t xml:space="preserve">Εφαρμογή του plan ως διαφοράς πάνω στον κοινό base preprocessor (διατήρηση scaling)</w:t>
            </w:r>
          </w:p>
        </w:tc>
        <w:tc>
          <w:tcPr>
            <w:tcW w:w="1525" w:type="dxa"/>
          </w:tcPr>
          <w:p>
            <w:pPr>
              <w:pStyle w:val="TableText"/>
            </w:pPr>
            <w:r>
              <w:t xml:space="preserve">4.2, 5.5</w:t>
            </w:r>
          </w:p>
        </w:tc>
      </w:tr>
      <w:tr>
        <w:tc>
          <w:tcPr>
            <w:tcW w:w="468" w:type="dxa"/>
            <w:shd w:val="clear" w:color="auto" w:fill="F2F5FA"/>
          </w:tcPr>
          <w:p>
            <w:pPr>
              <w:pStyle w:val="TableText"/>
            </w:pPr>
            <w:r>
              <w:t xml:space="preserve">2</w:t>
            </w:r>
          </w:p>
        </w:tc>
        <w:tc>
          <w:tcPr>
            <w:tcW w:w="7033" w:type="dxa"/>
            <w:shd w:val="clear" w:color="auto" w:fill="F2F5FA"/>
          </w:tcPr>
          <w:p>
            <w:pPr>
              <w:pStyle w:val="TableText"/>
            </w:pPr>
            <w:r>
              <w:t xml:space="preserve">Αλλοίωση πριν από το feature engineering· πολλαπλά επίπεδα και MAR</w:t>
            </w:r>
          </w:p>
        </w:tc>
        <w:tc>
          <w:tcPr>
            <w:tcW w:w="1525" w:type="dxa"/>
            <w:shd w:val="clear" w:color="auto" w:fill="F2F5FA"/>
          </w:tcPr>
          <w:p>
            <w:pPr>
              <w:pStyle w:val="TableText"/>
            </w:pPr>
            <w:r>
              <w:t xml:space="preserve">4.1, 5.1, 5.2</w:t>
            </w:r>
          </w:p>
        </w:tc>
      </w:tr>
      <w:tr>
        <w:tc>
          <w:tcPr>
            <w:tcW w:w="468" w:type="dxa"/>
          </w:tcPr>
          <w:p>
            <w:pPr>
              <w:pStyle w:val="TableText"/>
            </w:pPr>
            <w:r>
              <w:t xml:space="preserve">3</w:t>
            </w:r>
          </w:p>
        </w:tc>
        <w:tc>
          <w:tcPr>
            <w:tcW w:w="7033" w:type="dxa"/>
          </w:tcPr>
          <w:p>
            <w:pPr>
              <w:pStyle w:val="TableText"/>
            </w:pPr>
            <w:r>
              <w:t xml:space="preserve">Νέα baselines: conventional + mode imputation και rule-based agent χωρίς LLM</w:t>
            </w:r>
          </w:p>
        </w:tc>
        <w:tc>
          <w:tcPr>
            <w:tcW w:w="1525" w:type="dxa"/>
          </w:tcPr>
          <w:p>
            <w:pPr>
              <w:pStyle w:val="TableText"/>
            </w:pPr>
            <w:r>
              <w:t xml:space="preserve">4.3</w:t>
            </w:r>
          </w:p>
        </w:tc>
      </w:tr>
      <w:tr>
        <w:tc>
          <w:tcPr>
            <w:tcW w:w="468" w:type="dxa"/>
            <w:shd w:val="clear" w:color="auto" w:fill="F2F5FA"/>
          </w:tcPr>
          <w:p>
            <w:pPr>
              <w:pStyle w:val="TableText"/>
            </w:pPr>
            <w:r>
              <w:t xml:space="preserve">4</w:t>
            </w:r>
          </w:p>
        </w:tc>
        <w:tc>
          <w:tcPr>
            <w:tcW w:w="7033" w:type="dxa"/>
            <w:shd w:val="clear" w:color="auto" w:fill="F2F5FA"/>
          </w:tcPr>
          <w:p>
            <w:pPr>
              <w:pStyle w:val="TableText"/>
            </w:pPr>
            <w:r>
              <w:t xml:space="preserve">5–10 επαναλήψεις του Agent run, αναφορά κατανομής</w:t>
            </w:r>
          </w:p>
        </w:tc>
        <w:tc>
          <w:tcPr>
            <w:tcW w:w="1525" w:type="dxa"/>
            <w:shd w:val="clear" w:color="auto" w:fill="F2F5FA"/>
          </w:tcPr>
          <w:p>
            <w:pPr>
              <w:pStyle w:val="TableText"/>
            </w:pPr>
            <w:r>
              <w:t xml:space="preserve">5.2</w:t>
            </w:r>
          </w:p>
        </w:tc>
      </w:tr>
      <w:tr>
        <w:tc>
          <w:tcPr>
            <w:tcW w:w="468" w:type="dxa"/>
          </w:tcPr>
          <w:p>
            <w:pPr>
              <w:pStyle w:val="TableText"/>
            </w:pPr>
            <w:r>
              <w:t xml:space="preserve">5</w:t>
            </w:r>
          </w:p>
        </w:tc>
        <w:tc>
          <w:tcPr>
            <w:tcW w:w="7033" w:type="dxa"/>
          </w:tcPr>
          <w:p>
            <w:pPr>
              <w:pStyle w:val="TableText"/>
            </w:pPr>
            <w:r>
              <w:t xml:space="preserve">Nadeau–Bengio για CV, bootstrap CI για τα test deltas</w:t>
            </w:r>
          </w:p>
        </w:tc>
        <w:tc>
          <w:tcPr>
            <w:tcW w:w="1525" w:type="dxa"/>
          </w:tcPr>
          <w:p>
            <w:pPr>
              <w:pStyle w:val="TableText"/>
            </w:pPr>
            <w:r>
              <w:t xml:space="preserve">5.3</w:t>
            </w:r>
          </w:p>
        </w:tc>
      </w:tr>
      <w:tr>
        <w:tc>
          <w:tcPr>
            <w:tcW w:w="468" w:type="dxa"/>
            <w:shd w:val="clear" w:color="auto" w:fill="F2F5FA"/>
          </w:tcPr>
          <w:p>
            <w:pPr>
              <w:pStyle w:val="TableText"/>
            </w:pPr>
            <w:r>
              <w:t xml:space="preserve">6</w:t>
            </w:r>
          </w:p>
        </w:tc>
        <w:tc>
          <w:tcPr>
            <w:tcW w:w="7033" w:type="dxa"/>
            <w:shd w:val="clear" w:color="auto" w:fill="F2F5FA"/>
          </w:tcPr>
          <w:p>
            <w:pPr>
              <w:pStyle w:val="TableText"/>
            </w:pPr>
            <w:r>
              <w:t xml:space="preserve">Επιβεβαίωση έκθεσης του test set και ρητή δήλωση· σημαία --final στον runner</w:t>
            </w:r>
          </w:p>
        </w:tc>
        <w:tc>
          <w:tcPr>
            <w:tcW w:w="1525" w:type="dxa"/>
            <w:shd w:val="clear" w:color="auto" w:fill="F2F5FA"/>
          </w:tcPr>
          <w:p>
            <w:pPr>
              <w:pStyle w:val="TableText"/>
            </w:pPr>
            <w:r>
              <w:t xml:space="preserve">4.4</w:t>
            </w:r>
          </w:p>
        </w:tc>
      </w:tr>
      <w:tr>
        <w:tc>
          <w:tcPr>
            <w:tcW w:w="468" w:type="dxa"/>
          </w:tcPr>
          <w:p>
            <w:pPr>
              <w:pStyle w:val="TableText"/>
            </w:pPr>
            <w:r>
              <w:t xml:space="preserve">7</w:t>
            </w:r>
          </w:p>
        </w:tc>
        <w:tc>
          <w:tcPr>
            <w:tcW w:w="7033" w:type="dxa"/>
          </w:tcPr>
          <w:p>
            <w:pPr>
              <w:pStyle w:val="TableText"/>
            </w:pPr>
            <w:r>
              <w:t xml:space="preserve">Consistency checks στο plan-quality report</w:t>
            </w:r>
          </w:p>
        </w:tc>
        <w:tc>
          <w:tcPr>
            <w:tcW w:w="1525" w:type="dxa"/>
          </w:tcPr>
          <w:p>
            <w:pPr>
              <w:pStyle w:val="TableText"/>
            </w:pPr>
            <w:r>
              <w:t xml:space="preserve">5.1</w:t>
            </w:r>
          </w:p>
        </w:tc>
      </w:tr>
      <w:tr>
        <w:tc>
          <w:tcPr>
            <w:tcW w:w="468" w:type="dxa"/>
            <w:shd w:val="clear" w:color="auto" w:fill="F2F5FA"/>
          </w:tcPr>
          <w:p>
            <w:pPr>
              <w:pStyle w:val="TableText"/>
            </w:pPr>
            <w:r>
              <w:t xml:space="preserve">8</w:t>
            </w:r>
          </w:p>
        </w:tc>
        <w:tc>
          <w:tcPr>
            <w:tcW w:w="7033" w:type="dxa"/>
            <w:shd w:val="clear" w:color="auto" w:fill="F2F5FA"/>
          </w:tcPr>
          <w:p>
            <w:pPr>
              <w:pStyle w:val="TableText"/>
            </w:pPr>
            <w:r>
              <w:t xml:space="preserve">Επαναλαμβανόμενες μετρήσεις χρόνου και μνήμης με σταθερό n_jobs</w:t>
            </w:r>
          </w:p>
        </w:tc>
        <w:tc>
          <w:tcPr>
            <w:tcW w:w="1525" w:type="dxa"/>
            <w:shd w:val="clear" w:color="auto" w:fill="F2F5FA"/>
          </w:tcPr>
          <w:p>
            <w:pPr>
              <w:pStyle w:val="TableText"/>
            </w:pPr>
            <w:r>
              <w:t xml:space="preserve">5.5</w:t>
            </w:r>
          </w:p>
        </w:tc>
      </w:tr>
    </w:tbl>
    <w:p>
      <w:pPr>
        <w:pStyle w:val="Normal"/>
        <w:spacing w:before="0" w:after="60"/>
      </w:pPr>
    </w:p>
    <w:p>
      <w:pPr>
        <w:pStyle w:val="Normal"/>
      </w:pPr>
      <w:r>
        <w:t xml:space="preserve">Αν δεν υπάρχει χρόνος για νέα πειράματα, το ελάχιστο είναι να ξαναγραφτούν τα συμπεράσματα σύμφωνα με την ενότητα 7. Για RQ1 και RQ2 που να στέκουν, χρειάζονται τουλάχιστον οι ενέργειες 1–3 και νέο run.</w:t>
      </w:r>
    </w:p>
    <w:p>
      <w:pPr>
        <w:pStyle w:val="Heading1"/>
      </w:pPr>
      <w:r>
        <w:t xml:space="preserve">7. Τι μπορεί να ισχυριστεί η εργασία με τα τρέχοντα αποτελέσματα</w:t>
      </w:r>
    </w:p>
    <w:p>
      <w:pPr>
        <w:pStyle w:val="Normal"/>
      </w:pPr>
      <w:r>
        <w:rPr>
          <w:b/>
        </w:rPr>
        <w:t xml:space="preserve">Μπορεί να ισχυριστεί:</w:t>
      </w:r>
    </w:p>
    <w:p>
      <w:pPr>
        <w:pStyle w:val="ListBullet"/>
        <w:numPr>
          <w:ilvl w:val="0"/>
          <w:numId w:val="1"/>
        </w:numPr>
      </w:pPr>
      <w:r>
        <w:t xml:space="preserve">Ότι υλοποιήθηκε ασφαλής, typed και auditable αρχιτεκτονική όπου ένα LLM προτείνει δηλωτικά plans και deterministic κώδικας τα επικυρώνει, εκτελεί και αξιολογεί.</w:t>
      </w:r>
    </w:p>
    <w:p>
      <w:pPr>
        <w:pStyle w:val="ListBullet"/>
        <w:numPr>
          <w:ilvl w:val="0"/>
          <w:numId w:val="1"/>
        </w:numPr>
      </w:pPr>
      <w:r>
        <w:t xml:space="preserve">Ότι στο συγκεκριμένο σενάριο το LLM πρότεινε μια εύλογη ελάχιστη στρατηγική και ότι το completeness αποκαταστάθηκε.</w:t>
      </w:r>
    </w:p>
    <w:p>
      <w:pPr>
        <w:pStyle w:val="ListBullet"/>
        <w:numPr>
          <w:ilvl w:val="0"/>
          <w:numId w:val="1"/>
        </w:numPr>
      </w:pPr>
      <w:r>
        <w:t xml:space="preserve">Ότι οι predictive διαφορές ήταν μικρές και εξαρτώνταν από το μοντέλο.</w:t>
      </w:r>
    </w:p>
    <w:p>
      <w:pPr>
        <w:pStyle w:val="Normal"/>
      </w:pPr>
      <w:r>
        <w:rPr>
          <w:b/>
        </w:rPr>
        <w:t xml:space="preserve">Δεν μπορεί να ισχυριστεί:</w:t>
      </w:r>
    </w:p>
    <w:p>
      <w:pPr>
        <w:pStyle w:val="ListBullet"/>
        <w:numPr>
          <w:ilvl w:val="0"/>
          <w:numId w:val="1"/>
        </w:numPr>
      </w:pPr>
      <w:r>
        <w:t xml:space="preserve">Ότι η Agentic προεπεξεργασία βελτίωσε την προβλεπτική απόδοση της Logistic Regression λόγω της imputation· η διαφορά οφείλεται κυρίως στην απουσία scaling.</w:t>
      </w:r>
    </w:p>
    <w:p>
      <w:pPr>
        <w:pStyle w:val="ListBullet"/>
        <w:numPr>
          <w:ilvl w:val="0"/>
          <w:numId w:val="1"/>
        </w:numPr>
      </w:pPr>
      <w:r>
        <w:t xml:space="preserve">Ότι το κόστος του Agentic pipeline είναι 1,667× λόγω της Agentic λογικής· οφείλεται κυρίως στη LR χωρίς scaling και περιέχει μεγάλο θόρυβο μέτρησης.</w:t>
      </w:r>
    </w:p>
    <w:p>
      <w:pPr>
        <w:pStyle w:val="ListBullet"/>
        <w:numPr>
          <w:ilvl w:val="0"/>
          <w:numId w:val="1"/>
        </w:numPr>
      </w:pPr>
      <w:r>
        <w:t xml:space="preserve">Ότι η ποιότητα δεδομένων βελτιώθηκε συνολικά· βελτιώθηκε το completeness, ενώ η consistency πιθανότατα χειροτέρεψε.</w:t>
      </w:r>
    </w:p>
    <w:p>
      <w:pPr>
        <w:pStyle w:val="ListBullet"/>
        <w:numPr>
          <w:ilvl w:val="0"/>
          <w:numId w:val="1"/>
        </w:numPr>
      </w:pPr>
      <w:r>
        <w:t xml:space="preserve">Ότι το LLM προσθέτει αξία έναντι ενός απλού κανόνα, αφού δεν υπάρχει τέτοιο baseline.</w:t>
      </w:r>
    </w:p>
    <w:p>
      <w:pPr>
        <w:pStyle w:val="ListBullet"/>
        <w:numPr>
          <w:ilvl w:val="0"/>
          <w:numId w:val="1"/>
        </w:numPr>
      </w:pPr>
      <w:r>
        <w:t xml:space="preserve">Ότι το test set αξιολογήθηκε μία μόνο φορά, μέχρι να επιβεβαιωθεί το 4.4.</w:t>
      </w:r>
    </w:p>
    <w:p>
      <w:pPr>
        <w:pStyle w:val="Heading1"/>
        <w:pageBreakBefore/>
      </w:pPr>
      <w:r>
        <w:t xml:space="preserve">Παράρτημα: Βασικά νούμερα από τα artifacts</w:t>
      </w:r>
    </w:p>
    <w:p>
      <w:pPr>
        <w:pStyle w:val="Heading2"/>
      </w:pPr>
      <w:r>
        <w:t xml:space="preserve">Α. Χρόνος fit ανά μοντέλο (άθροισμα 25 folds)</w:t>
      </w:r>
    </w:p>
    <w:tbl>
      <w:tblPr>
        <w:tblW w:w="9026"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Pr>
      <w:tblGrid>
        <w:gridCol w:w="2170"/>
        <w:gridCol w:w="2627"/>
        <w:gridCol w:w="1942"/>
        <w:gridCol w:w="2287"/>
      </w:tblGrid>
      <w:tr>
        <w:trPr>
          <w:tblHeader/>
        </w:trPr>
        <w:tc>
          <w:tcPr>
            <w:tcW w:w="2170" w:type="dxa"/>
            <w:shd w:val="clear" w:color="auto" w:fill="1F3864"/>
          </w:tcPr>
          <w:p>
            <w:pPr>
              <w:pStyle w:val="TableText"/>
            </w:pPr>
            <w:r>
              <w:rPr>
                <w:b/>
                <w:color w:val="FFFFFF"/>
              </w:rPr>
              <w:t xml:space="preserve">Μοντέλο</w:t>
            </w:r>
          </w:p>
        </w:tc>
        <w:tc>
          <w:tcPr>
            <w:tcW w:w="2627" w:type="dxa"/>
            <w:shd w:val="clear" w:color="auto" w:fill="1F3864"/>
          </w:tcPr>
          <w:p>
            <w:pPr>
              <w:pStyle w:val="TableText"/>
            </w:pPr>
            <w:r>
              <w:rPr>
                <w:b/>
                <w:color w:val="FFFFFF"/>
              </w:rPr>
              <w:t xml:space="preserve">Conventional (degraded)</w:t>
            </w:r>
          </w:p>
        </w:tc>
        <w:tc>
          <w:tcPr>
            <w:tcW w:w="1942" w:type="dxa"/>
            <w:shd w:val="clear" w:color="auto" w:fill="1F3864"/>
          </w:tcPr>
          <w:p>
            <w:pPr>
              <w:pStyle w:val="TableText"/>
            </w:pPr>
            <w:r>
              <w:rPr>
                <w:b/>
                <w:color w:val="FFFFFF"/>
              </w:rPr>
              <w:t xml:space="preserve">Agentic candidate</w:t>
            </w:r>
          </w:p>
        </w:tc>
        <w:tc>
          <w:tcPr>
            <w:tcW w:w="2287" w:type="dxa"/>
            <w:shd w:val="clear" w:color="auto" w:fill="1F3864"/>
          </w:tcPr>
          <w:p>
            <w:pPr>
              <w:pStyle w:val="TableText"/>
            </w:pPr>
            <w:r>
              <w:rPr>
                <w:b/>
                <w:color w:val="FFFFFF"/>
              </w:rPr>
              <w:t xml:space="preserve">Agentic re-benchmark</w:t>
            </w:r>
          </w:p>
        </w:tc>
      </w:tr>
      <w:tr>
        <w:tc>
          <w:tcPr>
            <w:tcW w:w="2170" w:type="dxa"/>
          </w:tcPr>
          <w:p>
            <w:pPr>
              <w:pStyle w:val="TableText"/>
            </w:pPr>
            <w:r>
              <w:t xml:space="preserve">Logistic Regression</w:t>
            </w:r>
          </w:p>
        </w:tc>
        <w:tc>
          <w:tcPr>
            <w:tcW w:w="2627" w:type="dxa"/>
          </w:tcPr>
          <w:p>
            <w:pPr>
              <w:pStyle w:val="TableText"/>
            </w:pPr>
            <w:r>
              <w:t xml:space="preserve">12,8 s</w:t>
            </w:r>
          </w:p>
        </w:tc>
        <w:tc>
          <w:tcPr>
            <w:tcW w:w="1942" w:type="dxa"/>
          </w:tcPr>
          <w:p>
            <w:pPr>
              <w:pStyle w:val="TableText"/>
            </w:pPr>
            <w:r>
              <w:t xml:space="preserve">101,6 s</w:t>
            </w:r>
          </w:p>
        </w:tc>
        <w:tc>
          <w:tcPr>
            <w:tcW w:w="2287" w:type="dxa"/>
          </w:tcPr>
          <w:p>
            <w:pPr>
              <w:pStyle w:val="TableText"/>
            </w:pPr>
            <w:r>
              <w:t xml:space="preserve">72,1 s</w:t>
            </w:r>
          </w:p>
        </w:tc>
      </w:tr>
      <w:tr>
        <w:tc>
          <w:tcPr>
            <w:tcW w:w="2170" w:type="dxa"/>
            <w:shd w:val="clear" w:color="auto" w:fill="F2F5FA"/>
          </w:tcPr>
          <w:p>
            <w:pPr>
              <w:pStyle w:val="TableText"/>
            </w:pPr>
            <w:r>
              <w:t xml:space="preserve">Decision Tree</w:t>
            </w:r>
          </w:p>
        </w:tc>
        <w:tc>
          <w:tcPr>
            <w:tcW w:w="2627" w:type="dxa"/>
            <w:shd w:val="clear" w:color="auto" w:fill="F2F5FA"/>
          </w:tcPr>
          <w:p>
            <w:pPr>
              <w:pStyle w:val="TableText"/>
            </w:pPr>
            <w:r>
              <w:t xml:space="preserve">18,2 s</w:t>
            </w:r>
          </w:p>
        </w:tc>
        <w:tc>
          <w:tcPr>
            <w:tcW w:w="1942" w:type="dxa"/>
            <w:shd w:val="clear" w:color="auto" w:fill="F2F5FA"/>
          </w:tcPr>
          <w:p>
            <w:pPr>
              <w:pStyle w:val="TableText"/>
            </w:pPr>
            <w:r>
              <w:t xml:space="preserve">23,4 s</w:t>
            </w:r>
          </w:p>
        </w:tc>
        <w:tc>
          <w:tcPr>
            <w:tcW w:w="2287" w:type="dxa"/>
            <w:shd w:val="clear" w:color="auto" w:fill="F2F5FA"/>
          </w:tcPr>
          <w:p>
            <w:pPr>
              <w:pStyle w:val="TableText"/>
            </w:pPr>
            <w:r>
              <w:t xml:space="preserve">18,1 s</w:t>
            </w:r>
          </w:p>
        </w:tc>
      </w:tr>
      <w:tr>
        <w:tc>
          <w:tcPr>
            <w:tcW w:w="2170" w:type="dxa"/>
          </w:tcPr>
          <w:p>
            <w:pPr>
              <w:pStyle w:val="TableText"/>
            </w:pPr>
            <w:r>
              <w:t xml:space="preserve">Random Forest</w:t>
            </w:r>
          </w:p>
        </w:tc>
        <w:tc>
          <w:tcPr>
            <w:tcW w:w="2627" w:type="dxa"/>
          </w:tcPr>
          <w:p>
            <w:pPr>
              <w:pStyle w:val="TableText"/>
            </w:pPr>
            <w:r>
              <w:t xml:space="preserve">104,3 s</w:t>
            </w:r>
          </w:p>
        </w:tc>
        <w:tc>
          <w:tcPr>
            <w:tcW w:w="1942" w:type="dxa"/>
          </w:tcPr>
          <w:p>
            <w:pPr>
              <w:pStyle w:val="TableText"/>
            </w:pPr>
            <w:r>
              <w:t xml:space="preserve">103,3 s</w:t>
            </w:r>
          </w:p>
        </w:tc>
        <w:tc>
          <w:tcPr>
            <w:tcW w:w="2287" w:type="dxa"/>
          </w:tcPr>
          <w:p>
            <w:pPr>
              <w:pStyle w:val="TableText"/>
            </w:pPr>
            <w:r>
              <w:t xml:space="preserve">91,7 s</w:t>
            </w:r>
          </w:p>
        </w:tc>
      </w:tr>
    </w:tbl>
    <w:p>
      <w:pPr>
        <w:pStyle w:val="Normal"/>
        <w:spacing w:before="0" w:after="60"/>
      </w:pPr>
    </w:p>
    <w:p>
      <w:pPr>
        <w:pStyle w:val="Heading2"/>
      </w:pPr>
      <w:r>
        <w:t xml:space="preserve">Β. Paired tests (25 fold pairs, Holm correction σε 12 συγκρίσεις)</w:t>
      </w:r>
    </w:p>
    <w:tbl>
      <w:tblPr>
        <w:tblW w:w="9026"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Pr>
      <w:tblGrid>
        <w:gridCol w:w="2956"/>
        <w:gridCol w:w="1400"/>
        <w:gridCol w:w="1556"/>
        <w:gridCol w:w="1867"/>
        <w:gridCol w:w="1247"/>
      </w:tblGrid>
      <w:tr>
        <w:trPr>
          <w:tblHeader/>
        </w:trPr>
        <w:tc>
          <w:tcPr>
            <w:tcW w:w="2956" w:type="dxa"/>
            <w:shd w:val="clear" w:color="auto" w:fill="1F3864"/>
          </w:tcPr>
          <w:p>
            <w:pPr>
              <w:pStyle w:val="TableText"/>
            </w:pPr>
            <w:r>
              <w:rPr>
                <w:b/>
                <w:color w:val="FFFFFF"/>
              </w:rPr>
              <w:t xml:space="preserve">Μοντέλο</w:t>
            </w:r>
          </w:p>
        </w:tc>
        <w:tc>
          <w:tcPr>
            <w:tcW w:w="1400" w:type="dxa"/>
            <w:shd w:val="clear" w:color="auto" w:fill="1F3864"/>
          </w:tcPr>
          <w:p>
            <w:pPr>
              <w:pStyle w:val="TableText"/>
            </w:pPr>
            <w:r>
              <w:rPr>
                <w:b/>
                <w:color w:val="FFFFFF"/>
              </w:rPr>
              <w:t xml:space="preserve">Μετρική</w:t>
            </w:r>
          </w:p>
        </w:tc>
        <w:tc>
          <w:tcPr>
            <w:tcW w:w="1556" w:type="dxa"/>
            <w:shd w:val="clear" w:color="auto" w:fill="1F3864"/>
          </w:tcPr>
          <w:p>
            <w:pPr>
              <w:pStyle w:val="TableText"/>
            </w:pPr>
            <w:r>
              <w:rPr>
                <w:b/>
                <w:color w:val="FFFFFF"/>
              </w:rPr>
              <w:t xml:space="preserve">Mean delta</w:t>
            </w:r>
          </w:p>
        </w:tc>
        <w:tc>
          <w:tcPr>
            <w:tcW w:w="1867" w:type="dxa"/>
            <w:shd w:val="clear" w:color="auto" w:fill="1F3864"/>
          </w:tcPr>
          <w:p>
            <w:pPr>
              <w:pStyle w:val="TableText"/>
            </w:pPr>
            <w:r>
              <w:rPr>
                <w:b/>
                <w:color w:val="FFFFFF"/>
              </w:rPr>
              <w:t xml:space="preserve">Agentic wins</w:t>
            </w:r>
          </w:p>
        </w:tc>
        <w:tc>
          <w:tcPr>
            <w:tcW w:w="1247" w:type="dxa"/>
            <w:shd w:val="clear" w:color="auto" w:fill="1F3864"/>
          </w:tcPr>
          <w:p>
            <w:pPr>
              <w:pStyle w:val="TableText"/>
            </w:pPr>
            <w:r>
              <w:rPr>
                <w:b/>
                <w:color w:val="FFFFFF"/>
              </w:rPr>
              <w:t xml:space="preserve">Holm p</w:t>
            </w:r>
          </w:p>
        </w:tc>
      </w:tr>
      <w:tr>
        <w:tc>
          <w:tcPr>
            <w:tcW w:w="2956" w:type="dxa"/>
          </w:tcPr>
          <w:p>
            <w:pPr>
              <w:pStyle w:val="TableText"/>
            </w:pPr>
            <w:r>
              <w:t xml:space="preserve">Logistic Regression</w:t>
            </w:r>
          </w:p>
        </w:tc>
        <w:tc>
          <w:tcPr>
            <w:tcW w:w="1400" w:type="dxa"/>
          </w:tcPr>
          <w:p>
            <w:pPr>
              <w:pStyle w:val="TableText"/>
            </w:pPr>
            <w:r>
              <w:t xml:space="preserve">PR-AUC</w:t>
            </w:r>
          </w:p>
        </w:tc>
        <w:tc>
          <w:tcPr>
            <w:tcW w:w="1556" w:type="dxa"/>
          </w:tcPr>
          <w:p>
            <w:pPr>
              <w:pStyle w:val="TableText"/>
            </w:pPr>
            <w:r>
              <w:t xml:space="preserve">+0,00544</w:t>
            </w:r>
          </w:p>
        </w:tc>
        <w:tc>
          <w:tcPr>
            <w:tcW w:w="1867" w:type="dxa"/>
          </w:tcPr>
          <w:p>
            <w:pPr>
              <w:pStyle w:val="TableText"/>
            </w:pPr>
            <w:r>
              <w:t xml:space="preserve">25/25</w:t>
            </w:r>
          </w:p>
        </w:tc>
        <w:tc>
          <w:tcPr>
            <w:tcW w:w="1247" w:type="dxa"/>
          </w:tcPr>
          <w:p>
            <w:pPr>
              <w:pStyle w:val="TableText"/>
            </w:pPr>
            <w:r>
              <w:t xml:space="preserve">7,2·10⁻⁷</w:t>
            </w:r>
          </w:p>
        </w:tc>
      </w:tr>
      <w:tr>
        <w:tc>
          <w:tcPr>
            <w:tcW w:w="2956" w:type="dxa"/>
            <w:shd w:val="clear" w:color="auto" w:fill="F2F5FA"/>
          </w:tcPr>
          <w:p>
            <w:pPr>
              <w:pStyle w:val="TableText"/>
            </w:pPr>
            <w:r>
              <w:t xml:space="preserve">Logistic Regression</w:t>
            </w:r>
          </w:p>
        </w:tc>
        <w:tc>
          <w:tcPr>
            <w:tcW w:w="1400" w:type="dxa"/>
            <w:shd w:val="clear" w:color="auto" w:fill="F2F5FA"/>
          </w:tcPr>
          <w:p>
            <w:pPr>
              <w:pStyle w:val="TableText"/>
            </w:pPr>
            <w:r>
              <w:t xml:space="preserve">Recall</w:t>
            </w:r>
          </w:p>
        </w:tc>
        <w:tc>
          <w:tcPr>
            <w:tcW w:w="1556" w:type="dxa"/>
            <w:shd w:val="clear" w:color="auto" w:fill="F2F5FA"/>
          </w:tcPr>
          <w:p>
            <w:pPr>
              <w:pStyle w:val="TableText"/>
            </w:pPr>
            <w:r>
              <w:t xml:space="preserve">−0,00360</w:t>
            </w:r>
          </w:p>
        </w:tc>
        <w:tc>
          <w:tcPr>
            <w:tcW w:w="1867" w:type="dxa"/>
            <w:shd w:val="clear" w:color="auto" w:fill="F2F5FA"/>
          </w:tcPr>
          <w:p>
            <w:pPr>
              <w:pStyle w:val="TableText"/>
            </w:pPr>
            <w:r>
              <w:t xml:space="preserve">2/25</w:t>
            </w:r>
          </w:p>
        </w:tc>
        <w:tc>
          <w:tcPr>
            <w:tcW w:w="1247" w:type="dxa"/>
            <w:shd w:val="clear" w:color="auto" w:fill="F2F5FA"/>
          </w:tcPr>
          <w:p>
            <w:pPr>
              <w:pStyle w:val="TableText"/>
            </w:pPr>
            <w:r>
              <w:t xml:space="preserve">4,4·10⁻⁴</w:t>
            </w:r>
          </w:p>
        </w:tc>
      </w:tr>
      <w:tr>
        <w:tc>
          <w:tcPr>
            <w:tcW w:w="2956" w:type="dxa"/>
          </w:tcPr>
          <w:p>
            <w:pPr>
              <w:pStyle w:val="TableText"/>
            </w:pPr>
            <w:r>
              <w:t xml:space="preserve">Decision Tree</w:t>
            </w:r>
          </w:p>
        </w:tc>
        <w:tc>
          <w:tcPr>
            <w:tcW w:w="1400" w:type="dxa"/>
          </w:tcPr>
          <w:p>
            <w:pPr>
              <w:pStyle w:val="TableText"/>
            </w:pPr>
            <w:r>
              <w:t xml:space="preserve">PR-AUC</w:t>
            </w:r>
          </w:p>
        </w:tc>
        <w:tc>
          <w:tcPr>
            <w:tcW w:w="1556" w:type="dxa"/>
          </w:tcPr>
          <w:p>
            <w:pPr>
              <w:pStyle w:val="TableText"/>
            </w:pPr>
            <w:r>
              <w:t xml:space="preserve">+0,00159</w:t>
            </w:r>
          </w:p>
        </w:tc>
        <w:tc>
          <w:tcPr>
            <w:tcW w:w="1867" w:type="dxa"/>
          </w:tcPr>
          <w:p>
            <w:pPr>
              <w:pStyle w:val="TableText"/>
            </w:pPr>
            <w:r>
              <w:t xml:space="preserve">15/25</w:t>
            </w:r>
          </w:p>
        </w:tc>
        <w:tc>
          <w:tcPr>
            <w:tcW w:w="1247" w:type="dxa"/>
          </w:tcPr>
          <w:p>
            <w:pPr>
              <w:pStyle w:val="TableText"/>
            </w:pPr>
            <w:r>
              <w:t xml:space="preserve">0,44</w:t>
            </w:r>
          </w:p>
        </w:tc>
      </w:tr>
      <w:tr>
        <w:tc>
          <w:tcPr>
            <w:tcW w:w="2956" w:type="dxa"/>
            <w:shd w:val="clear" w:color="auto" w:fill="F2F5FA"/>
          </w:tcPr>
          <w:p>
            <w:pPr>
              <w:pStyle w:val="TableText"/>
            </w:pPr>
            <w:r>
              <w:t xml:space="preserve">Random Forest</w:t>
            </w:r>
          </w:p>
        </w:tc>
        <w:tc>
          <w:tcPr>
            <w:tcW w:w="1400" w:type="dxa"/>
            <w:shd w:val="clear" w:color="auto" w:fill="F2F5FA"/>
          </w:tcPr>
          <w:p>
            <w:pPr>
              <w:pStyle w:val="TableText"/>
            </w:pPr>
            <w:r>
              <w:t xml:space="preserve">PR-AUC</w:t>
            </w:r>
          </w:p>
        </w:tc>
        <w:tc>
          <w:tcPr>
            <w:tcW w:w="1556" w:type="dxa"/>
            <w:shd w:val="clear" w:color="auto" w:fill="F2F5FA"/>
          </w:tcPr>
          <w:p>
            <w:pPr>
              <w:pStyle w:val="TableText"/>
            </w:pPr>
            <w:r>
              <w:t xml:space="preserve">+0,00026</w:t>
            </w:r>
          </w:p>
        </w:tc>
        <w:tc>
          <w:tcPr>
            <w:tcW w:w="1867" w:type="dxa"/>
            <w:shd w:val="clear" w:color="auto" w:fill="F2F5FA"/>
          </w:tcPr>
          <w:p>
            <w:pPr>
              <w:pStyle w:val="TableText"/>
            </w:pPr>
            <w:r>
              <w:t xml:space="preserve">14/25</w:t>
            </w:r>
          </w:p>
        </w:tc>
        <w:tc>
          <w:tcPr>
            <w:tcW w:w="1247" w:type="dxa"/>
            <w:shd w:val="clear" w:color="auto" w:fill="F2F5FA"/>
          </w:tcPr>
          <w:p>
            <w:pPr>
              <w:pStyle w:val="TableText"/>
            </w:pPr>
            <w:r>
              <w:t xml:space="preserve">1,00</w:t>
            </w:r>
          </w:p>
        </w:tc>
      </w:tr>
      <w:tr>
        <w:tc>
          <w:tcPr>
            <w:tcW w:w="2956" w:type="dxa"/>
          </w:tcPr>
          <w:p>
            <w:pPr>
              <w:pStyle w:val="TableText"/>
            </w:pPr>
            <w:r>
              <w:t xml:space="preserve">Random Forest</w:t>
            </w:r>
          </w:p>
        </w:tc>
        <w:tc>
          <w:tcPr>
            <w:tcW w:w="1400" w:type="dxa"/>
          </w:tcPr>
          <w:p>
            <w:pPr>
              <w:pStyle w:val="TableText"/>
            </w:pPr>
            <w:r>
              <w:t xml:space="preserve">Precision</w:t>
            </w:r>
          </w:p>
        </w:tc>
        <w:tc>
          <w:tcPr>
            <w:tcW w:w="1556" w:type="dxa"/>
          </w:tcPr>
          <w:p>
            <w:pPr>
              <w:pStyle w:val="TableText"/>
            </w:pPr>
            <w:r>
              <w:t xml:space="preserve">+0,00662</w:t>
            </w:r>
          </w:p>
        </w:tc>
        <w:tc>
          <w:tcPr>
            <w:tcW w:w="1867" w:type="dxa"/>
          </w:tcPr>
          <w:p>
            <w:pPr>
              <w:pStyle w:val="TableText"/>
            </w:pPr>
            <w:r>
              <w:t xml:space="preserve">21/25</w:t>
            </w:r>
          </w:p>
        </w:tc>
        <w:tc>
          <w:tcPr>
            <w:tcW w:w="1247" w:type="dxa"/>
          </w:tcPr>
          <w:p>
            <w:pPr>
              <w:pStyle w:val="TableText"/>
            </w:pPr>
            <w:r>
              <w:t xml:space="preserve">1,2·10⁻³</w:t>
            </w:r>
          </w:p>
        </w:tc>
      </w:tr>
      <w:tr>
        <w:tc>
          <w:tcPr>
            <w:tcW w:w="2956" w:type="dxa"/>
            <w:shd w:val="clear" w:color="auto" w:fill="F2F5FA"/>
          </w:tcPr>
          <w:p>
            <w:pPr>
              <w:pStyle w:val="TableText"/>
            </w:pPr>
            <w:r>
              <w:t xml:space="preserve">Random Forest</w:t>
            </w:r>
          </w:p>
        </w:tc>
        <w:tc>
          <w:tcPr>
            <w:tcW w:w="1400" w:type="dxa"/>
            <w:shd w:val="clear" w:color="auto" w:fill="F2F5FA"/>
          </w:tcPr>
          <w:p>
            <w:pPr>
              <w:pStyle w:val="TableText"/>
            </w:pPr>
            <w:r>
              <w:t xml:space="preserve">F1</w:t>
            </w:r>
          </w:p>
        </w:tc>
        <w:tc>
          <w:tcPr>
            <w:tcW w:w="1556" w:type="dxa"/>
            <w:shd w:val="clear" w:color="auto" w:fill="F2F5FA"/>
          </w:tcPr>
          <w:p>
            <w:pPr>
              <w:pStyle w:val="TableText"/>
            </w:pPr>
            <w:r>
              <w:t xml:space="preserve">+0,00312</w:t>
            </w:r>
          </w:p>
        </w:tc>
        <w:tc>
          <w:tcPr>
            <w:tcW w:w="1867" w:type="dxa"/>
            <w:shd w:val="clear" w:color="auto" w:fill="F2F5FA"/>
          </w:tcPr>
          <w:p>
            <w:pPr>
              <w:pStyle w:val="TableText"/>
            </w:pPr>
            <w:r>
              <w:t xml:space="preserve">21/25</w:t>
            </w:r>
          </w:p>
        </w:tc>
        <w:tc>
          <w:tcPr>
            <w:tcW w:w="1247" w:type="dxa"/>
            <w:shd w:val="clear" w:color="auto" w:fill="F2F5FA"/>
          </w:tcPr>
          <w:p>
            <w:pPr>
              <w:pStyle w:val="TableText"/>
            </w:pPr>
            <w:r>
              <w:t xml:space="preserve">1,5·10⁻³</w:t>
            </w:r>
          </w:p>
        </w:tc>
      </w:tr>
    </w:tbl>
    <w:p>
      <w:pPr>
        <w:pStyle w:val="Normal"/>
        <w:spacing w:before="0" w:after="60"/>
      </w:pPr>
    </w:p>
    <w:p>
      <w:pPr>
        <w:pStyle w:val="Heading2"/>
      </w:pPr>
      <w:r>
        <w:t xml:space="preserve">Γ. Test set PR-AUC (steps 595–743, 123.580 γραμμές, 1.654 fraud)</w:t>
      </w:r>
    </w:p>
    <w:tbl>
      <w:tblPr>
        <w:tblW w:w="9026"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Pr>
      <w:tblGrid>
        <w:gridCol w:w="3810"/>
        <w:gridCol w:w="2406"/>
        <w:gridCol w:w="1404"/>
        <w:gridCol w:w="1406"/>
      </w:tblGrid>
      <w:tr>
        <w:trPr>
          <w:tblHeader/>
        </w:trPr>
        <w:tc>
          <w:tcPr>
            <w:tcW w:w="3810" w:type="dxa"/>
            <w:shd w:val="clear" w:color="auto" w:fill="1F3864"/>
          </w:tcPr>
          <w:p>
            <w:pPr>
              <w:pStyle w:val="TableText"/>
            </w:pPr>
            <w:r>
              <w:rPr>
                <w:b/>
                <w:color w:val="FFFFFF"/>
              </w:rPr>
              <w:t xml:space="preserve">Μοντέλο</w:t>
            </w:r>
          </w:p>
        </w:tc>
        <w:tc>
          <w:tcPr>
            <w:tcW w:w="2406" w:type="dxa"/>
            <w:shd w:val="clear" w:color="auto" w:fill="1F3864"/>
          </w:tcPr>
          <w:p>
            <w:pPr>
              <w:pStyle w:val="TableText"/>
            </w:pPr>
            <w:r>
              <w:rPr>
                <w:b/>
                <w:color w:val="FFFFFF"/>
              </w:rPr>
              <w:t xml:space="preserve">Conventional</w:t>
            </w:r>
          </w:p>
        </w:tc>
        <w:tc>
          <w:tcPr>
            <w:tcW w:w="1404" w:type="dxa"/>
            <w:shd w:val="clear" w:color="auto" w:fill="1F3864"/>
          </w:tcPr>
          <w:p>
            <w:pPr>
              <w:pStyle w:val="TableText"/>
            </w:pPr>
            <w:r>
              <w:rPr>
                <w:b/>
                <w:color w:val="FFFFFF"/>
              </w:rPr>
              <w:t xml:space="preserve">Agentic</w:t>
            </w:r>
          </w:p>
        </w:tc>
        <w:tc>
          <w:tcPr>
            <w:tcW w:w="1406" w:type="dxa"/>
            <w:shd w:val="clear" w:color="auto" w:fill="1F3864"/>
          </w:tcPr>
          <w:p>
            <w:pPr>
              <w:pStyle w:val="TableText"/>
            </w:pPr>
            <w:r>
              <w:rPr>
                <w:b/>
                <w:color w:val="FFFFFF"/>
              </w:rPr>
              <w:t xml:space="preserve">Delta</w:t>
            </w:r>
          </w:p>
        </w:tc>
      </w:tr>
      <w:tr>
        <w:tc>
          <w:tcPr>
            <w:tcW w:w="3810" w:type="dxa"/>
          </w:tcPr>
          <w:p>
            <w:pPr>
              <w:pStyle w:val="TableText"/>
            </w:pPr>
            <w:r>
              <w:t xml:space="preserve">Logistic Regression</w:t>
            </w:r>
          </w:p>
        </w:tc>
        <w:tc>
          <w:tcPr>
            <w:tcW w:w="2406" w:type="dxa"/>
          </w:tcPr>
          <w:p>
            <w:pPr>
              <w:pStyle w:val="TableText"/>
            </w:pPr>
            <w:r>
              <w:t xml:space="preserve">0,2060</w:t>
            </w:r>
          </w:p>
        </w:tc>
        <w:tc>
          <w:tcPr>
            <w:tcW w:w="1404" w:type="dxa"/>
          </w:tcPr>
          <w:p>
            <w:pPr>
              <w:pStyle w:val="TableText"/>
            </w:pPr>
            <w:r>
              <w:t xml:space="preserve">0,2132</w:t>
            </w:r>
          </w:p>
        </w:tc>
        <w:tc>
          <w:tcPr>
            <w:tcW w:w="1406" w:type="dxa"/>
          </w:tcPr>
          <w:p>
            <w:pPr>
              <w:pStyle w:val="TableText"/>
            </w:pPr>
            <w:r>
              <w:t xml:space="preserve">+0,0073</w:t>
            </w:r>
          </w:p>
        </w:tc>
      </w:tr>
      <w:tr>
        <w:tc>
          <w:tcPr>
            <w:tcW w:w="3810" w:type="dxa"/>
            <w:shd w:val="clear" w:color="auto" w:fill="F2F5FA"/>
          </w:tcPr>
          <w:p>
            <w:pPr>
              <w:pStyle w:val="TableText"/>
            </w:pPr>
            <w:r>
              <w:t xml:space="preserve">Decision Tree</w:t>
            </w:r>
          </w:p>
        </w:tc>
        <w:tc>
          <w:tcPr>
            <w:tcW w:w="2406" w:type="dxa"/>
            <w:shd w:val="clear" w:color="auto" w:fill="F2F5FA"/>
          </w:tcPr>
          <w:p>
            <w:pPr>
              <w:pStyle w:val="TableText"/>
            </w:pPr>
            <w:r>
              <w:t xml:space="preserve">0,0805</w:t>
            </w:r>
          </w:p>
        </w:tc>
        <w:tc>
          <w:tcPr>
            <w:tcW w:w="1404" w:type="dxa"/>
            <w:shd w:val="clear" w:color="auto" w:fill="F2F5FA"/>
          </w:tcPr>
          <w:p>
            <w:pPr>
              <w:pStyle w:val="TableText"/>
            </w:pPr>
            <w:r>
              <w:t xml:space="preserve">0,0758</w:t>
            </w:r>
          </w:p>
        </w:tc>
        <w:tc>
          <w:tcPr>
            <w:tcW w:w="1406" w:type="dxa"/>
            <w:shd w:val="clear" w:color="auto" w:fill="F2F5FA"/>
          </w:tcPr>
          <w:p>
            <w:pPr>
              <w:pStyle w:val="TableText"/>
            </w:pPr>
            <w:r>
              <w:t xml:space="preserve">−0,0047</w:t>
            </w:r>
          </w:p>
        </w:tc>
      </w:tr>
      <w:tr>
        <w:tc>
          <w:tcPr>
            <w:tcW w:w="3810" w:type="dxa"/>
          </w:tcPr>
          <w:p>
            <w:pPr>
              <w:pStyle w:val="TableText"/>
            </w:pPr>
            <w:r>
              <w:t xml:space="preserve">Random Forest</w:t>
            </w:r>
          </w:p>
        </w:tc>
        <w:tc>
          <w:tcPr>
            <w:tcW w:w="2406" w:type="dxa"/>
          </w:tcPr>
          <w:p>
            <w:pPr>
              <w:pStyle w:val="TableText"/>
            </w:pPr>
            <w:r>
              <w:t xml:space="preserve">0,3540</w:t>
            </w:r>
          </w:p>
        </w:tc>
        <w:tc>
          <w:tcPr>
            <w:tcW w:w="1404" w:type="dxa"/>
          </w:tcPr>
          <w:p>
            <w:pPr>
              <w:pStyle w:val="TableText"/>
            </w:pPr>
            <w:r>
              <w:t xml:space="preserve">0,3559</w:t>
            </w:r>
          </w:p>
        </w:tc>
        <w:tc>
          <w:tcPr>
            <w:tcW w:w="1406" w:type="dxa"/>
          </w:tcPr>
          <w:p>
            <w:pPr>
              <w:pStyle w:val="TableText"/>
            </w:pPr>
            <w:r>
              <w:t xml:space="preserve">+0,0019</w:t>
            </w:r>
          </w:p>
        </w:tc>
      </w:tr>
    </w:tbl>
    <w:p>
      <w:pPr>
        <w:pStyle w:val="Normal"/>
        <w:spacing w:before="0" w:after="60"/>
      </w:pPr>
    </w:p>
    <w:sectPr>
      <w:footerReference w:type="default" r:id="rIdFooter"/>
      <w:pgSz w:w="11906" w:h="16838"/>
      <w:pgMar w:top="1440" w:right="1440" w:bottom="1440" w:left="1440" w:header="708" w:footer="708"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color w:val="1F3864"/>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l-GR" w:eastAsia="en-US" w:bidi="ar-SA"/>
      </w:rPr>
    </w:rPrDefault>
    <w:pPrDefault>
      <w:pPr>
        <w:spacing w:after="120" w:line="276" w:lineRule="auto"/>
      </w:pPr>
    </w:pPrDefault>
  </w:docDefaults>
  <w:style w:type="paragraph" w:default="1" w:styleId="Normal">
    <w:name w:val="Normal"/>
    <w:pPr>
      <w:jc w:val="both"/>
    </w:pPr>
  </w:style>
  <w:style w:type="paragraph" w:styleId="Title">
    <w:name w:val="Title"/>
    <w:basedOn w:val="Normal"/>
    <w:next w:val="Normal"/>
    <w:pPr>
      <w:jc w:val="left"/>
      <w:spacing w:after="60"/>
    </w:pPr>
    <w:rPr>
      <w:b/>
      <w:color w:val="1F3864"/>
      <w:sz w:val="40"/>
      <w:szCs w:val="40"/>
    </w:rPr>
  </w:style>
  <w:style w:type="paragraph" w:styleId="Subtitle">
    <w:name w:val="Subtitle"/>
    <w:basedOn w:val="Normal"/>
    <w:next w:val="Normal"/>
    <w:pPr>
      <w:jc w:val="left"/>
      <w:pBdr>
        <w:bottom w:val="single" w:sz="8" w:space="6" w:color="1F3864"/>
      </w:pBdr>
      <w:spacing w:after="240"/>
    </w:pPr>
    <w:rPr>
      <w:color w:val="595959"/>
      <w:sz w:val="20"/>
    </w:rPr>
  </w:style>
  <w:style w:type="paragraph" w:styleId="Heading1">
    <w:name w:val="heading 1"/>
    <w:basedOn w:val="Normal"/>
    <w:next w:val="Normal"/>
    <w:pPr>
      <w:keepNext/>
      <w:jc w:val="left"/>
      <w:spacing w:before="360" w:after="120"/>
      <w:outlineLvl w:val="0"/>
    </w:pPr>
    <w:rPr>
      <w:b/>
      <w:color w:val="1F3864"/>
      <w:sz w:val="30"/>
      <w:szCs w:val="30"/>
    </w:rPr>
  </w:style>
  <w:style w:type="paragraph" w:styleId="Heading2">
    <w:name w:val="heading 2"/>
    <w:basedOn w:val="Normal"/>
    <w:next w:val="Normal"/>
    <w:pPr>
      <w:keepNext/>
      <w:jc w:val="left"/>
      <w:spacing w:before="240" w:after="80"/>
      <w:outlineLvl w:val="1"/>
    </w:pPr>
    <w:rPr>
      <w:b/>
      <w:color w:val="2E5597"/>
      <w:sz w:val="25"/>
      <w:szCs w:val="25"/>
    </w:rPr>
  </w:style>
  <w:style w:type="paragraph" w:styleId="ListBullet">
    <w:name w:val="List Bullet"/>
    <w:basedOn w:val="Normal"/>
    <w:pPr>
      <w:spacing w:after="60"/>
      <w:jc w:val="left"/>
    </w:pPr>
  </w:style>
  <w:style w:type="paragraph" w:styleId="TableText">
    <w:name w:val="Table Text"/>
    <w:basedOn w:val="Normal"/>
    <w:pPr>
      <w:spacing w:after="0" w:line="240" w:lineRule="auto"/>
      <w:jc w:val="left"/>
    </w:pPr>
    <w:rPr>
      <w:sz w:val="19"/>
      <w:szCs w:val="19"/>
    </w:rPr>
  </w:style>
  <w:style w:type="paragraph" w:styleId="Footer">
    <w:name w:val="footer"/>
    <w:basedOn w:val="Normal"/>
    <w:pPr>
      <w:jc w:val="center"/>
      <w:spacing w:after="0"/>
    </w:pPr>
    <w:rPr>
      <w:color w:val="808080"/>
      <w:sz w:val="18"/>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Μεθοδολογικός έλεγχος της διπλωματικής εργασίας</dc:title>
  <dc:language>el-GR</dc:language>
  <dcterms:created xsi:type="dcterms:W3CDTF">2026-10-17T00:00:00Z</dcterms:created>
</cp:coreProperties>
</file>