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FlexiDon iX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Requirements &amp; Project Consolidation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A multipurpose, configuration-defined industrial edge platform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Status: requirements-led — proof-of-concept implementation now underway (web-first)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Document version 0.3  ·  2026-06-28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20"/>
      </w:pPr>
      <w:r>
        <w:t xml:space="preserve">A single consolidated record of (a) the product requirements and guiding principles gathered so far, and (b) what has actually been built in the proof-of-concept. This is a </w:t>
      </w:r>
      <w:r>
        <w:rPr>
          <w:b/>
          <w:bCs/>
          <w:i w:val="false"/>
          <w:iCs w:val="false"/>
        </w:rPr>
        <w:t xml:space="preserve">living document</w:t>
      </w:r>
      <w:r>
        <w:t xml:space="preserve"> — decisions are added as they are settled, and open questions are tracked explicitly rather than hidden.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Working status: </w:t>
      </w:r>
      <w:r>
        <w:t xml:space="preserve">the project remains requirements-led — requirements, design, and architecture are settled before each piece is committed to. With the core principles now consolidated, proof-of-concept implementation has begun, taking the web configuration surface first (it is the seam that forces the tag/metadata contract to be defined). The web app has been scaffolded (Vite + React + Bootstrap 5, with a swappable theme layer) and the Overview page builds against the pool’s SYS block.</w:t>
      </w:r>
    </w:p>
    <w:p>
      <w:pPr>
        <w:pStyle w:val="Heading1"/>
      </w:pPr>
      <w:r>
        <w:t xml:space="preserve">2. Product Vision</w:t>
      </w:r>
    </w:p>
    <w:p>
      <w:pPr>
        <w:spacing w:after="120"/>
      </w:pPr>
      <w:r>
        <w:t xml:space="preserve">A smart industrial </w:t>
      </w:r>
      <w:r>
        <w:rPr>
          <w:b/>
          <w:bCs/>
          <w:i w:val="false"/>
          <w:iCs w:val="false"/>
        </w:rPr>
        <w:t xml:space="preserve">HMI / mini-PLC / Data-Concentrator (DCU)</w:t>
      </w:r>
      <w:r>
        <w:t xml:space="preserve"> product. The long-term intent is a </w:t>
      </w:r>
      <w:r>
        <w:rPr>
          <w:b/>
          <w:bCs/>
          <w:i w:val="false"/>
          <w:iCs w:val="false"/>
        </w:rPr>
        <w:t xml:space="preserve">flexible platform</w:t>
      </w:r>
      <w:r>
        <w:t xml:space="preserve">, not a single fixed-function device: a strong protocol-agnostic core onto which protocols, logic, communication, web, and UI capabilities can be added or replaced over the product’s life without disturbing the rest.</w:t>
      </w:r>
    </w:p>
    <w:p>
      <w:pPr>
        <w:pStyle w:val="Heading2"/>
      </w:pPr>
      <w:r>
        <w:t xml:space="preserve">2.1 Multipurpose, Configuration-Defined Device</w:t>
      </w:r>
    </w:p>
    <w:p>
      <w:pPr>
        <w:spacing w:after="120"/>
      </w:pPr>
      <w:r>
        <w:t xml:space="preserve">The product is not </w:t>
      </w:r>
      <w:r>
        <w:rPr>
          <w:b w:val="false"/>
          <w:bCs w:val="false"/>
          <w:i/>
          <w:iCs/>
        </w:rPr>
        <w:t xml:space="preserve">a</w:t>
      </w:r>
      <w:r>
        <w:t xml:space="preserve"> PLC, </w:t>
      </w:r>
      <w:r>
        <w:rPr>
          <w:b w:val="false"/>
          <w:bCs w:val="false"/>
          <w:i/>
          <w:iCs/>
        </w:rPr>
        <w:t xml:space="preserve">a</w:t>
      </w:r>
      <w:r>
        <w:t xml:space="preserve"> DCU, or </w:t>
      </w:r>
      <w:r>
        <w:rPr>
          <w:b w:val="false"/>
          <w:bCs w:val="false"/>
          <w:i/>
          <w:iCs/>
        </w:rPr>
        <w:t xml:space="preserve">an</w:t>
      </w:r>
      <w:r>
        <w:t xml:space="preserve"> IoT gateway. It is </w:t>
      </w:r>
      <w:r>
        <w:rPr>
          <w:b/>
          <w:bCs/>
          <w:i w:val="false"/>
          <w:iCs w:val="false"/>
        </w:rPr>
        <w:t xml:space="preserve">one platform that becomes any of those depending on configuration.</w:t>
      </w:r>
      <w:r>
        <w:t xml:space="preserve"> The same hardware and the same firmware image are deployed everywhere; the user selects the application role through the web interface, and from that point the device behaves and presents as that kind of product.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The configuration defines the persona.</w:t>
      </w:r>
      <w:r>
        <w:t xml:space="preserve"> This is the externally visible product identity — what the customer actually buys — and it is the natural consequence of the flexible architecture described in Section 5: the architecture is the means, multipurpose-by-configuration is the meaning.</w:t>
      </w:r>
    </w:p>
    <w:p>
      <w:pPr>
        <w:spacing w:after="120"/>
      </w:pPr>
      <w:r>
        <w:t xml:space="preserve">This introduces a first-class concept — the </w:t>
      </w:r>
      <w:r>
        <w:rPr>
          <w:b/>
          <w:bCs/>
          <w:i w:val="false"/>
          <w:iCs w:val="false"/>
        </w:rPr>
        <w:t xml:space="preserve">Application Profile / Device Role</w:t>
      </w:r>
      <w:r>
        <w:t xml:space="preserve"> — a configuration layer that sits above the individual seams and governs which plugins/seams are active, how the web UI and HMI present (which pages and tabs are relevant), and the defaults and guardrails for that role.</w:t>
      </w:r>
    </w:p>
    <w:p>
      <w:pPr>
        <w:spacing w:after="120"/>
      </w:pPr>
      <w:r>
        <w:t xml:space="preserve">Two flavours of “multipurpose” are possible and the architecture supports both: </w:t>
      </w:r>
      <w:r>
        <w:rPr>
          <w:b/>
          <w:bCs/>
          <w:i w:val="false"/>
          <w:iCs w:val="false"/>
        </w:rPr>
        <w:t xml:space="preserve">pick-a-mode</w:t>
      </w:r>
      <w:r>
        <w:t xml:space="preserve"> (the unit is one role at a time — appliance-like) and </w:t>
      </w:r>
      <w:r>
        <w:rPr>
          <w:b/>
          <w:bCs/>
          <w:i w:val="false"/>
          <w:iCs w:val="false"/>
        </w:rPr>
        <w:t xml:space="preserve">à-la-carte / combinable</w:t>
      </w:r>
      <w:r>
        <w:t xml:space="preserve"> (independent seams enabled per use, so one box can be PLC and DCU and gateway simultaneously — platform-like). Pick-a-mode is simply a friendly preset on top of the combinable engine, so only the </w:t>
      </w:r>
      <w:r>
        <w:rPr>
          <w:b w:val="false"/>
          <w:bCs w:val="false"/>
          <w:i/>
          <w:iCs/>
        </w:rPr>
        <w:t xml:space="preserve">presentation</w:t>
      </w:r>
      <w:r>
        <w:t xml:space="preserve"> choice remains open.</w:t>
      </w:r>
    </w:p>
    <w:p>
      <w:pPr>
        <w:pStyle w:val="Heading1"/>
      </w:pPr>
      <w:r>
        <w:t xml:space="preserve">3. Working Approach (how this project is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Requirements first. </w:t>
      </w:r>
      <w:r>
        <w:t xml:space="preserve">Implementation is paused until requirements, design, and architecture are 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Sequence: </w:t>
      </w:r>
      <w:r>
        <w:t xml:space="preserve">think → consolidate requirements → design → architecture → then implement (implementation is last).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Founder-led discovery. </w:t>
      </w:r>
      <w:r>
        <w:t xml:space="preserve">Requirements are derived by studying existing market products and identifying where this product can be uniquely better.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Collaborative, incremental. </w:t>
      </w:r>
      <w:r>
        <w:t xml:space="preserve">Principles are introduced one at a time, absorbed, and reflected back before any decision is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No premature decisions. </w:t>
      </w:r>
      <w:r>
        <w:t xml:space="preserve">Shared context is built up first.</w:t>
      </w:r>
    </w:p>
    <w:p>
      <w:pPr>
        <w:pStyle w:val="Heading1"/>
      </w:pPr>
      <w:r>
        <w:t xml:space="preserve">4. Target User &amp; Market 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Beachhead (sell/build first): Industrial automation. </w:t>
      </w:r>
      <w:r>
        <w:t xml:space="preserve">The v1 reference experience is built around this vertical.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Platform stays hybrid underneath: </w:t>
      </w:r>
      <w:r>
        <w:t xml:space="preserve">the same core can also serve energy metering (DCU), IIoT/AIoT gateway, and similar roles per deployment.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Differentiation matters: </w:t>
      </w:r>
      <w:r>
        <w:t xml:space="preserve">there must be a clear answer to “why not buy an existing product?” The reference competitor to study and beat is </w:t>
      </w:r>
      <w:r>
        <w:rPr>
          <w:b/>
          <w:bCs/>
          <w:i w:val="false"/>
          <w:iCs w:val="false"/>
        </w:rPr>
        <w:t xml:space="preserve">Revolution Pi (RevPi) by Kunbus</w:t>
      </w:r>
      <w:r>
        <w:t xml:space="preserve"> (an RPi-based industrial hybrid running CODESYS or Linux apps). Identified gaps to exploit: DLMS/COSEM is poorly served in the cheap-edge space, and integrated web-based programming + local HMI is usually two separate tools.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See Section 6</w:t>
      </w:r>
      <w:r>
        <w:t xml:space="preserve"> for the full market-differentiation analysis derived from a competitive scan of this category.</w:t>
      </w:r>
    </w:p>
    <w:p>
      <w:pPr>
        <w:pStyle w:val="Heading1"/>
      </w:pPr>
      <w:r>
        <w:t xml:space="preserve">5. Core Architectural Principle — Flexibility Across Every Layer</w:t>
      </w:r>
    </w:p>
    <w:p>
      <w:pPr>
        <w:spacing w:after="120"/>
      </w:pPr>
      <w:r>
        <w:t xml:space="preserve">The #1 goal: the architecture must let any </w:t>
      </w:r>
      <w:r>
        <w:rPr>
          <w:b/>
          <w:bCs/>
          <w:i w:val="false"/>
          <w:iCs w:val="false"/>
        </w:rPr>
        <w:t xml:space="preserve">new protocol, new mechanism, or update</w:t>
      </w:r>
      <w:r>
        <w:t xml:space="preserve"> be plugged in without disturbing the rest of the system. This must hold at </w:t>
      </w:r>
      <w:r>
        <w:rPr>
          <w:b/>
          <w:bCs/>
          <w:i w:val="false"/>
          <w:iCs w:val="false"/>
        </w:rPr>
        <w:t xml:space="preserve">every layer</w:t>
      </w:r>
      <w:r>
        <w:t xml:space="preserve"> — protocols, communication, web application, and the graphical UI (graphical objects for the PLC).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Discipline (the right way to be flexible): </w:t>
      </w:r>
      <w:r>
        <w:t xml:space="preserve">flexibility is achieved by defining </w:t>
      </w:r>
      <w:r>
        <w:rPr>
          <w:b/>
          <w:bCs/>
          <w:i w:val="false"/>
          <w:iCs w:val="false"/>
        </w:rPr>
        <w:t xml:space="preserve">stable contracts at well-defined seams</w:t>
      </w:r>
      <w:r>
        <w:t xml:space="preserve">, not by making everything dynamic. “Add a new implementation behind a contract without touching anything else” is the operational definition of flexible here. Gratuitous abstraction and over-engineering are avoided.</w:t>
      </w:r>
    </w:p>
    <w:p>
      <w:pPr>
        <w:pStyle w:val="Heading2"/>
      </w:pPr>
      <w:r>
        <w:t xml:space="preserve">5.1 The Seams (defined extension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What plugs in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Contract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South-bound / drivers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Modbus, DLMS, DNP3, OPC-UA, …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driver iface: init / poll / write / status → writes tags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Logic / runtime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Ladder, FBD, ST, scripting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reads/writes tags; block iface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North-bound / connectors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REST, MQTT, Sparkplug B, cloud, historian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reads tags, publishes; connector iface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 application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per-protocol config pages, dashboards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descriptor/metadata-driven UI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HMI graphical objects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PLC screen widgets (gauge, button, trend)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widget binds to a tag by name; widget registry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Persistence / alarms / events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retentive, alarm rules, historian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tag-change subscriptions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The Tag is the Lingua Franca — an On-Device Unified Namespace</w:t>
      </w:r>
    </w:p>
    <w:p>
      <w:pPr>
        <w:spacing w:after="120"/>
      </w:pPr>
      <w:r>
        <w:t xml:space="preserve">The register pool is not just storage — it is the </w:t>
      </w:r>
      <w:r>
        <w:rPr>
          <w:b/>
          <w:bCs/>
          <w:i w:val="false"/>
          <w:iCs w:val="false"/>
        </w:rPr>
        <w:t xml:space="preserve">universal bus</w:t>
      </w:r>
      <w:r>
        <w:t xml:space="preserve"> every seam communicates through. Drivers write tags; logic transforms tags; widgets bind to tags; connectors publish tags. No seam needs to know about any other. This is the central architectural bet and it is already in place (see Section 9).</w:t>
      </w:r>
    </w:p>
    <w:p>
      <w:pPr>
        <w:spacing w:after="120"/>
      </w:pPr>
      <w:r>
        <w:t xml:space="preserve">In current industry terms this internal tag model is a </w:t>
      </w:r>
      <w:r>
        <w:rPr>
          <w:b/>
          <w:bCs/>
          <w:i w:val="false"/>
          <w:iCs w:val="false"/>
        </w:rPr>
        <w:t xml:space="preserve">Unified Namespace (UNS)</w:t>
      </w:r>
      <w:r>
        <w:t xml:space="preserve"> realised on the device itself: a single source of truth that every protocol and application reads from and writes to, replacing point-to-point “integration spaghetti” with a hub-and-spoke data fabric. UNS — typically carried over MQTT with </w:t>
      </w:r>
      <w:r>
        <w:rPr>
          <w:b/>
          <w:bCs/>
          <w:i w:val="false"/>
          <w:iCs w:val="false"/>
        </w:rPr>
        <w:t xml:space="preserve">Sparkplug B</w:t>
      </w:r>
      <w:r>
        <w:t xml:space="preserve"> (birth/death certificates, report-by-exception, ISA-95 topic hierarchy) — is the dominant IIoT data architecture of 2025–2026. The platform should expose a </w:t>
      </w:r>
      <w:r>
        <w:rPr>
          <w:b/>
          <w:bCs/>
          <w:i w:val="false"/>
          <w:iCs w:val="false"/>
        </w:rPr>
        <w:t xml:space="preserve">Sparkplug B north-bound connector</w:t>
      </w:r>
      <w:r>
        <w:t xml:space="preserve"> so the device plugs directly into a customer’s existing UNS, and so its DLMS readings, PLC I/O, and gateway data all live in one coherent tag model.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Required enrichment: </w:t>
      </w:r>
      <w:r>
        <w:t xml:space="preserve">tag </w:t>
      </w:r>
      <w:r>
        <w:rPr>
          <w:b/>
          <w:bCs/>
          <w:i w:val="false"/>
          <w:iCs w:val="false"/>
        </w:rPr>
        <w:t xml:space="preserve">metadata</w:t>
      </w:r>
      <w:r>
        <w:t xml:space="preserve"> (name, type, engineering units, scaling, R/W access, quality, timestamp, source) so the web and HMI layers can render any new protocol’s data generically, with no new code. This is the same descriptor-driven idea that schema-driven config frameworks use, applied to tags.</w:t>
      </w:r>
    </w:p>
    <w:p>
      <w:pPr>
        <w:pStyle w:val="Heading2"/>
      </w:pPr>
      <w:r>
        <w:t xml:space="preserve">5.3 The Web Visual Theme is a Swappable Layer</w:t>
      </w:r>
    </w:p>
    <w:p>
      <w:pPr>
        <w:spacing w:after="120"/>
      </w:pPr>
      <w:r>
        <w:t xml:space="preserve">The web application’s </w:t>
      </w:r>
      <w:r>
        <w:rPr>
          <w:b/>
          <w:bCs/>
          <w:i w:val="false"/>
          <w:iCs w:val="false"/>
        </w:rPr>
        <w:t xml:space="preserve">look</w:t>
      </w:r>
      <w:r>
        <w:t xml:space="preserve"> is itself a seam, in keeping with the flexibility principle: the theme must be changeable at any time without rewriting the application. This is enforced by a three-layer separation in the web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Contains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Theme-coupled?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Data / logic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API client, state, domain models (tags, profiles, protocols)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— zero CSS, framework-agnostic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2. Presentational components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cards, tables, forms, the app shell (sidebar/topbar)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— thin, built against the theme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3. Theme tokens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CSS custom properties (colours, fonts, metrics), light/dark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— this is “the theme”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Two levels of theme change: </w:t>
      </w:r>
      <w:r>
        <w:t xml:space="preserve">(1) </w:t>
      </w:r>
      <w:r>
        <w:rPr>
          <w:b/>
          <w:bCs/>
          <w:i w:val="false"/>
          <w:iCs w:val="false"/>
        </w:rPr>
        <w:t xml:space="preserve">re-skin</w:t>
      </w:r>
      <w:r>
        <w:t xml:space="preserve"> within the same framework (colours, brand, density, light/dark) — edit only the Layer-3 token file; runtime-switchable. (2) </w:t>
      </w:r>
      <w:r>
        <w:rPr>
          <w:b/>
          <w:bCs/>
          <w:i w:val="false"/>
          <w:iCs w:val="false"/>
        </w:rPr>
        <w:t xml:space="preserve">full template/framework swap</w:t>
      </w:r>
      <w:r>
        <w:t xml:space="preserve"> — replace Layers 2 and 3 only; the data/logic layer is untouched, so it is a presentation-only job, never a rewrite. Discipline that makes this hold: no business logic in presentational components, and no hardcoded brand colours — always via a token.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v1 stack decision: </w:t>
      </w:r>
      <w:r>
        <w:t xml:space="preserve">Vite + React + Bootstrap 5 (visual reference: a BootstrapMade admin dashboard theme), Bootstrap Icons, and ApexCharts for trends; light/dark switchable from day one. </w:t>
      </w:r>
      <w:r>
        <w:rPr>
          <w:b/>
          <w:bCs/>
          <w:i w:val="false"/>
          <w:iCs w:val="false"/>
        </w:rPr>
        <w:t xml:space="preserve">Note — licensing: </w:t>
      </w:r>
      <w:r>
        <w:t xml:space="preserve">a commercial template license is required before shipping a sold product with the theme embedded in firmware.</w:t>
      </w:r>
    </w:p>
    <w:p>
      <w:pPr>
        <w:pStyle w:val="Heading1"/>
      </w:pPr>
      <w:r>
        <w:t xml:space="preserve">6. Market Differentiation</w:t>
      </w:r>
    </w:p>
    <w:p>
      <w:pPr>
        <w:spacing w:after="120"/>
      </w:pPr>
      <w:r>
        <w:t xml:space="preserve">Derived from a competitive scan of the small embedded-Linux / RPi industrial-controller category, the software-defined-PLC trend, the IIoT/AIoT gateway segment, and the energy-DCU / DLMS market. The finding: every segment holds </w:t>
      </w:r>
      <w:r>
        <w:rPr>
          <w:b/>
          <w:bCs/>
          <w:i w:val="false"/>
          <w:iCs w:val="false"/>
        </w:rPr>
        <w:t xml:space="preserve">one piece</w:t>
      </w:r>
      <w:r>
        <w:t xml:space="preserve"> of this product, but no incumbent holds the combination — and several are structurally prevented from offering it.</w:t>
      </w:r>
    </w:p>
    <w:p>
      <w:pPr>
        <w:pStyle w:val="Heading2"/>
      </w:pPr>
      <w:r>
        <w:t xml:space="preserve">6.1 The White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9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Who is there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What they leave open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RPi industrial PLCs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RevPi, UniPi, Industrial Shields, Seeed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integrated touchscreen + web PLC IDE; no true config-selectable persona; no DLMS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Software-defined PLC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Siemens S7-1500V, CODESYS Virtual, Bosch ctrlX, Beckhoff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Enterprise / IT-server priced; “software defines function” but on costly iron, not cheap edge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IIoT / AIoT gateways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Advantech, Moxa, Teltonika, Sierra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“Programmable,” not role-redefinable — you write the app; the device role is fixed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Edge data brokers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Omron DX1 (Data Flow Controller)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Validates the data-broker half, but: no control logic, no local HMI, no config-selectable persona, no DLMS; mid-tier appliance cost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Energy DCU / DLMS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Landis+Gyr, Itron, Genus, Secure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Expensive, single-purpose, vendor-locked appliances; DLMS almost absent from general edge boxes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Closest single analog — Omron DX1: </w:t>
      </w:r>
      <w:r>
        <w:t xml:space="preserve">launched 2024, it runs a browser-based no-code data-flow runtime (SpeeDBee Synapse) over an internal time-series store that drivers feed and northbound connectors drain — conceptually adjacent to this product’s tag pool. It deliberately omits the three things that make this product distinct: real PLC control logic, a local touchscreen HMI, and config-selectable personas (including a DLMS energy DCU). Useful anti-positioning: “DX1 </w:t>
      </w:r>
      <w:r>
        <w:rPr>
          <w:b w:val="false"/>
          <w:bCs w:val="false"/>
          <w:i/>
          <w:iCs/>
        </w:rPr>
        <w:t xml:space="preserve">moves</w:t>
      </w:r>
      <w:r>
        <w:t xml:space="preserve"> your data; FlexiDon iX </w:t>
      </w:r>
      <w:r>
        <w:rPr>
          <w:b w:val="false"/>
          <w:bCs w:val="false"/>
          <w:i/>
          <w:iCs/>
        </w:rPr>
        <w:t xml:space="preserve">is</w:t>
      </w:r>
      <w:r>
        <w:t xml:space="preserve"> the controller, the HMI, and the concentrator — configurable per deployment, at a fraction of the hardware cost.”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The gap is the intersection: </w:t>
      </w:r>
      <w:r>
        <w:t xml:space="preserve">cheap edge hardware + config-selectable persona (PLC / DCU / gateway) + native DLMS + on-device tag bus (UNS) + local HMI + browser-based programming. Each incumbent has one of these; none has all.</w:t>
      </w:r>
    </w:p>
    <w:p>
      <w:pPr>
        <w:pStyle w:val="Heading2"/>
      </w:pPr>
      <w:r>
        <w:t xml:space="preserve">6.2 Defensible Differentiators (ranked)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Persona-by-configuration, not by re-programming. </w:t>
      </w:r>
      <w:r>
        <w:t xml:space="preserve">The incumbents sell a runtime to program; this sells a role to choose. “PLC + gateway + edge” is marketing flexibility for them, not a runtime mode switch. The seam architecture makes it real. This is the headline.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The tag pool is a built-in Unified Namespace. </w:t>
      </w:r>
      <w:r>
        <w:t xml:space="preserve">UNS + MQTT Sparkplug B is the dominant IIoT pattern of 2025–2026 (and the emerging i3X standard). “One internal model every protocol and app reads/writes” is exactly the register pool — a UNS built without naming it. Naming it and adding Sparkplug B north-bound plugs straight into customers’ existing 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Native DLMS/COSEM at cheap-edge price. </w:t>
      </w:r>
      <w:r>
        <w:t xml:space="preserve">Pi-class silicon runs Gurux DLMS comfortably, yet energy DCUs are expensive vendor-locked appliances and general edge boxes skip DLMS entirely. Breaking DCU/HES vendor lock-in — so operators are not captive to one meter vendor — is near-empty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Integrated web PLC programming + on-device touchscreen HMI. </w:t>
      </w:r>
      <w:r>
        <w:t xml:space="preserve">Rare to unserved: CODESYS is a great IDE but desktop/licensed with no screen; OpenPLC is web-based but has no display; Seeed has the screen but leans on Node-RED. Combining both in one unit is differentiated.</w:t>
      </w:r>
    </w:p>
    <w:p>
      <w:pPr>
        <w:pStyle w:val="Heading2"/>
      </w:pPr>
      <w:r>
        <w:t xml:space="preserve">6.3 Positioning Statement</w:t>
      </w:r>
    </w:p>
    <w:p>
      <w:pPr>
        <w:pBdr>
          <w:left w:val="single" w:color="2E75B6" w:sz="18" w:space="12"/>
        </w:pBdr>
        <w:spacing w:after="160" w:before="80"/>
        <w:ind w:left="360" w:right="360"/>
      </w:pPr>
      <w:r>
        <w:rPr>
          <w:i/>
          <w:iCs/>
          <w:color w:val="1F3864"/>
          <w:sz w:val="24"/>
          <w:szCs w:val="24"/>
        </w:rPr>
        <w:t xml:space="preserve">A single low-cost edge device that becomes a PLC, an energy data-concentrator, or an IoT gateway by configuration alone — with a built-in Unified Namespace, native DLMS, local touchscreen HMI, and browser-based programming. Three locked products from the incumbents, collapsed into one open, config-defined SKU.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The pain it kills: </w:t>
      </w:r>
      <w:r>
        <w:t xml:space="preserve">integration spaghetti (a large share of OT data trapped in silos), three separate procurement lines, and vendor lock-in — none of which incumbents can solve without cannibalising their own business model.</w:t>
      </w:r>
    </w:p>
    <w:p>
      <w:pPr>
        <w:pStyle w:val="Heading2"/>
      </w:pPr>
      <w:r>
        <w:t xml:space="preserve">6.4 Honest Caveats (where not to over-claim)</w:t>
      </w:r>
    </w:p>
    <w:p>
      <w:pPr>
        <w:spacing w:after="120"/>
      </w:pPr>
      <w:r>
        <w:t xml:space="preserve">RPi-class hardware plus this stack targets the </w:t>
      </w:r>
      <w:r>
        <w:rPr>
          <w:b/>
          <w:bCs/>
          <w:i w:val="false"/>
          <w:iCs w:val="false"/>
        </w:rPr>
        <w:t xml:space="preserve">cheap, flexible, data-centric</w:t>
      </w:r>
      <w:r>
        <w:t xml:space="preserve"> edge. The product should not, yet, claim parity with safety/heavy-duty incumbents 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Functional-safety certification </w:t>
      </w:r>
      <w:r>
        <w:t xml:space="preserve">(SIL / IEC 61508).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Hard real-time / motion control.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Redundancy / failover.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24/7 industrial-grade support and long-term lifecycle guarantees.</w:t>
      </w:r>
    </w:p>
    <w:p>
      <w:pPr>
        <w:pStyle w:val="Heading2"/>
      </w:pPr>
      <w:r>
        <w:t xml:space="preserve">6.5 Vocabulary to Align With</w:t>
      </w:r>
    </w:p>
    <w:p>
      <w:pPr>
        <w:spacing w:after="120"/>
      </w:pPr>
      <w:r>
        <w:t xml:space="preserve">Software-defined automation · IT/OT convergence · </w:t>
      </w:r>
      <w:r>
        <w:rPr>
          <w:b/>
          <w:bCs/>
          <w:i w:val="false"/>
          <w:iCs w:val="false"/>
        </w:rPr>
        <w:t xml:space="preserve">Unified Namespace (UNS)</w:t>
      </w:r>
      <w:r>
        <w:t xml:space="preserve"> · </w:t>
      </w:r>
      <w:r>
        <w:rPr>
          <w:b/>
          <w:bCs/>
          <w:i w:val="false"/>
          <w:iCs w:val="false"/>
        </w:rPr>
        <w:t xml:space="preserve">MQTT Sparkplug B</w:t>
      </w:r>
      <w:r>
        <w:t xml:space="preserve"> · i3X · Industrial DevOps · report-by-exception.</w:t>
      </w:r>
    </w:p>
    <w:p>
      <w:pPr>
        <w:pStyle w:val="Heading1"/>
      </w:pPr>
      <w:r>
        <w:t xml:space="preserve">7. Hardware Principle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Hardware does not constrain the design. </w:t>
      </w:r>
      <w:r>
        <w:t xml:space="preserve">Design for the target product; size the hardware (RAM, storage, cores) to the architecture — not the reverse.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  <w:i w:val="false"/>
          <w:iCs w:val="false"/>
        </w:rPr>
        <w:t xml:space="preserve">Raspberry Pi is a proof-of-concept only</w:t>
      </w:r>
      <w:r>
        <w:t xml:space="preserve">, implementing a minimal slice (one concrete plugin per seam) to prove the contracts 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product hardware will be specified as needed, with no compromise.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Consequence: </w:t>
      </w:r>
      <w:r>
        <w:t xml:space="preserve">choose the most modular / most isolated architecture for flexibility and maintainability; runtime frugality is a quality applied within the design, not a constraint that shapes it.</w:t>
      </w:r>
    </w:p>
    <w:p>
      <w:pPr>
        <w:pStyle w:val="Heading1"/>
      </w:pPr>
      <w:r>
        <w:t xml:space="preserve">8. Open Decisions (not yet settled)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Tag / metadata model </w:t>
      </w:r>
      <w:r>
        <w:t xml:space="preserve">— the exact schema describing a tag beyond its raw value. Foundation everything else binds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Firmware extension &amp; isolation model </w:t>
      </w:r>
      <w:r>
        <w:t xml:space="preserve">— how drivers/logic/connectors are delivered and contained. Options: separate processes over the shared pool (fault-isolated) / dynamic .so plugins (dlopen) / compile-time modules / hybrid. Leaning toward the most modular option now that hardware is not a constraint.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Multipurpose presentation model </w:t>
      </w:r>
      <w:r>
        <w:t xml:space="preserve">— pick-a-mode vs à-la-carte/combinable as the user-facing experience (the engine supports both; only the presentation is open). See Section 2.1.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v1 differentiation specifics </w:t>
      </w:r>
      <w:r>
        <w:t xml:space="preserve">vs RevPi and other incumbents — now informed by Section 6.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Evaluated and deferred: </w:t>
      </w:r>
      <w:r>
        <w:t xml:space="preserve">OpenWrt + LuCI as the web/admin framework. LuCI is an OpenWrt-native device-admin tool; adopting it would fragment the single-config-surface decision and contributes nothing to the PLC-programming / tag-dashboard differentiation. Revisit only if network-device administration becomes a headline feature — in which case the real decision is basing the product on OpenWrt, not bolting LuCI onto Yocto.</w:t>
      </w:r>
    </w:p>
    <w:p>
      <w:pPr>
        <w:pStyle w:val="Heading1"/>
      </w:pPr>
      <w:r>
        <w:t xml:space="preserve">9. What Has Been Built (PoC Status 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libmdcu-pool 0.1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50,000 × 16-bit shared-memory register pool at /dev/shm/mdcu_pool; typed API (bit, u8/i8, u16/i16, u32/i32, u64/i64, f32, f64) + bulk block ops; ARMv6-safe atomics + seqlock; canonical address map. Realizes the “tag is the lingua franca” / on-device UNS bet.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LVGL HMI (miniplc-hmi r11)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Touchscreen UI; now read-only for protocol data, with the web UI as the sole configuration surface. All protocol CONFIG modals removed. Settings tab (Network + Theme) remains interactive. Writes system tags (CPU temp, uptime, epoch, heartbeat); mirrors Modbus poll results into the pool.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Modbus TCP master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Enabled, polling, mirroring to the pool via a libmodbus bridge that isolates symbol clashes.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PLC firmware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civetweb REST API, ladder VM, GPIO (foundation present; protocol pollers + /api/regs still to come).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 UI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React/Vite SPA served by nginx; protocol config pages exist as components, to be wired to live data.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Confirmed on device with the mdcu-peek debug tool (pool header valid, system tags ticking, Modbus values mirrored).</w:t>
            </w:r>
          </w:p>
        </w:tc>
      </w:tr>
    </w:tbl>
    <w:p>
      <w:pPr>
        <w:pStyle w:val="Heading1"/>
      </w:pPr>
      <w:r>
        <w:t xml:space="preserve">10. Immediate Next Steps (once requirements are settled)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Settle the </w:t>
      </w:r>
      <w:r>
        <w:rPr>
          <w:b/>
          <w:bCs/>
          <w:i w:val="false"/>
          <w:iCs w:val="false"/>
        </w:rPr>
        <w:t xml:space="preserve">tag/metadata model</w:t>
      </w:r>
      <w:r>
        <w:t xml:space="preserve"> (Open Decision #1) — design it as the on-device UNS schema, metadata-rich enough to drive generic web/HMI rendering and a Sparkplug B mapping.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Settle the </w:t>
      </w:r>
      <w:r>
        <w:rPr>
          <w:b/>
          <w:bCs/>
          <w:i w:val="false"/>
          <w:iCs w:val="false"/>
        </w:rPr>
        <w:t xml:space="preserve">extension &amp; isolation model</w:t>
      </w:r>
      <w:r>
        <w:t xml:space="preserve"> (Open Decision #2).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the </w:t>
      </w:r>
      <w:r>
        <w:rPr>
          <w:b/>
          <w:bCs/>
          <w:i w:val="false"/>
          <w:iCs w:val="false"/>
        </w:rPr>
        <w:t xml:space="preserve">multipurpose presentation model</w:t>
      </w:r>
      <w:r>
        <w:t xml:space="preserve"> (Open Decision #3).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Then resume implementation against the agreed contracts, starting with the industrial-automation beachhead and one concrete plugin per seam.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End of document — FlexiDon iX Requirements &amp; Project Consolidation, v0.4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2"/>
      </w:pBdr>
      <w:tabs>
        <w:tab w:val="right" w:pos="9026"/>
      </w:tabs>
    </w:pPr>
    <w:r>
      <w:rPr>
        <w:color w:val="808080"/>
        <w:sz w:val="16"/>
        <w:szCs w:val="16"/>
      </w:rPr>
      <w:t xml:space="preserve">v0.3 — 2026-06-28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2"/>
      </w:pBdr>
      <w:jc w:val="right"/>
    </w:pPr>
    <w:r>
      <w:rPr>
        <w:color w:val="808080"/>
        <w:sz w:val="16"/>
        <w:szCs w:val="16"/>
      </w:rPr>
      <w:t xml:space="preserve">MDCU Platform — Requirements &amp; Project Consolidation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2026-06-28T08:01:45.811Z</dcterms:created>
  <dcterms:modified xsi:type="dcterms:W3CDTF">2026-06-28T08:01:45.811Z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