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Q4 2024 Marketing Strategy Report</w:t>
      </w:r>
    </w:p>
    <w:p>
      <w:pPr>
        <w:jc w:val="center"/>
      </w:pPr>
      <w:r>
        <w:rPr>
          <w:i/>
          <w:color w:val="646464"/>
          <w:sz w:val="20"/>
        </w:rPr>
        <w:t>Prepared by: Marketing Team</w:t>
        <w:br/>
        <w:t>January 2024</w:t>
      </w:r>
    </w:p>
    <w:p/>
    <w:p>
      <w:pPr>
        <w:pStyle w:val="Heading1"/>
      </w:pPr>
      <w:r>
        <w:t>Executive Summary</w:t>
      </w:r>
    </w:p>
    <w:p>
      <w:r>
        <w:t xml:space="preserve">This document outlines our marketing strategy for </w:t>
      </w:r>
      <w:r>
        <w:rPr>
          <w:b/>
        </w:rPr>
        <w:t>FY2024</w:t>
      </w:r>
      <w:r>
        <w:t>. The 2024 Budget allocates $2.5M across digital channels, with quarterly targets designed to achieve 35% year-over-year growth.</w:t>
      </w:r>
    </w:p>
    <w:p/>
    <w:p>
      <w:pPr>
        <w:pStyle w:val="Heading2"/>
      </w:pPr>
      <w:r>
        <w:t>2024 Key Objectives</w:t>
      </w:r>
    </w:p>
    <w:p>
      <w:pPr>
        <w:pStyle w:val="ListBullet"/>
      </w:pPr>
      <w:r>
        <w:t>Increase brand awareness by 40% by Q4 2024</w:t>
      </w:r>
    </w:p>
    <w:p>
      <w:pPr>
        <w:pStyle w:val="ListBullet"/>
      </w:pPr>
      <w:r>
        <w:t>Launch new product line in Q2 2024</w:t>
      </w:r>
    </w:p>
    <w:p>
      <w:pPr>
        <w:pStyle w:val="ListBullet"/>
      </w:pPr>
      <w:r>
        <w:t>Achieve 2024 Revenue target of $15M</w:t>
      </w:r>
    </w:p>
    <w:p>
      <w:pPr>
        <w:pStyle w:val="ListBullet"/>
      </w:pPr>
      <w:r>
        <w:t>Expand into three new markets during 2024</w:t>
      </w:r>
    </w:p>
    <w:p/>
    <w:p>
      <w:pPr>
        <w:pStyle w:val="Heading1"/>
      </w:pPr>
      <w:r>
        <w:t>Quarterly Breakdown</w:t>
      </w:r>
    </w:p>
    <w:p>
      <w:pPr>
        <w:pStyle w:val="Heading2"/>
      </w:pPr>
      <w:r>
        <w:t>Q1 2024 Focus</w:t>
      </w:r>
    </w:p>
    <w:p>
      <w:r>
        <w:t>Period: January 2024 - March 2024</w:t>
        <w:br/>
      </w:r>
      <w:r>
        <w:t>Budget: $500K</w:t>
        <w:br/>
      </w:r>
      <w:r>
        <w:t>Primary Goal: Brand awareness campaign</w:t>
      </w:r>
    </w:p>
    <w:p>
      <w:pPr>
        <w:pStyle w:val="Heading2"/>
      </w:pPr>
      <w:r>
        <w:t>Q2 2024 Focus</w:t>
      </w:r>
    </w:p>
    <w:p>
      <w:r>
        <w:t>Period: April 2024 - June 2024</w:t>
        <w:br/>
      </w:r>
      <w:r>
        <w:t>Budget: $600K</w:t>
        <w:br/>
      </w:r>
      <w:r>
        <w:t>Primary Goal: Product launch</w:t>
      </w:r>
    </w:p>
    <w:p>
      <w:pPr>
        <w:pStyle w:val="Heading2"/>
      </w:pPr>
      <w:r>
        <w:t>Q3 2024 Focus</w:t>
      </w:r>
    </w:p>
    <w:p>
      <w:r>
        <w:t>Period: July 2024 - September 2024</w:t>
        <w:br/>
      </w:r>
      <w:r>
        <w:t>Budget: $700K</w:t>
        <w:br/>
      </w:r>
      <w:r>
        <w:t>Primary Goal: Market expansion</w:t>
      </w:r>
    </w:p>
    <w:p/>
    <w:p>
      <w:pPr>
        <w:pStyle w:val="Heading1"/>
      </w:pPr>
      <w:r>
        <w:t>Team Structure</w:t>
      </w:r>
    </w:p>
    <w:p>
      <w:r>
        <w:t>Manager: Sarah Johnson</w:t>
        <w:br/>
      </w:r>
      <w:r>
        <w:t>Lead: Michael Chen</w:t>
        <w:br/>
      </w:r>
      <w:r>
        <w:t>Analyst: Emily Rodriguez</w:t>
        <w:br/>
      </w:r>
      <w:r>
        <w:t>Coordinator: David Martinez</w:t>
      </w:r>
    </w:p>
    <w:p/>
    <w:p>
      <w:pPr>
        <w:pStyle w:val="Heading1"/>
      </w:pPr>
      <w:r>
        <w:t>2024 Budget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2024 Budget</w:t>
            </w:r>
          </w:p>
        </w:tc>
        <w:tc>
          <w:tcPr>
            <w:tcW w:type="dxa" w:w="2880"/>
          </w:tcPr>
          <w:p>
            <w:r>
              <w:t>2024 Target ROI</w:t>
            </w:r>
          </w:p>
        </w:tc>
      </w:tr>
      <w:tr>
        <w:tc>
          <w:tcPr>
            <w:tcW w:type="dxa" w:w="2880"/>
          </w:tcPr>
          <w:p>
            <w:r>
              <w:t>Digital Advertising</w:t>
            </w:r>
          </w:p>
        </w:tc>
        <w:tc>
          <w:tcPr>
            <w:tcW w:type="dxa" w:w="2880"/>
          </w:tcPr>
          <w:p>
            <w:r>
              <w:t>$1,000,000</w:t>
            </w:r>
          </w:p>
        </w:tc>
        <w:tc>
          <w:tcPr>
            <w:tcW w:type="dxa" w:w="2880"/>
          </w:tcPr>
          <w:p>
            <w:r>
              <w:t>450%</w:t>
            </w:r>
          </w:p>
        </w:tc>
      </w:tr>
      <w:tr>
        <w:tc>
          <w:tcPr>
            <w:tcW w:type="dxa" w:w="2880"/>
          </w:tcPr>
          <w:p>
            <w:r>
              <w:t>Content Marketing</w:t>
            </w:r>
          </w:p>
        </w:tc>
        <w:tc>
          <w:tcPr>
            <w:tcW w:type="dxa" w:w="2880"/>
          </w:tcPr>
          <w:p>
            <w:r>
              <w:t>$750,000</w:t>
            </w:r>
          </w:p>
        </w:tc>
        <w:tc>
          <w:tcPr>
            <w:tcW w:type="dxa" w:w="2880"/>
          </w:tcPr>
          <w:p>
            <w:r>
              <w:t>380%</w:t>
            </w:r>
          </w:p>
        </w:tc>
      </w:tr>
      <w:tr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$500,000</w:t>
            </w:r>
          </w:p>
        </w:tc>
        <w:tc>
          <w:tcPr>
            <w:tcW w:type="dxa" w:w="2880"/>
          </w:tcPr>
          <w:p>
            <w:r>
              <w:t>320%</w:t>
            </w:r>
          </w:p>
        </w:tc>
      </w:tr>
      <w:tr>
        <w:tc>
          <w:tcPr>
            <w:tcW w:type="dxa" w:w="2880"/>
          </w:tcPr>
          <w:p>
            <w:r>
              <w:t>Events &amp; Sponsorships</w:t>
            </w:r>
          </w:p>
        </w:tc>
        <w:tc>
          <w:tcPr>
            <w:tcW w:type="dxa" w:w="2880"/>
          </w:tcPr>
          <w:p>
            <w:r>
              <w:t>$250,000</w:t>
            </w:r>
          </w:p>
        </w:tc>
        <w:tc>
          <w:tcPr>
            <w:tcW w:type="dxa" w:w="2880"/>
          </w:tcPr>
          <w:p>
            <w:r>
              <w:t>200%</w:t>
            </w:r>
          </w:p>
        </w:tc>
      </w:tr>
    </w:tbl>
    <w:p/>
    <w:p>
      <w:pPr>
        <w:pStyle w:val="Heading1"/>
      </w:pPr>
      <w:r>
        <w:t>Additional Notes</w:t>
      </w:r>
    </w:p>
    <w:p>
      <w:r>
        <w:t>• All 2024 targets are subject to board approval</w:t>
        <w:br/>
      </w:r>
      <w:r>
        <w:t>• Q1 2024 campaigns will focus on digital channels</w:t>
        <w:br/>
      </w:r>
      <w:r>
        <w:t>• Budget reviews scheduled for Feb 2024, May 2024, Aug 2024</w:t>
        <w:br/>
      </w:r>
      <w:r>
        <w:t>• Version 2.1 - Updated January 15, 2024</w:t>
      </w:r>
    </w:p>
    <w:p/>
    <w:p/>
    <w:p>
      <w:pPr>
        <w:jc w:val="center"/>
      </w:pPr>
      <w:r>
        <w:rPr>
          <w:color w:val="969696"/>
          <w:sz w:val="18"/>
        </w:rPr>
        <w:t>© 2024 Acme Corporation • Marketing Department</w:t>
        <w:br/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