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Eigene Dokumentation</w:t>
      </w:r>
    </w:p>
    <w:p>
      <w:pPr>
        <w:spacing w:after="400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Checkliste: Neues Projekt via DSM Reverse Proxy freischalten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Wiederverwendbares Vorgehen, um eine beliebige VM/einen beliebigen Server im LAN unter einer eigenen Domain mit echtem Let's-Encrypt-Zertifikat öffentlich erreichbar zu machen – ohne pro Projekt eine neue Portweiterleitung am Router einzurichten.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Erstmals vollständig durchgespielt und dokumentiert beim QFieldCloud-Projekt (siehe QFieldCloud_Deployment_Dokumentation.docx, Abschnitte 4 und 7), seither erfolgreich wiederverwendet für ein Lizmap-Kartenprojekt auf einer separaten VM.</w:t>
      </w:r>
    </w:p>
    <w:p>
      <w:pPr>
        <w:pStyle w:val="Heading1"/>
        <w:spacing w:after="160" w:before="360"/>
      </w:pPr>
      <w:r>
        <w:t xml:space="preserve">1. Einmalige Voraussetzungen (bereits erledigt)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Router leitet Port 80 und 443 auf die IP der Synology-NAS weiter.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Synology-DDNS-Hostname eingerichtet (meinnas.synology.me) – hält die öffentliche IP automatisch aktuell.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Ziel-Server (VM) ist von der NAS aus im LAN per fester oder bekannter IP erreichbar.</w:t>
      </w:r>
    </w:p>
    <w:p>
      <w:pPr>
        <w:pStyle w:val="Heading1"/>
        <w:spacing w:after="160" w:before="360"/>
      </w:pPr>
      <w:r>
        <w:t xml:space="preserve">2. Pro neues Projekt (wiederholbarer Ablauf)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DNS: Beim Domain-Registrar einen CNAME anlegen – Name: der gewünschte Sub-Domain-Teil (z. B. karte2), Ziel: meinnas.synology.me.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Zertifikat: Systemsteuerung → Sicherheit → Zertifikat → Hinzufügen → Von Let's Encrypt abrufen → Domainname exakt wie der neue DNS-Eintrag.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Reverse-Proxy-Regel: Systemsteuerung → Anmeldeportal → Erweitert → Reverse Proxy → Erstellen → Quelle: HTTPS/443/&lt;Domain&gt;, Ziel: &lt;Ziel-IP&gt;/&lt;Port&gt;, Protokoll passend zum Zielserver (siehe Stolperstein unten).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Zertifikat zuweisen – der am häufigsten vergessene Schritt: Systemsteuerung → Sicherheit → Zertifikat → das neue Zertifikat auswählen → Einstellungen → den neuen Dienst (Domainname) in der Liste finden → zuweisen. Ohne diesen Schritt zeigt der Browser weiterhin das Systemstandard-Zertifikat (meinnas.synology.me) statt eines gültigen Zertifikats für die neue Domain.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Testen: curl -v https://&lt;Domain&gt;/ oder direkt im Browser – kein Zertifikatsfehler mehr, korrekter Inhalt vom Zielserver.</w:t>
      </w:r>
    </w:p>
    <w:p>
      <w:pPr>
        <w:pStyle w:val="Heading1"/>
        <w:spacing w:after="160" w:before="360"/>
      </w:pPr>
      <w:r>
        <w:t xml:space="preserve">3. Typische Stolpersteine</w:t>
      </w:r>
    </w:p>
    <w:p>
      <w:pPr>
        <w:pBdr>
          <w:left w:val="single" w:color="9C6500" w:sz="24"/>
        </w:pBdr>
        <w:shd w:fill="FFF7DC" w:val="clear"/>
        <w:spacing w:after="200" w:before="120"/>
        <w:ind w:left="200" w:right="200"/>
      </w:pPr>
      <w:r>
        <w:rPr>
          <w:rFonts w:ascii="Calibri" w:cs="Calibri" w:eastAsia="Calibri" w:hAnsi="Calibri"/>
          <w:b/>
          <w:bCs/>
          <w:color w:val="9C6500"/>
          <w:sz w:val="21"/>
          <w:szCs w:val="21"/>
        </w:rPr>
        <w:t xml:space="preserve">Zertifikat zeigt falschen Namen:  </w:t>
      </w:r>
      <w:r>
        <w:rPr>
          <w:rFonts w:ascii="Calibri" w:cs="Calibri" w:eastAsia="Calibri" w:hAnsi="Calibri"/>
          <w:sz w:val="21"/>
          <w:szCs w:val="21"/>
        </w:rPr>
        <w:t xml:space="preserve">Fast immer Schritt 4 vergessen. Eine neu angelegte Reverse-Proxy-Regel bekommt von DSM automatisch das Systemstandard-Zertifikat zugewiesen, nie automatisch das passende.</w:t>
      </w:r>
    </w:p>
    <w:p>
      <w:pPr>
        <w:pBdr>
          <w:left w:val="single" w:color="9C6500" w:sz="24"/>
        </w:pBdr>
        <w:shd w:fill="FFF7DC" w:val="clear"/>
        <w:spacing w:after="200" w:before="120"/>
        <w:ind w:left="200" w:right="200"/>
      </w:pPr>
      <w:r>
        <w:rPr>
          <w:rFonts w:ascii="Calibri" w:cs="Calibri" w:eastAsia="Calibri" w:hAnsi="Calibri"/>
          <w:b/>
          <w:bCs/>
          <w:color w:val="9C6500"/>
          <w:sz w:val="21"/>
          <w:szCs w:val="21"/>
        </w:rPr>
        <w:t xml:space="preserve">Redirect-Loop oder 502/504:  </w:t>
      </w:r>
      <w:r>
        <w:rPr>
          <w:rFonts w:ascii="Calibri" w:cs="Calibri" w:eastAsia="Calibri" w:hAnsi="Calibri"/>
          <w:sz w:val="21"/>
          <w:szCs w:val="21"/>
        </w:rPr>
        <w:t xml:space="preserve">Ziel-Protokoll muss zum Zielserver passen. Bietet der Zielserver selbst HTTPS an (auch mit selbstsigniertem Zertifikat), muss das Reverse-Proxy-Ziel ebenfalls HTTPS sein – sonst erzwingt der Zielserver einen Redirect, den DSM als Klartext weiterreicht, was in eine Schleife läuft. Ausführlich hergeleitet in der QFieldCloud-Dokumentation, Abschnitt 8.</w:t>
      </w:r>
    </w:p>
    <w:p>
      <w:pPr>
        <w:pBdr>
          <w:left w:val="single" w:color="9C6500" w:sz="24"/>
        </w:pBdr>
        <w:shd w:fill="FFF7DC" w:val="clear"/>
        <w:spacing w:after="200" w:before="120"/>
        <w:ind w:left="200" w:right="200"/>
      </w:pPr>
      <w:r>
        <w:rPr>
          <w:rFonts w:ascii="Calibri" w:cs="Calibri" w:eastAsia="Calibri" w:hAnsi="Calibri"/>
          <w:b/>
          <w:bCs/>
          <w:color w:val="9C6500"/>
          <w:sz w:val="21"/>
          <w:szCs w:val="21"/>
        </w:rPr>
        <w:t xml:space="preserve">DNS noch nicht aktiv:  </w:t>
      </w:r>
      <w:r>
        <w:rPr>
          <w:rFonts w:ascii="Calibri" w:cs="Calibri" w:eastAsia="Calibri" w:hAnsi="Calibri"/>
          <w:sz w:val="21"/>
          <w:szCs w:val="21"/>
        </w:rPr>
        <w:t xml:space="preserve">CNAME-Propagation kann 1–2 Minuten dauern (abhängig vom gesetzten TTL). Mit nslookup &lt;Domain&gt; 1.1.1.1 prüfen, bevor man an der restlichen Konfiguration zweifelt.</w:t>
      </w:r>
    </w:p>
    <w:p>
      <w:pPr>
        <w:pBdr>
          <w:left w:val="single" w:color="9C6500" w:sz="24"/>
        </w:pBdr>
        <w:shd w:fill="FFF7DC" w:val="clear"/>
        <w:spacing w:after="200" w:before="120"/>
        <w:ind w:left="200" w:right="200"/>
      </w:pPr>
      <w:r>
        <w:rPr>
          <w:rFonts w:ascii="Calibri" w:cs="Calibri" w:eastAsia="Calibri" w:hAnsi="Calibri"/>
          <w:b/>
          <w:bCs/>
          <w:color w:val="9C6500"/>
          <w:sz w:val="21"/>
          <w:szCs w:val="21"/>
        </w:rPr>
        <w:t xml:space="preserve">Zugriff aus dem eigenen WLAN schlägt fehl, von unterwegs aber nicht:  </w:t>
      </w:r>
      <w:r>
        <w:rPr>
          <w:rFonts w:ascii="Calibri" w:cs="Calibri" w:eastAsia="Calibri" w:hAnsi="Calibri"/>
          <w:sz w:val="21"/>
          <w:szCs w:val="21"/>
        </w:rPr>
        <w:t xml:space="preserve">NAT-Loopback-Einschränkung des Routers – kein Konfigurationsfehler. Für den Alltagsgebrauch im eigenen Netz hilft ein lokaler DNS-Eintrag, der die Domain intern direkt auf die Ziel-IP auflöst.</w:t>
      </w:r>
    </w:p>
    <w:p>
      <w:pPr>
        <w:pStyle w:val="Heading1"/>
        <w:spacing w:after="160" w:before="360"/>
      </w:pPr>
      <w:r>
        <w:t xml:space="preserve">4. Bisher umgesetzte Beispiele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900"/>
        <w:gridCol w:w="29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Projekt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Ziel-IP</w:t>
            </w:r>
          </w:p>
        </w:tc>
        <w:tc>
          <w:tcPr>
            <w:tcW w:type="dxa" w:w="2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Umgebung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QFieldCloud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qfield.example.com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192.168.1.20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Ubuntu-VM, Synology Virtual Machine Manager</w:t>
            </w:r>
          </w:p>
        </w:tc>
      </w:tr>
      <w:tr>
        <w:tc>
          <w:tcPr>
            <w:tcW w:type="dxa" w:w="24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Lizmap-Kartenprojekt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karte.example.com</w:t>
            </w:r>
          </w:p>
        </w:tc>
        <w:tc>
          <w:tcPr>
            <w:tcW w:type="dxa" w:w="19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192.168.1.30</w:t>
            </w:r>
          </w:p>
        </w:tc>
        <w:tc>
          <w:tcPr>
            <w:tcW w:type="dxa" w:w="2900"/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Ubuntu-VM, VMware Fusion auf Mac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5. Warum sich dieses Muster lohnt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Ein einziger Router-Port-Forward (80+443 → DSM) genügt für beliebig viele Projekte auf beliebig vielen VMs/Servern.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Echtes, im Browser vertrauenswürdiges Let's-Encrypt-Zertifikat statt selbstsigniert – auch für reine Testprojekte.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Zielserver selbst bleibt komplett unangetastet – keine öffentliche Portfreigabe, kein eigenes Zertifikatsmanagement dort nötig.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Neues Projekt freischalten dauert mit dieser Checkliste nur noch wenige Minuten.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2026-07-18T14:05:39.271Z</dcterms:created>
  <dcterms:modified xsi:type="dcterms:W3CDTF">2026-07-18T14:05:39.288Z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