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200" w:after="240"/>
        <w:rPr/>
      </w:pPr>
      <w:r>
        <w:rPr>
          <w:b/>
          <w:bCs/>
          <w:color w:val="1F4E79"/>
          <w:sz w:val="56"/>
          <w:szCs w:val="56"/>
        </w:rPr>
        <w:t>Absturzrisiko Wanderwege</w:t>
      </w:r>
    </w:p>
    <w:p>
      <w:pPr>
        <w:pStyle w:val="Normal"/>
        <w:spacing w:before="0" w:after="600"/>
        <w:rPr/>
      </w:pPr>
      <w:r>
        <w:rPr>
          <w:color w:val="595959"/>
          <w:sz w:val="28"/>
          <w:szCs w:val="28"/>
        </w:rPr>
        <w:t>Dokumentation des QGIS-Processing-Skripts fall_exposure_qgis.py (v2)</w:t>
      </w:r>
    </w:p>
    <w:p>
      <w:pPr>
        <w:pStyle w:val="Normal"/>
        <w:pBdr>
          <w:bottom w:val="single" w:sz="8" w:space="4" w:color="1F4E79"/>
        </w:pBdr>
        <w:rPr/>
      </w:pPr>
      <w:r>
        <w:rPr/>
      </w:r>
    </w:p>
    <w:p>
      <w:pPr>
        <w:pStyle w:val="Normal"/>
        <w:spacing w:before="400" w:after="80"/>
        <w:rPr/>
      </w:pPr>
      <w:r>
        <w:rPr>
          <w:b/>
          <w:bCs/>
          <w:sz w:val="24"/>
          <w:szCs w:val="24"/>
        </w:rPr>
        <w:t>BERGI IT Consulting</w:t>
      </w:r>
    </w:p>
    <w:p>
      <w:pPr>
        <w:pStyle w:val="Normal"/>
        <w:spacing w:before="0" w:after="80"/>
        <w:rPr/>
      </w:pPr>
      <w:r>
        <w:rPr>
          <w:sz w:val="24"/>
          <w:szCs w:val="24"/>
        </w:rPr>
        <w:t>Stand: 7. Oktober 2026</w:t>
      </w:r>
    </w:p>
    <w:p>
      <w:pPr>
        <w:pStyle w:val="Normal"/>
        <w:rPr/>
      </w:pPr>
      <w:r>
        <w:rPr/>
      </w:r>
      <w:r>
        <w:br w:type="page"/>
      </w:r>
    </w:p>
    <w:p>
      <w:pPr>
        <w:pStyle w:val="Normal"/>
        <w:spacing w:before="0" w:after="240"/>
        <w:rPr/>
      </w:pPr>
      <w:r>
        <w:rPr>
          <w:b/>
          <w:bCs/>
          <w:color w:val="1F4E79"/>
          <w:sz w:val="32"/>
          <w:szCs w:val="32"/>
        </w:rPr>
        <w:t>Inhaltsverzeichnis</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"1-2" \h</w:instrText>
          </w:r>
          <w:r>
            <w:rPr>
              <w:rStyle w:val="IndexLink"/>
            </w:rPr>
            <w:fldChar w:fldCharType="separate"/>
          </w:r>
          <w:hyperlink w:anchor="__RefHeading___Toc710_3725421718">
            <w:r>
              <w:rPr>
                <w:rStyle w:val="IndexLink"/>
              </w:rPr>
              <w:t>1 Überblick</w:t>
              <w:tab/>
              <w:t>3</w:t>
            </w:r>
          </w:hyperlink>
        </w:p>
        <w:p>
          <w:pPr>
            <w:pStyle w:val="TOC2"/>
            <w:tabs>
              <w:tab w:val="clear" w:pos="8743"/>
              <w:tab w:val="right" w:pos="9025" w:leader="dot"/>
            </w:tabs>
            <w:rPr/>
          </w:pPr>
          <w:hyperlink w:anchor="__RefHeading___Toc712_3725421718">
            <w:r>
              <w:rPr>
                <w:rStyle w:val="IndexLink"/>
              </w:rPr>
              <w:t>1.1 Gesamtablauf</w:t>
              <w:tab/>
              <w:t>3</w:t>
            </w:r>
          </w:hyperlink>
        </w:p>
        <w:p>
          <w:pPr>
            <w:pStyle w:val="TOC1"/>
            <w:tabs>
              <w:tab w:val="clear" w:pos="9026"/>
              <w:tab w:val="right" w:pos="9025" w:leader="dot"/>
            </w:tabs>
            <w:rPr/>
          </w:pPr>
          <w:hyperlink w:anchor="__RefHeading___Toc714_3725421718">
            <w:r>
              <w:rPr>
                <w:rStyle w:val="IndexLink"/>
              </w:rPr>
              <w:t>2 Installation und Eingabedaten</w:t>
              <w:tab/>
              <w:t>4</w:t>
            </w:r>
          </w:hyperlink>
        </w:p>
        <w:p>
          <w:pPr>
            <w:pStyle w:val="TOC2"/>
            <w:tabs>
              <w:tab w:val="clear" w:pos="8743"/>
              <w:tab w:val="right" w:pos="9025" w:leader="dot"/>
            </w:tabs>
            <w:rPr/>
          </w:pPr>
          <w:hyperlink w:anchor="__RefHeading___Toc716_3725421718">
            <w:r>
              <w:rPr>
                <w:rStyle w:val="IndexLink"/>
              </w:rPr>
              <w:t>2.1 Installation in QGIS</w:t>
              <w:tab/>
              <w:t>4</w:t>
            </w:r>
          </w:hyperlink>
        </w:p>
        <w:p>
          <w:pPr>
            <w:pStyle w:val="TOC2"/>
            <w:tabs>
              <w:tab w:val="clear" w:pos="8743"/>
              <w:tab w:val="right" w:pos="9025" w:leader="dot"/>
            </w:tabs>
            <w:rPr/>
          </w:pPr>
          <w:hyperlink w:anchor="__RefHeading___Toc718_3725421718">
            <w:r>
              <w:rPr>
                <w:rStyle w:val="IndexLink"/>
              </w:rPr>
              <w:t>2.2 Benötigte Layer</w:t>
              <w:tab/>
              <w:t>4</w:t>
            </w:r>
          </w:hyperlink>
        </w:p>
        <w:p>
          <w:pPr>
            <w:pStyle w:val="TOC2"/>
            <w:tabs>
              <w:tab w:val="clear" w:pos="8743"/>
              <w:tab w:val="right" w:pos="9025" w:leader="dot"/>
            </w:tabs>
            <w:rPr/>
          </w:pPr>
          <w:hyperlink w:anchor="__RefHeading___Toc720_3725421718">
            <w:r>
              <w:rPr>
                <w:rStyle w:val="IndexLink"/>
              </w:rPr>
              <w:t>2.3 Höhenmodell als VRT zusammenfassen</w:t>
              <w:tab/>
              <w:t>4</w:t>
            </w:r>
          </w:hyperlink>
        </w:p>
        <w:p>
          <w:pPr>
            <w:pStyle w:val="TOC2"/>
            <w:tabs>
              <w:tab w:val="clear" w:pos="8743"/>
              <w:tab w:val="right" w:pos="9025" w:leader="dot"/>
            </w:tabs>
            <w:rPr/>
          </w:pPr>
          <w:hyperlink w:anchor="__RefHeading___Toc722_3725421718">
            <w:r>
              <w:rPr>
                <w:rStyle w:val="IndexLink"/>
              </w:rPr>
              <w:t>2.4 Wald aus swissTLM3D (Alternative)</w:t>
              <w:tab/>
              <w:t>4</w:t>
            </w:r>
          </w:hyperlink>
        </w:p>
        <w:p>
          <w:pPr>
            <w:pStyle w:val="TOC1"/>
            <w:tabs>
              <w:tab w:val="clear" w:pos="9026"/>
              <w:tab w:val="right" w:pos="9025" w:leader="dot"/>
            </w:tabs>
            <w:rPr/>
          </w:pPr>
          <w:hyperlink w:anchor="__RefHeading___Toc724_3725421718">
            <w:r>
              <w:rPr>
                <w:rStyle w:val="IndexLink"/>
              </w:rPr>
              <w:t>3 Aufbau des Skripts</w:t>
              <w:tab/>
              <w:t>5</w:t>
            </w:r>
          </w:hyperlink>
        </w:p>
        <w:p>
          <w:pPr>
            <w:pStyle w:val="TOC1"/>
            <w:tabs>
              <w:tab w:val="clear" w:pos="9026"/>
              <w:tab w:val="right" w:pos="9025" w:leader="dot"/>
            </w:tabs>
            <w:rPr/>
          </w:pPr>
          <w:hyperlink w:anchor="__RefHeading___Toc726_3725421718">
            <w:r>
              <w:rPr>
                <w:rStyle w:val="IndexLink"/>
              </w:rPr>
              <w:t>4 Vorbereitung pro Weg</w:t>
              <w:tab/>
              <w:t>5</w:t>
            </w:r>
          </w:hyperlink>
        </w:p>
        <w:p>
          <w:pPr>
            <w:pStyle w:val="TOC1"/>
            <w:tabs>
              <w:tab w:val="clear" w:pos="9026"/>
              <w:tab w:val="right" w:pos="9025" w:leader="dot"/>
            </w:tabs>
            <w:rPr/>
          </w:pPr>
          <w:hyperlink w:anchor="__RefHeading___Toc728_3725421718">
            <w:r>
              <w:rPr>
                <w:rStyle w:val="IndexLink"/>
              </w:rPr>
              <w:t>5 DEM-Ausschnitt und abgeleitete Raster</w:t>
              <w:tab/>
              <w:t>5</w:t>
            </w:r>
          </w:hyperlink>
        </w:p>
        <w:p>
          <w:pPr>
            <w:pStyle w:val="TOC1"/>
            <w:tabs>
              <w:tab w:val="clear" w:pos="9026"/>
              <w:tab w:val="right" w:pos="9025" w:leader="dot"/>
            </w:tabs>
            <w:rPr/>
          </w:pPr>
          <w:hyperlink w:anchor="__RefHeading___Toc730_3725421718">
            <w:r>
              <w:rPr>
                <w:rStyle w:val="IndexLink"/>
              </w:rPr>
              <w:t>6 Wahrscheinlichkeitsterm</w:t>
              <w:tab/>
              <w:t>6</w:t>
            </w:r>
          </w:hyperlink>
        </w:p>
        <w:p>
          <w:pPr>
            <w:pStyle w:val="TOC1"/>
            <w:tabs>
              <w:tab w:val="clear" w:pos="9026"/>
              <w:tab w:val="right" w:pos="9025" w:leader="dot"/>
            </w:tabs>
            <w:rPr/>
          </w:pPr>
          <w:hyperlink w:anchor="__RefHeading___Toc732_3725421718">
            <w:r>
              <w:rPr>
                <w:rStyle w:val="IndexLink"/>
              </w:rPr>
              <w:t>7 Absturzkante direkt am Weg</w:t>
              <w:tab/>
              <w:t>6</w:t>
            </w:r>
          </w:hyperlink>
        </w:p>
        <w:p>
          <w:pPr>
            <w:pStyle w:val="TOC1"/>
            <w:tabs>
              <w:tab w:val="clear" w:pos="9026"/>
              <w:tab w:val="right" w:pos="9025" w:leader="dot"/>
            </w:tabs>
            <w:rPr/>
          </w:pPr>
          <w:hyperlink w:anchor="__RefHeading___Toc734_3725421718">
            <w:r>
              <w:rPr>
                <w:rStyle w:val="IndexLink"/>
              </w:rPr>
              <w:t>8 Das virtuelle Fallexperiment</w:t>
              <w:tab/>
              <w:t>7</w:t>
            </w:r>
          </w:hyperlink>
        </w:p>
        <w:p>
          <w:pPr>
            <w:pStyle w:val="TOC2"/>
            <w:tabs>
              <w:tab w:val="clear" w:pos="8743"/>
              <w:tab w:val="right" w:pos="9025" w:leader="dot"/>
            </w:tabs>
            <w:rPr/>
          </w:pPr>
          <w:hyperlink w:anchor="__RefHeading___Toc736_3725421718">
            <w:r>
              <w:rPr>
                <w:rStyle w:val="IndexLink"/>
              </w:rPr>
              <w:t>8.1 Bewegung</w:t>
              <w:tab/>
              <w:t>7</w:t>
            </w:r>
          </w:hyperlink>
        </w:p>
        <w:p>
          <w:pPr>
            <w:pStyle w:val="TOC2"/>
            <w:tabs>
              <w:tab w:val="clear" w:pos="8743"/>
              <w:tab w:val="right" w:pos="9025" w:leader="dot"/>
            </w:tabs>
            <w:rPr/>
          </w:pPr>
          <w:hyperlink w:anchor="__RefHeading___Toc738_3725421718">
            <w:r>
              <w:rPr>
                <w:rStyle w:val="IndexLink"/>
              </w:rPr>
              <w:t>8.2 Energie</w:t>
              <w:tab/>
              <w:t>7</w:t>
            </w:r>
          </w:hyperlink>
        </w:p>
        <w:p>
          <w:pPr>
            <w:pStyle w:val="TOC2"/>
            <w:tabs>
              <w:tab w:val="clear" w:pos="8743"/>
              <w:tab w:val="right" w:pos="9025" w:leader="dot"/>
            </w:tabs>
            <w:rPr/>
          </w:pPr>
          <w:hyperlink w:anchor="__RefHeading___Toc740_3725421718">
            <w:r>
              <w:rPr>
                <w:rStyle w:val="IndexLink"/>
              </w:rPr>
              <w:t>8.3 Abbruch und Ergebnis</w:t>
              <w:tab/>
              <w:t>7</w:t>
            </w:r>
          </w:hyperlink>
        </w:p>
        <w:p>
          <w:pPr>
            <w:pStyle w:val="TOC2"/>
            <w:tabs>
              <w:tab w:val="clear" w:pos="8743"/>
              <w:tab w:val="right" w:pos="9025" w:leader="dot"/>
            </w:tabs>
            <w:rPr/>
          </w:pPr>
          <w:hyperlink w:anchor="__RefHeading___Toc742_3725421718">
            <w:r>
              <w:rPr>
                <w:rStyle w:val="IndexLink"/>
              </w:rPr>
              <w:t>8.4 Beispiel mit den Standardwerten</w:t>
              <w:tab/>
              <w:t>7</w:t>
            </w:r>
          </w:hyperlink>
        </w:p>
        <w:p>
          <w:pPr>
            <w:pStyle w:val="TOC1"/>
            <w:tabs>
              <w:tab w:val="clear" w:pos="9026"/>
              <w:tab w:val="right" w:pos="9025" w:leader="dot"/>
            </w:tabs>
            <w:rPr/>
          </w:pPr>
          <w:hyperlink w:anchor="__RefHeading___Toc744_3725421718">
            <w:r>
              <w:rPr>
                <w:rStyle w:val="IndexLink"/>
              </w:rPr>
              <w:t>9 Waldfaktor</w:t>
              <w:tab/>
              <w:t>7</w:t>
            </w:r>
          </w:hyperlink>
        </w:p>
        <w:p>
          <w:pPr>
            <w:pStyle w:val="TOC1"/>
            <w:tabs>
              <w:tab w:val="clear" w:pos="9026"/>
              <w:tab w:val="right" w:pos="9025" w:leader="dot"/>
            </w:tabs>
            <w:rPr/>
          </w:pPr>
          <w:hyperlink w:anchor="__RefHeading___Toc746_3725421718">
            <w:r>
              <w:rPr>
                <w:rStyle w:val="IndexLink"/>
              </w:rPr>
              <w:t>10 Risiko und Klasse</w:t>
              <w:tab/>
              <w:t>8</w:t>
            </w:r>
          </w:hyperlink>
        </w:p>
        <w:p>
          <w:pPr>
            <w:pStyle w:val="TOC1"/>
            <w:tabs>
              <w:tab w:val="clear" w:pos="9026"/>
              <w:tab w:val="right" w:pos="9025" w:leader="dot"/>
            </w:tabs>
            <w:rPr/>
          </w:pPr>
          <w:hyperlink w:anchor="__RefHeading___Toc748_3725421718">
            <w:r>
              <w:rPr>
                <w:rStyle w:val="IndexLink"/>
              </w:rPr>
              <w:t>11 Zusammenfassen zu 25-m-Segmenten</w:t>
              <w:tab/>
              <w:t>8</w:t>
            </w:r>
          </w:hyperlink>
        </w:p>
        <w:p>
          <w:pPr>
            <w:pStyle w:val="TOC1"/>
            <w:tabs>
              <w:tab w:val="clear" w:pos="9026"/>
              <w:tab w:val="right" w:pos="9025" w:leader="dot"/>
            </w:tabs>
            <w:rPr/>
          </w:pPr>
          <w:hyperlink w:anchor="__RefHeading___Toc750_3725421718">
            <w:r>
              <w:rPr>
                <w:rStyle w:val="IndexLink"/>
              </w:rPr>
              <w:t>12 Ausgabe</w:t>
              <w:tab/>
              <w:t>9</w:t>
            </w:r>
          </w:hyperlink>
        </w:p>
        <w:p>
          <w:pPr>
            <w:pStyle w:val="TOC2"/>
            <w:tabs>
              <w:tab w:val="clear" w:pos="8743"/>
              <w:tab w:val="right" w:pos="9025" w:leader="dot"/>
            </w:tabs>
            <w:rPr/>
          </w:pPr>
          <w:hyperlink w:anchor="__RefHeading___Toc752_3725421718">
            <w:r>
              <w:rPr>
                <w:rStyle w:val="IndexLink"/>
              </w:rPr>
              <w:t>12.1 Umgang mit Schlüsselspalten</w:t>
              <w:tab/>
              <w:t>9</w:t>
            </w:r>
          </w:hyperlink>
        </w:p>
        <w:p>
          <w:pPr>
            <w:pStyle w:val="TOC1"/>
            <w:tabs>
              <w:tab w:val="clear" w:pos="9026"/>
              <w:tab w:val="right" w:pos="9025" w:leader="dot"/>
            </w:tabs>
            <w:rPr/>
          </w:pPr>
          <w:hyperlink w:anchor="__RefHeading___Toc754_3725421718">
            <w:r>
              <w:rPr>
                <w:rStyle w:val="IndexLink"/>
              </w:rPr>
              <w:t>13 Parameterübersicht</w:t>
              <w:tab/>
              <w:t>10</w:t>
            </w:r>
          </w:hyperlink>
        </w:p>
        <w:p>
          <w:pPr>
            <w:pStyle w:val="TOC1"/>
            <w:tabs>
              <w:tab w:val="clear" w:pos="9026"/>
              <w:tab w:val="right" w:pos="9025" w:leader="dot"/>
            </w:tabs>
            <w:rPr/>
          </w:pPr>
          <w:hyperlink w:anchor="__RefHeading___Toc756_3725421718">
            <w:r>
              <w:rPr>
                <w:rStyle w:val="IndexLink"/>
              </w:rPr>
              <w:t>14 Test</w:t>
              <w:tab/>
              <w:t>11</w:t>
            </w:r>
          </w:hyperlink>
        </w:p>
        <w:p>
          <w:pPr>
            <w:pStyle w:val="TOC2"/>
            <w:tabs>
              <w:tab w:val="clear" w:pos="8743"/>
              <w:tab w:val="right" w:pos="9025" w:leader="dot"/>
            </w:tabs>
            <w:rPr/>
          </w:pPr>
          <w:hyperlink w:anchor="__RefHeading___Toc758_3725421718">
            <w:r>
              <w:rPr>
                <w:rStyle w:val="IndexLink"/>
              </w:rPr>
              <w:t>14.1 Laufzeit</w:t>
              <w:tab/>
              <w:t>11</w:t>
            </w:r>
          </w:hyperlink>
        </w:p>
        <w:p>
          <w:pPr>
            <w:pStyle w:val="TOC1"/>
            <w:tabs>
              <w:tab w:val="clear" w:pos="9026"/>
              <w:tab w:val="right" w:pos="9025" w:leader="dot"/>
            </w:tabs>
            <w:rPr/>
          </w:pPr>
          <w:hyperlink w:anchor="__RefHeading___Toc760_3725421718">
            <w:r>
              <w:rPr>
                <w:rStyle w:val="IndexLink"/>
              </w:rPr>
              <w:t>15 Grenzen des Modells</w:t>
              <w:tab/>
              <w:t>12</w:t>
            </w:r>
          </w:hyperlink>
        </w:p>
        <w:p>
          <w:pPr>
            <w:pStyle w:val="TOC2"/>
            <w:tabs>
              <w:tab w:val="clear" w:pos="8743"/>
              <w:tab w:val="right" w:pos="9025" w:leader="dot"/>
            </w:tabs>
            <w:rPr/>
          </w:pPr>
          <w:hyperlink w:anchor="__RefHeading___Toc762_3725421718">
            <w:r>
              <w:rPr>
                <w:rStyle w:val="IndexLink"/>
              </w:rPr>
              <w:t>15.1 Quellen</w:t>
              <w:tab/>
              <w:t>12</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0" w:name="__RefHeading___Toc710_3725421718"/>
      <w:bookmarkEnd w:id="0"/>
      <w:r>
        <w:rPr/>
        <w:t>1  Überblick</w:t>
      </w:r>
    </w:p>
    <w:p>
      <w:pPr>
        <w:pStyle w:val="Normal"/>
        <w:spacing w:before="0" w:after="120"/>
        <w:rPr/>
      </w:pPr>
      <w:r>
        <w:rPr>
          <w:rFonts w:eastAsia="Consolas" w:cs="Consolas" w:ascii="Consolas" w:hAnsi="Consolas"/>
          <w:color w:val="333333"/>
          <w:sz w:val="20"/>
          <w:szCs w:val="20"/>
        </w:rPr>
        <w:t>fall_exposure_qgis.py</w:t>
      </w:r>
      <w:r>
        <w:rPr/>
        <w:t xml:space="preserve"> ist ein Processing-Skript für QGIS. Es bewertet Wanderwege in 25-m-Abschnitten danach, wie gefährlich ein Sturz an dieser Stelle wäre. Dafür beantwortet es zwei Fragen: Wie wahrscheinlich ist ein Sturz, und wie schnell würde man danach? Das Produkt ergibt eine Risikozahl und daraus eine Klasse von 1 (gering) bis 4 (sehr hoch).</w:t>
      </w:r>
    </w:p>
    <w:p>
      <w:pPr>
        <w:pStyle w:val="Normal"/>
        <w:spacing w:before="0" w:after="120"/>
        <w:rPr/>
      </w:pPr>
      <w:r>
        <w:rPr/>
        <w:t>Das Modell ist angelehnt an das Prinzip, das Skitourenguru im Wiki-Artikel a0077 beschreibt. Skitourenguru legt nur die Grundformel offen, nicht die Parameter, die Definition der Faltigkeit oder die Klassengrenzen. Diese Teile sind eine eigene Umsetzung.</w:t>
      </w:r>
    </w:p>
    <w:p>
      <w:pPr>
        <w:pStyle w:val="Normal"/>
        <w:spacing w:before="0" w:after="120"/>
        <w:rPr/>
      </w:pPr>
      <w:r>
        <w:rPr/>
        <w:t xml:space="preserve">Zum Skript gehört eine zweite Datei, </w:t>
      </w:r>
      <w:r>
        <w:rPr>
          <w:rFonts w:eastAsia="Consolas" w:cs="Consolas" w:ascii="Consolas" w:hAnsi="Consolas"/>
          <w:color w:val="333333"/>
          <w:sz w:val="20"/>
          <w:szCs w:val="20"/>
        </w:rPr>
        <w:t>fall_exposure.py</w:t>
      </w:r>
      <w:r>
        <w:rPr/>
        <w:t>. Sie enthält dieselbe Logik für die Kommandozeile und rechnet auf mehreren Kernen. Sie eignet sich für die ganze Schweiz. Diese Dokumentation beschreibt die QGIS-Version.</w:t>
      </w:r>
    </w:p>
    <w:p>
      <w:pPr>
        <w:pStyle w:val="Heading2"/>
        <w:keepNext w:val="true"/>
        <w:rPr/>
      </w:pPr>
      <w:bookmarkStart w:id="1" w:name="__RefHeading___Toc712_3725421718"/>
      <w:bookmarkEnd w:id="1"/>
      <w:r>
        <w:rPr/>
        <w:t>1.1  Gesamtablauf</w:t>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before="0" w:after="0"/>
              <w:rPr/>
            </w:pPr>
            <w:r>
              <w:rPr>
                <w:rFonts w:eastAsia="Consolas" w:cs="Consolas" w:ascii="Consolas" w:hAnsi="Consolas"/>
                <w:sz w:val="18"/>
                <w:szCs w:val="18"/>
              </w:rPr>
              <w:t>Weg-Layer ──► pro Weg: in Stücke ≤ 500 m teilen</w:t>
            </w:r>
          </w:p>
          <w:p>
            <w:pPr>
              <w:pStyle w:val="Normal"/>
              <w:spacing w:before="0" w:after="0"/>
              <w:rPr/>
            </w:pPr>
            <w:r>
              <w:rPr>
                <w:rFonts w:eastAsia="Consolas" w:cs="Consolas" w:ascii="Consolas" w:hAnsi="Consolas"/>
                <w:sz w:val="18"/>
                <w:szCs w:val="18"/>
              </w:rPr>
              <w:t xml:space="preserve">                  │</w:t>
            </w:r>
          </w:p>
          <w:p>
            <w:pPr>
              <w:pStyle w:val="Normal"/>
              <w:spacing w:before="0" w:after="0"/>
              <w:rPr/>
            </w:pPr>
            <w:r>
              <w:rPr>
                <w:rFonts w:eastAsia="Consolas" w:cs="Consolas" w:ascii="Consolas" w:hAnsi="Consolas"/>
                <w:sz w:val="18"/>
                <w:szCs w:val="18"/>
              </w:rPr>
              <w:t xml:space="preserve">                  ▼</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alle 5 m ein Startpunkt auf dem Weg</w:t>
            </w:r>
          </w:p>
          <w:p>
            <w:pPr>
              <w:pStyle w:val="Normal"/>
              <w:spacing w:before="0" w:after="0"/>
              <w:rPr/>
            </w:pPr>
            <w:r>
              <w:rPr>
                <w:rFonts w:eastAsia="Consolas" w:cs="Consolas" w:ascii="Consolas" w:hAnsi="Consolas"/>
                <w:sz w:val="18"/>
                <w:szCs w:val="18"/>
              </w:rPr>
              <w:t xml:space="preserve">                  │</w:t>
            </w:r>
          </w:p>
          <w:p>
            <w:pPr>
              <w:pStyle w:val="Normal"/>
              <w:spacing w:before="0" w:after="0"/>
              <w:rPr/>
            </w:pPr>
            <w:r>
              <w:rPr>
                <w:rFonts w:eastAsia="Consolas" w:cs="Consolas" w:ascii="Consolas" w:hAnsi="Consolas"/>
                <w:sz w:val="18"/>
                <w:szCs w:val="18"/>
              </w:rPr>
              <w:t xml:space="preserve">                  ├─► </w:t>
            </w:r>
            <w:r>
              <w:rPr>
                <w:rFonts w:eastAsia="Consolas" w:cs="Consolas" w:ascii="Consolas" w:hAnsi="Consolas"/>
                <w:sz w:val="18"/>
                <w:szCs w:val="18"/>
              </w:rPr>
              <w:t>DEM-Ausschnitt laden → Hangneigung, Faltigkeit, (Wald)</w:t>
            </w:r>
          </w:p>
          <w:p>
            <w:pPr>
              <w:pStyle w:val="Normal"/>
              <w:spacing w:before="0" w:after="0"/>
              <w:rPr/>
            </w:pPr>
            <w:r>
              <w:rPr>
                <w:rFonts w:eastAsia="Consolas" w:cs="Consolas" w:ascii="Consolas" w:hAnsi="Consolas"/>
                <w:sz w:val="18"/>
                <w:szCs w:val="18"/>
              </w:rPr>
              <w:t xml:space="preserve">                  ├─► </w:t>
            </w:r>
            <w:r>
              <w:rPr>
                <w:rFonts w:eastAsia="Consolas" w:cs="Consolas" w:ascii="Consolas" w:hAnsi="Consolas"/>
                <w:sz w:val="18"/>
                <w:szCs w:val="18"/>
              </w:rPr>
              <w:t>Wahrscheinlichkeitsterm am Weg</w:t>
            </w:r>
          </w:p>
          <w:p>
            <w:pPr>
              <w:pStyle w:val="Normal"/>
              <w:spacing w:before="0" w:after="0"/>
              <w:rPr/>
            </w:pPr>
            <w:r>
              <w:rPr>
                <w:rFonts w:eastAsia="Consolas" w:cs="Consolas" w:ascii="Consolas" w:hAnsi="Consolas"/>
                <w:sz w:val="18"/>
                <w:szCs w:val="18"/>
              </w:rPr>
              <w:t xml:space="preserve">                  ├─► </w:t>
            </w:r>
            <w:r>
              <w:rPr>
                <w:rFonts w:eastAsia="Consolas" w:cs="Consolas" w:ascii="Consolas" w:hAnsi="Consolas"/>
                <w:sz w:val="18"/>
                <w:szCs w:val="18"/>
              </w:rPr>
              <w:t>Absturzkante direkt neben dem Weg?</w:t>
            </w:r>
          </w:p>
          <w:p>
            <w:pPr>
              <w:pStyle w:val="Normal"/>
              <w:spacing w:before="0" w:after="0"/>
              <w:rPr/>
            </w:pPr>
            <w:r>
              <w:rPr>
                <w:rFonts w:eastAsia="Consolas" w:cs="Consolas" w:ascii="Consolas" w:hAnsi="Consolas"/>
                <w:sz w:val="18"/>
                <w:szCs w:val="18"/>
              </w:rPr>
              <w:t xml:space="preserve">                  └─► </w:t>
            </w:r>
            <w:r>
              <w:rPr>
                <w:rFonts w:eastAsia="Consolas" w:cs="Consolas" w:ascii="Consolas" w:hAnsi="Consolas"/>
                <w:sz w:val="18"/>
                <w:szCs w:val="18"/>
              </w:rPr>
              <w:t>Fallexperiment links und rechts → v_max</w:t>
            </w:r>
          </w:p>
          <w:p>
            <w:pPr>
              <w:pStyle w:val="Normal"/>
              <w:spacing w:before="0" w:after="0"/>
              <w:rPr/>
            </w:pPr>
            <w:r>
              <w:rPr>
                <w:rFonts w:eastAsia="Consolas" w:cs="Consolas" w:ascii="Consolas" w:hAnsi="Consolas"/>
                <w:sz w:val="18"/>
                <w:szCs w:val="18"/>
              </w:rPr>
              <w:t xml:space="preserve">                  │</w:t>
            </w:r>
          </w:p>
          <w:p>
            <w:pPr>
              <w:pStyle w:val="Normal"/>
              <w:spacing w:before="0" w:after="0"/>
              <w:rPr/>
            </w:pPr>
            <w:r>
              <w:rPr>
                <w:rFonts w:eastAsia="Consolas" w:cs="Consolas" w:ascii="Consolas" w:hAnsi="Consolas"/>
                <w:sz w:val="18"/>
                <w:szCs w:val="18"/>
              </w:rPr>
              <w:t xml:space="preserve">                  ▼</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risk = Wahrscheinlichkeit × v_max × Waldfaktor → Klasse</w:t>
            </w:r>
          </w:p>
          <w:p>
            <w:pPr>
              <w:pStyle w:val="Normal"/>
              <w:spacing w:before="0" w:after="0"/>
              <w:rPr/>
            </w:pPr>
            <w:r>
              <w:rPr>
                <w:rFonts w:eastAsia="Consolas" w:cs="Consolas" w:ascii="Consolas" w:hAnsi="Consolas"/>
                <w:sz w:val="18"/>
                <w:szCs w:val="18"/>
              </w:rPr>
              <w:t xml:space="preserve">                  │</w:t>
            </w:r>
          </w:p>
          <w:p>
            <w:pPr>
              <w:pStyle w:val="Normal"/>
              <w:spacing w:before="0" w:after="0"/>
              <w:rPr/>
            </w:pPr>
            <w:r>
              <w:rPr>
                <w:rFonts w:eastAsia="Consolas" w:cs="Consolas" w:ascii="Consolas" w:hAnsi="Consolas"/>
                <w:sz w:val="18"/>
                <w:szCs w:val="18"/>
              </w:rPr>
              <w:t xml:space="preserve">                  ▼</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je 25 m ein Ausgabesegment mit Attributen</w:t>
            </w:r>
          </w:p>
        </w:tc>
      </w:tr>
    </w:tbl>
    <w:p>
      <w:pPr>
        <w:pStyle w:val="Normal"/>
        <w:spacing w:before="0" w:after="80"/>
        <w:rPr/>
      </w:pPr>
      <w:r>
        <w:rPr/>
      </w:r>
      <w:r>
        <w:br w:type="page"/>
      </w:r>
    </w:p>
    <w:p>
      <w:pPr>
        <w:pStyle w:val="Heading1"/>
        <w:rPr/>
      </w:pPr>
      <w:bookmarkStart w:id="2" w:name="__RefHeading___Toc714_3725421718"/>
      <w:bookmarkEnd w:id="2"/>
      <w:r>
        <w:rPr/>
        <w:t>2  Installation und Eingabedaten</w:t>
      </w:r>
    </w:p>
    <w:p>
      <w:pPr>
        <w:pStyle w:val="Heading2"/>
        <w:keepNext w:val="true"/>
        <w:rPr/>
      </w:pPr>
      <w:bookmarkStart w:id="3" w:name="__RefHeading___Toc716_3725421718"/>
      <w:bookmarkEnd w:id="3"/>
      <w:r>
        <w:rPr/>
        <w:t>2.1  Installation in QGIS</w:t>
      </w:r>
    </w:p>
    <w:p>
      <w:pPr>
        <w:pStyle w:val="ListParagraph"/>
        <w:numPr>
          <w:ilvl w:val="0"/>
          <w:numId w:val="4"/>
        </w:numPr>
        <w:spacing w:before="0" w:after="60"/>
        <w:rPr/>
      </w:pPr>
      <w:r>
        <w:rPr/>
        <w:t>In der Processing-Werkzeugkiste auf das Python-Symbol klicken und „Skript zur Werkzeugkiste hinzufügen…“ wählen.</w:t>
      </w:r>
    </w:p>
    <w:p>
      <w:pPr>
        <w:pStyle w:val="ListParagraph"/>
        <w:numPr>
          <w:ilvl w:val="0"/>
          <w:numId w:val="1"/>
        </w:numPr>
        <w:spacing w:before="0" w:after="60"/>
        <w:rPr/>
      </w:pPr>
      <w:r>
        <w:rPr/>
        <w:t xml:space="preserve">Die Datei </w:t>
      </w:r>
      <w:r>
        <w:rPr>
          <w:rFonts w:eastAsia="Consolas" w:cs="Consolas" w:ascii="Consolas" w:hAnsi="Consolas"/>
          <w:color w:val="333333"/>
          <w:sz w:val="20"/>
          <w:szCs w:val="20"/>
        </w:rPr>
        <w:t>fall_exposure_qgis.py</w:t>
      </w:r>
      <w:r>
        <w:rPr/>
        <w:t xml:space="preserve"> auswählen.</w:t>
      </w:r>
    </w:p>
    <w:p>
      <w:pPr>
        <w:pStyle w:val="ListParagraph"/>
        <w:numPr>
          <w:ilvl w:val="0"/>
          <w:numId w:val="1"/>
        </w:numPr>
        <w:spacing w:before="0" w:after="60"/>
        <w:rPr/>
      </w:pPr>
      <w:r>
        <w:rPr/>
        <w:t xml:space="preserve">Das Werkzeug erscheint unter </w:t>
      </w:r>
      <w:r>
        <w:rPr>
          <w:b/>
          <w:bCs/>
        </w:rPr>
        <w:t>Skripte → Wanderwege → Absturzrisiko Wanderwege</w:t>
      </w:r>
      <w:r>
        <w:rPr/>
        <w:t>.</w:t>
      </w:r>
    </w:p>
    <w:p>
      <w:pPr>
        <w:pStyle w:val="Normal"/>
        <w:spacing w:before="120" w:after="120"/>
        <w:rPr/>
      </w:pPr>
      <w:r>
        <w:rPr/>
        <w:t>Das Skript braucht nur numpy und GDAL. Beides ist in QGIS enthalten, es muss nichts nachinstalliert werden.</w:t>
      </w:r>
    </w:p>
    <w:p>
      <w:pPr>
        <w:pStyle w:val="Heading2"/>
        <w:keepNext w:val="true"/>
        <w:rPr/>
      </w:pPr>
      <w:bookmarkStart w:id="4" w:name="__RefHeading___Toc718_3725421718"/>
      <w:bookmarkEnd w:id="4"/>
      <w:r>
        <w:rPr/>
        <w:t>2.2  Benötigte Layer</w:t>
      </w:r>
    </w:p>
    <w:tbl>
      <w:tblPr>
        <w:tblW w:w="9026" w:type="dxa"/>
        <w:jc w:val="left"/>
        <w:tblInd w:w="0" w:type="dxa"/>
        <w:tblLayout w:type="fixed"/>
        <w:tblCellMar>
          <w:top w:w="60" w:type="dxa"/>
          <w:left w:w="100" w:type="dxa"/>
          <w:bottom w:w="60" w:type="dxa"/>
          <w:right w:w="100" w:type="dxa"/>
        </w:tblCellMar>
      </w:tblPr>
      <w:tblGrid>
        <w:gridCol w:w="2199"/>
        <w:gridCol w:w="1301"/>
        <w:gridCol w:w="5526"/>
      </w:tblGrid>
      <w:tr>
        <w:trPr>
          <w:tblHeader w:val="true"/>
        </w:trPr>
        <w:tc>
          <w:tcPr>
            <w:tcW w:w="2199" w:type="dxa"/>
            <w:tcBorders>
              <w:top w:val="single" w:sz="4" w:space="0" w:color="BFBFBF"/>
              <w:left w:val="single" w:sz="4" w:space="0" w:color="BFBFBF"/>
              <w:bottom w:val="single" w:sz="4" w:space="0" w:color="BFBFBF"/>
              <w:right w:val="single" w:sz="4" w:space="0" w:color="BFBFBF"/>
            </w:tcBorders>
            <w:shd w:color="auto" w:fill="1F4E79" w:val="clear"/>
          </w:tcPr>
          <w:p>
            <w:pPr>
              <w:pStyle w:val="Normal"/>
              <w:spacing w:before="0" w:after="0"/>
              <w:rPr/>
            </w:pPr>
            <w:r>
              <w:rPr>
                <w:b/>
                <w:bCs/>
                <w:color w:val="FFFFFF"/>
              </w:rPr>
              <w:t>Layer</w:t>
            </w:r>
          </w:p>
        </w:tc>
        <w:tc>
          <w:tcPr>
            <w:tcW w:w="1301" w:type="dxa"/>
            <w:tcBorders>
              <w:top w:val="single" w:sz="4" w:space="0" w:color="BFBFBF"/>
              <w:left w:val="single" w:sz="4" w:space="0" w:color="BFBFBF"/>
              <w:bottom w:val="single" w:sz="4" w:space="0" w:color="BFBFBF"/>
              <w:right w:val="single" w:sz="4" w:space="0" w:color="BFBFBF"/>
            </w:tcBorders>
            <w:shd w:color="auto" w:fill="1F4E79" w:val="clear"/>
          </w:tcPr>
          <w:p>
            <w:pPr>
              <w:pStyle w:val="Normal"/>
              <w:spacing w:before="0" w:after="0"/>
              <w:rPr/>
            </w:pPr>
            <w:r>
              <w:rPr>
                <w:b/>
                <w:bCs/>
                <w:color w:val="FFFFFF"/>
              </w:rPr>
              <w:t>Pflicht</w:t>
            </w:r>
          </w:p>
        </w:tc>
        <w:tc>
          <w:tcPr>
            <w:tcW w:w="5526" w:type="dxa"/>
            <w:tcBorders>
              <w:top w:val="single" w:sz="4" w:space="0" w:color="BFBFBF"/>
              <w:left w:val="single" w:sz="4" w:space="0" w:color="BFBFBF"/>
              <w:bottom w:val="single" w:sz="4" w:space="0" w:color="BFBFBF"/>
              <w:right w:val="single" w:sz="4" w:space="0" w:color="BFBFBF"/>
            </w:tcBorders>
            <w:shd w:color="auto" w:fill="1F4E79" w:val="clear"/>
          </w:tcPr>
          <w:p>
            <w:pPr>
              <w:pStyle w:val="Normal"/>
              <w:spacing w:before="0" w:after="0"/>
              <w:rPr/>
            </w:pPr>
            <w:r>
              <w:rPr>
                <w:b/>
                <w:bCs/>
                <w:color w:val="FFFFFF"/>
              </w:rPr>
              <w:t>Beschreibung</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Wege</w:t>
            </w:r>
          </w:p>
        </w:tc>
        <w:tc>
          <w:tcPr>
            <w:tcW w:w="1301"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ja</w:t>
            </w:r>
          </w:p>
        </w:tc>
        <w:tc>
          <w:tcPr>
            <w:tcW w:w="5526"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 xml:space="preserve">Linien-Layer, z.B. die PostGIS-Tabelle </w:t>
            </w:r>
            <w:r>
              <w:rPr>
                <w:rFonts w:eastAsia="Consolas" w:cs="Consolas" w:ascii="Consolas" w:hAnsi="Consolas"/>
                <w:color w:val="333333"/>
                <w:sz w:val="20"/>
                <w:szCs w:val="20"/>
              </w:rPr>
              <w:t>sac_scale_switzerland</w:t>
            </w:r>
            <w:r>
              <w:rPr/>
              <w:t xml:space="preserve"> von bergiserver. MultiLineString und jedes CRS sind möglich, das Skript reprojiziert selbst.</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Höhenmodell</w:t>
            </w:r>
          </w:p>
        </w:tc>
        <w:tc>
          <w:tcPr>
            <w:tcW w:w="1301"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ja</w:t>
            </w:r>
          </w:p>
        </w:tc>
        <w:tc>
          <w:tcPr>
            <w:tcW w:w="5526"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swissALTI3D (EPSG:2056) als GeoTIFF oder VRT. Die 2-m-Variante genügt und ist rund 16-mal kleiner als 0.5 m. Muss als Datei vorliegen, WMS oder PostGIS-Raster funktionieren nicht.</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Walddichte</w:t>
            </w:r>
          </w:p>
        </w:tc>
        <w:tc>
          <w:tcPr>
            <w:tcW w:w="1301"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nein</w:t>
            </w:r>
          </w:p>
        </w:tc>
        <w:tc>
          <w:tcPr>
            <w:tcW w:w="5526"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Raster mit Werten 0–100 %, z.B. Copernicus HRL Tree Cover Density (10 m, EPSG:3035). Ohne Waldraster gilt der Waldfaktor 1.</w:t>
            </w:r>
          </w:p>
        </w:tc>
      </w:tr>
    </w:tbl>
    <w:p>
      <w:pPr>
        <w:pStyle w:val="Normal"/>
        <w:spacing w:before="0" w:after="80"/>
        <w:rPr/>
      </w:pPr>
      <w:r>
        <w:rPr/>
      </w:r>
    </w:p>
    <w:p>
      <w:pPr>
        <w:pStyle w:val="Heading2"/>
        <w:keepNext w:val="true"/>
        <w:rPr/>
      </w:pPr>
      <w:bookmarkStart w:id="5" w:name="__RefHeading___Toc720_3725421718"/>
      <w:bookmarkEnd w:id="5"/>
      <w:r>
        <w:rPr/>
        <w:t>2.3  Höhenmodell als VRT zusammenfassen</w:t>
      </w:r>
    </w:p>
    <w:p>
      <w:pPr>
        <w:pStyle w:val="Normal"/>
        <w:spacing w:before="0" w:after="120"/>
        <w:rPr/>
      </w:pPr>
      <w:r>
        <w:rPr/>
        <w:t xml:space="preserve">Die swissALTI3D-Kacheln werden zu einem virtuellen Raster zusammengefasst. Bei zehntausenden Kacheln wird die Befehlszeile mit </w:t>
      </w:r>
      <w:r>
        <w:rPr>
          <w:rFonts w:eastAsia="Consolas" w:cs="Consolas" w:ascii="Consolas" w:hAnsi="Consolas"/>
          <w:color w:val="333333"/>
          <w:sz w:val="20"/>
          <w:szCs w:val="20"/>
        </w:rPr>
        <w:t>*.tiff</w:t>
      </w:r>
      <w:r>
        <w:rPr/>
        <w:t xml:space="preserve"> zu lang („argument list too long“). Deshalb die Dateinamen über eine Liste übergeben:</w:t>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before="0" w:after="0"/>
              <w:rPr/>
            </w:pPr>
            <w:r>
              <w:rPr>
                <w:rFonts w:eastAsia="Consolas" w:cs="Consolas" w:ascii="Consolas" w:hAnsi="Consolas"/>
                <w:sz w:val="18"/>
                <w:szCs w:val="18"/>
              </w:rPr>
              <w:t>find . -maxdepth 1 -name '*.tiff' &gt; tiles.txt</w:t>
            </w:r>
          </w:p>
          <w:p>
            <w:pPr>
              <w:pStyle w:val="Normal"/>
              <w:spacing w:before="0" w:after="0"/>
              <w:rPr/>
            </w:pPr>
            <w:r>
              <w:rPr>
                <w:rFonts w:eastAsia="Consolas" w:cs="Consolas" w:ascii="Consolas" w:hAnsi="Consolas"/>
                <w:sz w:val="18"/>
                <w:szCs w:val="18"/>
              </w:rPr>
              <w:t>wc -l tiles.txt</w:t>
            </w:r>
          </w:p>
          <w:p>
            <w:pPr>
              <w:pStyle w:val="Normal"/>
              <w:spacing w:before="0" w:after="0"/>
              <w:rPr/>
            </w:pPr>
            <w:r>
              <w:rPr>
                <w:rFonts w:eastAsia="Consolas" w:cs="Consolas" w:ascii="Consolas" w:hAnsi="Consolas"/>
                <w:sz w:val="18"/>
                <w:szCs w:val="18"/>
              </w:rPr>
              <w:t>gdalbuildvrt -input_file_list tiles.txt merged.vrt</w:t>
            </w:r>
          </w:p>
        </w:tc>
      </w:tr>
    </w:tbl>
    <w:p>
      <w:pPr>
        <w:pStyle w:val="Normal"/>
        <w:spacing w:before="0" w:after="80"/>
        <w:rPr/>
      </w:pPr>
      <w:r>
        <w:rPr/>
      </w:r>
    </w:p>
    <w:p>
      <w:pPr>
        <w:pStyle w:val="Normal"/>
        <w:spacing w:before="0" w:after="120"/>
        <w:rPr/>
      </w:pPr>
      <w:r>
        <w:rPr/>
        <w:t xml:space="preserve">Der VRT speichert die Pfade relativ zu seinem eigenen Ort. </w:t>
      </w:r>
      <w:r>
        <w:rPr>
          <w:rFonts w:eastAsia="Consolas" w:cs="Consolas" w:ascii="Consolas" w:hAnsi="Consolas"/>
          <w:color w:val="333333"/>
          <w:sz w:val="20"/>
          <w:szCs w:val="20"/>
        </w:rPr>
        <w:t>merged.vrt</w:t>
      </w:r>
      <w:r>
        <w:rPr/>
        <w:t xml:space="preserve"> sollte deshalb im selben Ordner wie die Kacheln bleiben.</w:t>
      </w:r>
    </w:p>
    <w:p>
      <w:pPr>
        <w:pStyle w:val="Heading2"/>
        <w:keepNext w:val="true"/>
        <w:rPr/>
      </w:pPr>
      <w:bookmarkStart w:id="6" w:name="__RefHeading___Toc722_3725421718"/>
      <w:bookmarkEnd w:id="6"/>
      <w:r>
        <w:rPr/>
        <w:t>2.4  Wald aus swissTLM3D (Alternative)</w:t>
      </w:r>
    </w:p>
    <w:p>
      <w:pPr>
        <w:pStyle w:val="Normal"/>
        <w:spacing w:before="0" w:after="120"/>
        <w:rPr/>
      </w:pPr>
      <w:r>
        <w:rPr/>
        <w:t>Statt Copernicus können die Waldpolygone aus swissTLM3D gerastert werden (Raster → Konvertierung → Rasterisieren, Wert 100 für Wald, 0 sonst). Das ist gröber, weil echte Dichtewerte fehlen, und halbiert das Risiko im Wald immer.</w:t>
      </w:r>
      <w:r>
        <w:br w:type="page"/>
      </w:r>
    </w:p>
    <w:p>
      <w:pPr>
        <w:pStyle w:val="Heading1"/>
        <w:rPr/>
      </w:pPr>
      <w:bookmarkStart w:id="7" w:name="__RefHeading___Toc724_3725421718"/>
      <w:bookmarkEnd w:id="7"/>
      <w:r>
        <w:rPr/>
        <w:t>3  Aufbau des Skripts</w:t>
      </w:r>
    </w:p>
    <w:tbl>
      <w:tblPr>
        <w:tblW w:w="9026" w:type="dxa"/>
        <w:jc w:val="left"/>
        <w:tblInd w:w="0" w:type="dxa"/>
        <w:tblLayout w:type="fixed"/>
        <w:tblCellMar>
          <w:top w:w="60" w:type="dxa"/>
          <w:left w:w="100" w:type="dxa"/>
          <w:bottom w:w="60" w:type="dxa"/>
          <w:right w:w="100" w:type="dxa"/>
        </w:tblCellMar>
      </w:tblPr>
      <w:tblGrid>
        <w:gridCol w:w="3000"/>
        <w:gridCol w:w="6025"/>
      </w:tblGrid>
      <w:tr>
        <w:trPr>
          <w:tblHeader w:val="true"/>
        </w:trPr>
        <w:tc>
          <w:tcPr>
            <w:tcW w:w="3000" w:type="dxa"/>
            <w:tcBorders>
              <w:top w:val="single" w:sz="4" w:space="0" w:color="BFBFBF"/>
              <w:left w:val="single" w:sz="4" w:space="0" w:color="BFBFBF"/>
              <w:bottom w:val="single" w:sz="4" w:space="0" w:color="BFBFBF"/>
              <w:right w:val="single" w:sz="4" w:space="0" w:color="BFBFBF"/>
            </w:tcBorders>
            <w:shd w:color="auto" w:fill="1F4E79" w:val="clear"/>
          </w:tcPr>
          <w:p>
            <w:pPr>
              <w:pStyle w:val="Normal"/>
              <w:spacing w:before="0" w:after="0"/>
              <w:rPr/>
            </w:pPr>
            <w:r>
              <w:rPr>
                <w:b/>
                <w:bCs/>
                <w:color w:val="FFFFFF"/>
              </w:rPr>
              <w:t>Teil</w:t>
            </w:r>
          </w:p>
        </w:tc>
        <w:tc>
          <w:tcPr>
            <w:tcW w:w="6025" w:type="dxa"/>
            <w:tcBorders>
              <w:top w:val="single" w:sz="4" w:space="0" w:color="BFBFBF"/>
              <w:left w:val="single" w:sz="4" w:space="0" w:color="BFBFBF"/>
              <w:bottom w:val="single" w:sz="4" w:space="0" w:color="BFBFBF"/>
              <w:right w:val="single" w:sz="4" w:space="0" w:color="BFBFBF"/>
            </w:tcBorders>
            <w:shd w:color="auto" w:fill="1F4E79" w:val="clear"/>
          </w:tcPr>
          <w:p>
            <w:pPr>
              <w:pStyle w:val="Normal"/>
              <w:spacing w:before="0" w:after="0"/>
              <w:rPr/>
            </w:pPr>
            <w:r>
              <w:rPr>
                <w:b/>
                <w:bCs/>
                <w:color w:val="FFFFFF"/>
              </w:rPr>
              <w:t>Aufgabe</w:t>
            </w:r>
          </w:p>
        </w:tc>
      </w:tr>
      <w:tr>
        <w:trPr/>
        <w:tc>
          <w:tcPr>
            <w:tcW w:w="30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NUM_PARAMS</w:t>
            </w:r>
          </w:p>
        </w:tc>
        <w:tc>
          <w:tcPr>
            <w:tcW w:w="60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Liste der einstellbaren Parameter. Sie erscheinen in QGIS unter „Erweiterte Parameter“.</w:t>
            </w:r>
          </w:p>
        </w:tc>
      </w:tr>
      <w:tr>
        <w:trPr/>
        <w:tc>
          <w:tcPr>
            <w:tcW w:w="30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bilinear</w:t>
            </w:r>
            <w:r>
              <w:rPr/>
              <w:t xml:space="preserve">, </w:t>
            </w:r>
            <w:r>
              <w:rPr>
                <w:rFonts w:eastAsia="Consolas" w:cs="Consolas" w:ascii="Consolas" w:hAnsi="Consolas"/>
                <w:color w:val="333333"/>
                <w:sz w:val="20"/>
                <w:szCs w:val="20"/>
              </w:rPr>
              <w:t>box_filter</w:t>
            </w:r>
            <w:r>
              <w:rPr/>
              <w:t xml:space="preserve">, </w:t>
            </w:r>
            <w:r>
              <w:rPr>
                <w:rFonts w:eastAsia="Consolas" w:cs="Consolas" w:ascii="Consolas" w:hAnsi="Consolas"/>
                <w:color w:val="333333"/>
                <w:sz w:val="20"/>
                <w:szCs w:val="20"/>
              </w:rPr>
              <w:t>Polyline</w:t>
            </w:r>
          </w:p>
        </w:tc>
        <w:tc>
          <w:tcPr>
            <w:tcW w:w="60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Kleine Hilfsfunktionen, die scipy und shapely ersetzen. QGIS liefert diese Bibliotheken nicht immer mit, numpy und GDAL dagegen schon.</w:t>
            </w:r>
          </w:p>
        </w:tc>
      </w:tr>
      <w:tr>
        <w:trPr/>
        <w:tc>
          <w:tcPr>
            <w:tcW w:w="30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vrm</w:t>
            </w:r>
          </w:p>
        </w:tc>
        <w:tc>
          <w:tcPr>
            <w:tcW w:w="60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Berechnet die Faltigkeit des Geländes.</w:t>
            </w:r>
          </w:p>
        </w:tc>
      </w:tr>
      <w:tr>
        <w:trPr/>
        <w:tc>
          <w:tcPr>
            <w:tcW w:w="30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warp_grid</w:t>
            </w:r>
          </w:p>
        </w:tc>
        <w:tc>
          <w:tcPr>
            <w:tcW w:w="60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Liest einen Rasterausschnitt über GDAL im passenden Raster und Koordinatensystem.</w:t>
            </w:r>
          </w:p>
        </w:tc>
      </w:tr>
      <w:tr>
        <w:trPr/>
        <w:tc>
          <w:tcPr>
            <w:tcW w:w="30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process_line</w:t>
            </w:r>
          </w:p>
        </w:tc>
        <w:tc>
          <w:tcPr>
            <w:tcW w:w="60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Der eigentliche Kern: die Berechnung für ein Wegstück.</w:t>
            </w:r>
          </w:p>
        </w:tc>
      </w:tr>
      <w:tr>
        <w:trPr/>
        <w:tc>
          <w:tcPr>
            <w:tcW w:w="30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FallExposureAlgorithm</w:t>
            </w:r>
          </w:p>
        </w:tc>
        <w:tc>
          <w:tcPr>
            <w:tcW w:w="60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Die Hülle für QGIS Processing: Eingabemaske, Schleife über die Wege, Schreiben der Ausgabe.</w:t>
            </w:r>
          </w:p>
        </w:tc>
      </w:tr>
    </w:tbl>
    <w:p>
      <w:pPr>
        <w:pStyle w:val="Normal"/>
        <w:spacing w:before="0" w:after="80"/>
        <w:rPr/>
      </w:pPr>
      <w:r>
        <w:rPr/>
      </w:r>
    </w:p>
    <w:p>
      <w:pPr>
        <w:pStyle w:val="Heading1"/>
        <w:rPr/>
      </w:pPr>
      <w:bookmarkStart w:id="8" w:name="__RefHeading___Toc726_3725421718"/>
      <w:bookmarkEnd w:id="8"/>
      <w:r>
        <w:rPr/>
        <w:t>4  Vorbereitung pro Weg</w:t>
      </w:r>
    </w:p>
    <w:p>
      <w:pPr>
        <w:pStyle w:val="Normal"/>
        <w:spacing w:before="0" w:after="120"/>
        <w:rPr/>
      </w:pPr>
      <w:r>
        <w:rPr>
          <w:rFonts w:eastAsia="Consolas" w:cs="Consolas" w:ascii="Consolas" w:hAnsi="Consolas"/>
          <w:color w:val="333333"/>
          <w:sz w:val="20"/>
          <w:szCs w:val="20"/>
        </w:rPr>
        <w:t>processAlgorithm</w:t>
      </w:r>
      <w:r>
        <w:rPr/>
        <w:t xml:space="preserve"> liest jeden Weg und transformiert ihn ins CRS des DEM. Wege in EPSG:4326 werden so zu EPSG:2056, damit alles in Metern rechnet. Ein MultiLineString wird in seine Teile zerlegt. Wege über 500 m (</w:t>
      </w:r>
      <w:r>
        <w:rPr>
          <w:rFonts w:eastAsia="Consolas" w:cs="Consolas" w:ascii="Consolas" w:hAnsi="Consolas"/>
          <w:color w:val="333333"/>
          <w:sz w:val="20"/>
          <w:szCs w:val="20"/>
        </w:rPr>
        <w:t>CHUNK_LEN</w:t>
      </w:r>
      <w:r>
        <w:rPr/>
        <w:t>) werden geteilt, damit der DEM-Ausschnitt pro Rechenschritt klein bleibt.</w:t>
      </w:r>
    </w:p>
    <w:p>
      <w:pPr>
        <w:pStyle w:val="Normal"/>
        <w:spacing w:before="0" w:after="120"/>
        <w:rPr/>
      </w:pPr>
      <w:r>
        <w:rPr/>
        <w:t xml:space="preserve">In </w:t>
      </w:r>
      <w:r>
        <w:rPr>
          <w:rFonts w:eastAsia="Consolas" w:cs="Consolas" w:ascii="Consolas" w:hAnsi="Consolas"/>
          <w:color w:val="333333"/>
          <w:sz w:val="20"/>
          <w:szCs w:val="20"/>
        </w:rPr>
        <w:t>process_line</w:t>
      </w:r>
      <w:r>
        <w:rPr/>
        <w:t xml:space="preserve"> werden dann gesetzt:</w:t>
      </w:r>
    </w:p>
    <w:p>
      <w:pPr>
        <w:pStyle w:val="ListParagraph"/>
        <w:numPr>
          <w:ilvl w:val="0"/>
          <w:numId w:val="5"/>
        </w:numPr>
        <w:spacing w:before="0" w:after="60"/>
        <w:rPr/>
      </w:pPr>
      <w:r>
        <w:rPr>
          <w:b/>
          <w:bCs/>
        </w:rPr>
        <w:t>Startpunkte</w:t>
      </w:r>
      <w:r>
        <w:rPr/>
        <w:t xml:space="preserve"> alle 5 m entlang des Wegs (</w:t>
      </w:r>
      <w:r>
        <w:rPr>
          <w:rFonts w:eastAsia="Consolas" w:cs="Consolas" w:ascii="Consolas" w:hAnsi="Consolas"/>
          <w:color w:val="333333"/>
          <w:sz w:val="20"/>
          <w:szCs w:val="20"/>
        </w:rPr>
        <w:t>STEP</w:t>
      </w:r>
      <w:r>
        <w:rPr/>
        <w:t>).</w:t>
      </w:r>
    </w:p>
    <w:p>
      <w:pPr>
        <w:pStyle w:val="ListParagraph"/>
        <w:numPr>
          <w:ilvl w:val="0"/>
          <w:numId w:val="2"/>
        </w:numPr>
        <w:spacing w:before="0" w:after="60"/>
        <w:rPr/>
      </w:pPr>
      <w:r>
        <w:rPr>
          <w:b/>
          <w:bCs/>
        </w:rPr>
        <w:t>Wegrichtung</w:t>
      </w:r>
      <w:r>
        <w:rPr/>
        <w:t xml:space="preserve"> an jedem Punkt, aus zwei Punkten je 2 m davor und dahinter.</w:t>
      </w:r>
    </w:p>
    <w:p>
      <w:pPr>
        <w:pStyle w:val="ListParagraph"/>
        <w:numPr>
          <w:ilvl w:val="0"/>
          <w:numId w:val="2"/>
        </w:numPr>
        <w:spacing w:before="0" w:after="60"/>
        <w:rPr/>
      </w:pPr>
      <w:r>
        <w:rPr>
          <w:b/>
          <w:bCs/>
        </w:rPr>
        <w:t>Normale</w:t>
      </w:r>
      <w:r>
        <w:rPr/>
        <w:t>, also die Richtung senkrecht zum Weg. Daraus ergeben sich „links“ und „rechts“.</w:t>
      </w:r>
    </w:p>
    <w:p>
      <w:pPr>
        <w:pStyle w:val="Heading1"/>
        <w:rPr/>
      </w:pPr>
      <w:bookmarkStart w:id="9" w:name="__RefHeading___Toc728_3725421718"/>
      <w:bookmarkEnd w:id="9"/>
      <w:r>
        <w:rPr/>
        <w:t>5  DEM-Ausschnitt und abgeleitete Raster</w:t>
      </w:r>
    </w:p>
    <w:p>
      <w:pPr>
        <w:pStyle w:val="Normal"/>
        <w:spacing w:before="0" w:after="120"/>
        <w:rPr/>
      </w:pPr>
      <w:r>
        <w:rPr/>
        <w:t>Um das Wegstück herum wird ein Fenster aus dem DEM gelesen. Es reicht 400 m (</w:t>
      </w:r>
      <w:r>
        <w:rPr>
          <w:rFonts w:eastAsia="Consolas" w:cs="Consolas" w:ascii="Consolas" w:hAnsi="Consolas"/>
          <w:color w:val="333333"/>
          <w:sz w:val="20"/>
          <w:szCs w:val="20"/>
        </w:rPr>
        <w:t>MAX_PATH</w:t>
      </w:r>
      <w:r>
        <w:rPr/>
        <w:t>) plus etwas Rand in alle Richtungen. Dabei wird auf 2 m gemittelt (</w:t>
      </w:r>
      <w:r>
        <w:rPr>
          <w:rFonts w:eastAsia="Consolas" w:cs="Consolas" w:ascii="Consolas" w:hAnsi="Consolas"/>
          <w:color w:val="333333"/>
          <w:sz w:val="20"/>
          <w:szCs w:val="20"/>
        </w:rPr>
        <w:t>RES</w:t>
      </w:r>
      <w:r>
        <w:rPr/>
        <w:t>). Das glättet Mikrorelief wie Steine oder Grasbüschel, die sonst als Mini-Felswände gelten würden.</w:t>
      </w:r>
    </w:p>
    <w:p>
      <w:pPr>
        <w:pStyle w:val="Normal"/>
        <w:spacing w:before="0" w:after="120"/>
        <w:rPr/>
      </w:pPr>
      <w:r>
        <w:rPr/>
        <w:t>Aus diesem Fenster werden drei Raster berechnet:</w:t>
      </w:r>
    </w:p>
    <w:p>
      <w:pPr>
        <w:pStyle w:val="ListParagraph"/>
        <w:numPr>
          <w:ilvl w:val="0"/>
          <w:numId w:val="2"/>
        </w:numPr>
        <w:spacing w:before="0" w:after="60"/>
        <w:rPr/>
      </w:pPr>
      <w:r>
        <w:rPr>
          <w:b/>
          <w:bCs/>
        </w:rPr>
        <w:t>Gradient</w:t>
      </w:r>
      <w:r>
        <w:rPr/>
        <w:t xml:space="preserve"> </w:t>
      </w:r>
      <w:r>
        <w:rPr>
          <w:rFonts w:eastAsia="Consolas" w:cs="Consolas" w:ascii="Consolas" w:hAnsi="Consolas"/>
          <w:color w:val="333333"/>
          <w:sz w:val="20"/>
          <w:szCs w:val="20"/>
        </w:rPr>
        <w:t>gx</w:t>
      </w:r>
      <w:r>
        <w:rPr/>
        <w:t xml:space="preserve">, </w:t>
      </w:r>
      <w:r>
        <w:rPr>
          <w:rFonts w:eastAsia="Consolas" w:cs="Consolas" w:ascii="Consolas" w:hAnsi="Consolas"/>
          <w:color w:val="333333"/>
          <w:sz w:val="20"/>
          <w:szCs w:val="20"/>
        </w:rPr>
        <w:t>gy</w:t>
      </w:r>
      <w:r>
        <w:rPr/>
        <w:t>: in welche Richtung und wie stark das Gelände abfällt. Daraus ergibt sich die Neigung in Grad (</w:t>
      </w:r>
      <w:r>
        <w:rPr>
          <w:rFonts w:eastAsia="Consolas" w:cs="Consolas" w:ascii="Consolas" w:hAnsi="Consolas"/>
          <w:color w:val="333333"/>
          <w:sz w:val="20"/>
          <w:szCs w:val="20"/>
        </w:rPr>
        <w:t>slope_r</w:t>
      </w:r>
      <w:r>
        <w:rPr/>
        <w:t>).</w:t>
      </w:r>
    </w:p>
    <w:p>
      <w:pPr>
        <w:pStyle w:val="ListParagraph"/>
        <w:numPr>
          <w:ilvl w:val="0"/>
          <w:numId w:val="2"/>
        </w:numPr>
        <w:spacing w:before="0" w:after="60"/>
        <w:rPr/>
      </w:pPr>
      <w:r>
        <w:rPr>
          <w:b/>
          <w:bCs/>
        </w:rPr>
        <w:t>Faltigkeit</w:t>
      </w:r>
      <w:r>
        <w:rPr/>
        <w:t xml:space="preserve"> </w:t>
      </w:r>
      <w:r>
        <w:rPr>
          <w:rFonts w:eastAsia="Consolas" w:cs="Consolas" w:ascii="Consolas" w:hAnsi="Consolas"/>
          <w:color w:val="333333"/>
          <w:sz w:val="20"/>
          <w:szCs w:val="20"/>
        </w:rPr>
        <w:t>fold_r</w:t>
      </w:r>
      <w:r>
        <w:rPr/>
        <w:t xml:space="preserve"> als Vector Ruggedness Measure (VRM). Pro Zelle wird geprüft, wie stark die Flächennormalen im 5×5-Fenster in verschiedene Richtungen zeigen. Ein glatter Hang, auch ein steiler, ergibt 0. Zerfurchtes Gelände mit Rinnen und Felsblöcken ergibt Werte gegen 0.1–0.3.</w:t>
      </w:r>
    </w:p>
    <w:p>
      <w:pPr>
        <w:pStyle w:val="ListParagraph"/>
        <w:numPr>
          <w:ilvl w:val="0"/>
          <w:numId w:val="2"/>
        </w:numPr>
        <w:spacing w:before="0" w:after="60"/>
        <w:rPr/>
      </w:pPr>
      <w:r>
        <w:rPr>
          <w:b/>
          <w:bCs/>
        </w:rPr>
        <w:t>Walddichte</w:t>
      </w:r>
      <w:r>
        <w:rPr/>
        <w:t xml:space="preserve"> </w:t>
      </w:r>
      <w:r>
        <w:rPr>
          <w:rFonts w:eastAsia="Consolas" w:cs="Consolas" w:ascii="Consolas" w:hAnsi="Consolas"/>
          <w:color w:val="333333"/>
          <w:sz w:val="20"/>
          <w:szCs w:val="20"/>
        </w:rPr>
        <w:t>fd_r</w:t>
      </w:r>
      <w:r>
        <w:rPr/>
        <w:t>, falls angegeben. Sie wird ins gleiche Raster reprojiziert, deshalb ist ihr CRS egal.</w:t>
      </w:r>
    </w:p>
    <w:p>
      <w:pPr>
        <w:pStyle w:val="Heading1"/>
        <w:rPr/>
      </w:pPr>
      <w:bookmarkStart w:id="10" w:name="__RefHeading___Toc730_3725421718"/>
      <w:bookmarkEnd w:id="10"/>
      <w:r>
        <w:rPr/>
        <w:t>6  Wahrscheinlichkeitsterm</w:t>
      </w:r>
    </w:p>
    <w:p>
      <w:pPr>
        <w:pStyle w:val="Normal"/>
        <w:spacing w:before="0" w:after="120"/>
        <w:rPr/>
      </w:pPr>
      <w:r>
        <w:rPr/>
        <w:t xml:space="preserve">Wie leicht stürzt man an dieser Stelle? Quer über die Wegtrasse (±1.5 m, </w:t>
      </w:r>
      <w:r>
        <w:rPr>
          <w:rFonts w:eastAsia="Consolas" w:cs="Consolas" w:ascii="Consolas" w:hAnsi="Consolas"/>
          <w:color w:val="333333"/>
          <w:sz w:val="20"/>
          <w:szCs w:val="20"/>
        </w:rPr>
        <w:t>HALFWIDTH</w:t>
      </w:r>
      <w:r>
        <w:rPr/>
        <w:t>) wird an fünf Punkten gemessen:</w:t>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before="0" w:after="0"/>
              <w:rPr/>
            </w:pPr>
            <w:r>
              <w:rPr>
                <w:rFonts w:eastAsia="Consolas" w:cs="Consolas" w:ascii="Consolas" w:hAnsi="Consolas"/>
                <w:sz w:val="18"/>
                <w:szCs w:val="18"/>
              </w:rPr>
              <w:t>prob = max( Hangneigung, k1 × Faltigkeit, p_min )</w:t>
            </w:r>
          </w:p>
        </w:tc>
      </w:tr>
    </w:tbl>
    <w:p>
      <w:pPr>
        <w:pStyle w:val="Normal"/>
        <w:spacing w:before="0" w:after="80"/>
        <w:rPr/>
      </w:pPr>
      <w:r>
        <w:rPr/>
      </w:r>
    </w:p>
    <w:p>
      <w:pPr>
        <w:pStyle w:val="ListParagraph"/>
        <w:numPr>
          <w:ilvl w:val="0"/>
          <w:numId w:val="2"/>
        </w:numPr>
        <w:spacing w:before="0" w:after="60"/>
        <w:rPr/>
      </w:pPr>
      <w:r>
        <w:rPr>
          <w:b/>
          <w:bCs/>
        </w:rPr>
        <w:t>Hangneigung:</w:t>
      </w:r>
      <w:r>
        <w:rPr/>
        <w:t xml:space="preserve"> das Maximum über die Trasse. Gemeint ist die Neigung des Geländes, nicht das Gefälle entlang des Wegs. Ein flacher Weg in einer 40°-Flanke bekommt also 40°.</w:t>
      </w:r>
    </w:p>
    <w:p>
      <w:pPr>
        <w:pStyle w:val="ListParagraph"/>
        <w:numPr>
          <w:ilvl w:val="0"/>
          <w:numId w:val="2"/>
        </w:numPr>
        <w:spacing w:before="0" w:after="60"/>
        <w:rPr/>
      </w:pPr>
      <w:r>
        <w:rPr>
          <w:b/>
          <w:bCs/>
        </w:rPr>
        <w:t>k1 × Faltigkeit:</w:t>
      </w:r>
      <w:r>
        <w:rPr/>
        <w:t xml:space="preserve"> Mit k1 = 300 entspricht eine Faltigkeit von 0.1 dem Wert von 30°. So kann auch unruhiges, mässig steiles Gelände als stolperträchtig gelten.</w:t>
      </w:r>
    </w:p>
    <w:p>
      <w:pPr>
        <w:pStyle w:val="ListParagraph"/>
        <w:numPr>
          <w:ilvl w:val="0"/>
          <w:numId w:val="2"/>
        </w:numPr>
        <w:spacing w:before="0" w:after="60"/>
        <w:rPr/>
      </w:pPr>
      <w:r>
        <w:rPr>
          <w:b/>
          <w:bCs/>
        </w:rPr>
        <w:t>p_min = 10°:</w:t>
      </w:r>
      <w:r>
        <w:rPr/>
        <w:t xml:space="preserve"> Stolpern kann man überall, deshalb wird der Wert nie 0.</w:t>
      </w:r>
    </w:p>
    <w:p>
      <w:pPr>
        <w:pStyle w:val="Normal"/>
        <w:spacing w:before="120" w:after="120"/>
        <w:rPr/>
      </w:pPr>
      <w:r>
        <w:rPr/>
        <w:t>Nebenbei wird die Höhe am Weg (</w:t>
      </w:r>
      <w:r>
        <w:rPr>
          <w:rFonts w:eastAsia="Consolas" w:cs="Consolas" w:ascii="Consolas" w:hAnsi="Consolas"/>
          <w:color w:val="333333"/>
          <w:sz w:val="20"/>
          <w:szCs w:val="20"/>
        </w:rPr>
        <w:t>z0</w:t>
      </w:r>
      <w:r>
        <w:rPr/>
        <w:t>) als Median der fünf Punkte bestimmt. Der Median macht sie robust gegen OSM-Lagefehler von 1–2 m.</w:t>
      </w:r>
    </w:p>
    <w:p>
      <w:pPr>
        <w:pStyle w:val="Heading1"/>
        <w:rPr/>
      </w:pPr>
      <w:bookmarkStart w:id="11" w:name="__RefHeading___Toc732_3725421718"/>
      <w:bookmarkEnd w:id="11"/>
      <w:r>
        <w:rPr/>
        <w:t>7  Absturzkante direkt am Weg</w:t>
      </w:r>
    </w:p>
    <w:p>
      <w:pPr>
        <w:pStyle w:val="Normal"/>
        <w:spacing w:before="0" w:after="120"/>
        <w:rPr/>
      </w:pPr>
      <w:r>
        <w:rPr/>
        <w:t>Zwischen dem Wegrand und 5 m daneben (</w:t>
      </w:r>
      <w:r>
        <w:rPr>
          <w:rFonts w:eastAsia="Consolas" w:cs="Consolas" w:ascii="Consolas" w:hAnsi="Consolas"/>
          <w:color w:val="333333"/>
          <w:sz w:val="20"/>
          <w:szCs w:val="20"/>
        </w:rPr>
        <w:t>NEAR_DIST</w:t>
      </w:r>
      <w:r>
        <w:rPr/>
        <w:t>) wird beidseitig geprüft, ob das Gelände steiler als 60° ist (</w:t>
      </w:r>
      <w:r>
        <w:rPr>
          <w:rFonts w:eastAsia="Consolas" w:cs="Consolas" w:ascii="Consolas" w:hAnsi="Consolas"/>
          <w:color w:val="333333"/>
          <w:sz w:val="20"/>
          <w:szCs w:val="20"/>
        </w:rPr>
        <w:t>CLIFF_DEG</w:t>
      </w:r>
      <w:r>
        <w:rPr/>
        <w:t xml:space="preserve">) und mehr als 2 m unter dem Weg liegt. Trifft beides zu, wird </w:t>
      </w:r>
      <w:r>
        <w:rPr>
          <w:rFonts w:eastAsia="Consolas" w:cs="Consolas" w:ascii="Consolas" w:hAnsi="Consolas"/>
          <w:color w:val="333333"/>
          <w:sz w:val="20"/>
          <w:szCs w:val="20"/>
        </w:rPr>
        <w:t>immediate_drop</w:t>
      </w:r>
      <w:r>
        <w:rPr/>
        <w:t xml:space="preserve"> gesetzt. Das entspricht der pinken Signatur der DIGIWAY Exposure Map: Ein Fehltritt führt sofort in den freien Fall.</w:t>
      </w:r>
      <w:r>
        <w:br w:type="page"/>
      </w:r>
    </w:p>
    <w:p>
      <w:pPr>
        <w:pStyle w:val="Heading1"/>
        <w:rPr/>
      </w:pPr>
      <w:bookmarkStart w:id="12" w:name="__RefHeading___Toc734_3725421718"/>
      <w:bookmarkEnd w:id="12"/>
      <w:r>
        <w:rPr/>
        <w:t>8  Das virtuelle Fallexperiment</w:t>
      </w:r>
    </w:p>
    <w:p>
      <w:pPr>
        <w:pStyle w:val="Normal"/>
        <w:spacing w:before="0" w:after="120"/>
        <w:rPr/>
      </w:pPr>
      <w:r>
        <w:rPr/>
        <w:t>Das ist der Kern des Skripts. Von jedem Startpunkt startet links und rechts am Wegrand je ein gedachter Gleitblock. Alle Blöcke werden gleichzeitig als numpy-Arrays gerechnet.</w:t>
      </w:r>
    </w:p>
    <w:p>
      <w:pPr>
        <w:pStyle w:val="Heading2"/>
        <w:keepNext w:val="true"/>
        <w:rPr/>
      </w:pPr>
      <w:bookmarkStart w:id="13" w:name="__RefHeading___Toc736_3725421718"/>
      <w:bookmarkEnd w:id="13"/>
      <w:r>
        <w:rPr/>
        <w:t>8.1  Bewegung</w:t>
      </w:r>
    </w:p>
    <w:p>
      <w:pPr>
        <w:pStyle w:val="Normal"/>
        <w:spacing w:before="0" w:after="120"/>
        <w:rPr/>
      </w:pPr>
      <w:r>
        <w:rPr/>
        <w:t>Der Block geht in jedem Schritt 2 m in Richtung des steilsten Abstiegs, also gegen den Gradienten. Er folgt damit der Falllinie wie Wasser. Das ist realistischer als ein gerades Querprofil, weil Stürze in Rinnen abgelenkt werden.</w:t>
      </w:r>
    </w:p>
    <w:p>
      <w:pPr>
        <w:pStyle w:val="Heading2"/>
        <w:keepNext w:val="true"/>
        <w:rPr/>
      </w:pPr>
      <w:bookmarkStart w:id="14" w:name="__RefHeading___Toc738_3725421718"/>
      <w:bookmarkEnd w:id="14"/>
      <w:r>
        <w:rPr/>
        <w:t>8.2  Energie</w:t>
      </w:r>
    </w:p>
    <w:p>
      <w:pPr>
        <w:pStyle w:val="Normal"/>
        <w:spacing w:before="0" w:after="120"/>
        <w:rPr/>
      </w:pPr>
      <w:r>
        <w:rPr/>
        <w:t xml:space="preserve">Statt Geschwindigkeiten rechnet das Skript mit der kinetischen Höhe </w:t>
      </w:r>
      <w:r>
        <w:rPr>
          <w:rFonts w:eastAsia="Consolas" w:cs="Consolas" w:ascii="Consolas" w:hAnsi="Consolas"/>
          <w:color w:val="333333"/>
          <w:sz w:val="20"/>
          <w:szCs w:val="20"/>
        </w:rPr>
        <w:t>hk</w:t>
      </w:r>
      <w:r>
        <w:rPr/>
        <w:t>, also der Höhe, die der Block in Geschwindigkeit umgewandelt hat:</w:t>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before="0" w:after="0"/>
              <w:rPr/>
            </w:pPr>
            <w:r>
              <w:rPr>
                <w:rFonts w:eastAsia="Consolas" w:cs="Consolas" w:ascii="Consolas" w:hAnsi="Consolas"/>
                <w:sz w:val="18"/>
                <w:szCs w:val="18"/>
              </w:rPr>
              <w:t>hk = hk + Höhenverlust − mu × Wegstrecke − hk × Wegstrecke / drag_len</w:t>
            </w:r>
          </w:p>
          <w:p>
            <w:pPr>
              <w:pStyle w:val="Normal"/>
              <w:spacing w:before="0" w:after="0"/>
              <w:rPr/>
            </w:pPr>
            <w:r>
              <w:rPr>
                <w:rFonts w:eastAsia="Consolas" w:cs="Consolas" w:ascii="Consolas" w:hAnsi="Consolas"/>
                <w:sz w:val="18"/>
                <w:szCs w:val="18"/>
              </w:rPr>
              <w:t>v  = √(2 · g · hk)</w:t>
            </w:r>
          </w:p>
        </w:tc>
      </w:tr>
    </w:tbl>
    <w:p>
      <w:pPr>
        <w:pStyle w:val="Normal"/>
        <w:spacing w:before="0" w:after="80"/>
        <w:rPr/>
      </w:pPr>
      <w:r>
        <w:rPr/>
      </w:r>
    </w:p>
    <w:p>
      <w:pPr>
        <w:pStyle w:val="ListParagraph"/>
        <w:numPr>
          <w:ilvl w:val="0"/>
          <w:numId w:val="2"/>
        </w:numPr>
        <w:spacing w:before="0" w:after="60"/>
        <w:rPr/>
      </w:pPr>
      <w:r>
        <w:rPr>
          <w:b/>
          <w:bCs/>
        </w:rPr>
        <w:t>Höhenverlust:</w:t>
      </w:r>
      <w:r>
        <w:rPr/>
        <w:t xml:space="preserve"> Jeder Meter abwärts gibt Energie.</w:t>
      </w:r>
    </w:p>
    <w:p>
      <w:pPr>
        <w:pStyle w:val="ListParagraph"/>
        <w:numPr>
          <w:ilvl w:val="0"/>
          <w:numId w:val="2"/>
        </w:numPr>
        <w:spacing w:before="0" w:after="60"/>
        <w:rPr/>
      </w:pPr>
      <w:r>
        <w:rPr>
          <w:b/>
          <w:bCs/>
        </w:rPr>
        <w:t>mu × Strecke</w:t>
      </w:r>
      <w:r>
        <w:rPr/>
        <w:t xml:space="preserve"> (Gleitreibung, μ = 0.6): Gelände flacher als etwa 31° (arctan 0.6) bremst den Block.</w:t>
      </w:r>
    </w:p>
    <w:p>
      <w:pPr>
        <w:pStyle w:val="ListParagraph"/>
        <w:numPr>
          <w:ilvl w:val="0"/>
          <w:numId w:val="2"/>
        </w:numPr>
        <w:spacing w:before="0" w:after="60"/>
        <w:rPr/>
      </w:pPr>
      <w:r>
        <w:rPr>
          <w:b/>
          <w:bCs/>
        </w:rPr>
        <w:t>hk × Strecke / drag_len</w:t>
      </w:r>
      <w:r>
        <w:rPr/>
        <w:t xml:space="preserve"> (100 m): Je schneller der Block ist, desto stärker bremst er, wie beim Taumeln. Ohne diesen Term würde er auf einem langen Hang unbegrenzt schneller. So erreicht er auf einem gleichmässigen Hang eine Endgeschwindigkeit:</w:t>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before="0" w:after="0"/>
              <w:rPr/>
            </w:pPr>
            <w:r>
              <w:rPr>
                <w:rFonts w:eastAsia="Consolas" w:cs="Consolas" w:ascii="Consolas" w:hAnsi="Consolas"/>
                <w:sz w:val="18"/>
                <w:szCs w:val="18"/>
              </w:rPr>
              <w:t>hk_end = drag_len × (tan Neigung − mu)</w:t>
            </w:r>
          </w:p>
        </w:tc>
      </w:tr>
    </w:tbl>
    <w:p>
      <w:pPr>
        <w:pStyle w:val="Normal"/>
        <w:spacing w:before="0" w:after="80"/>
        <w:rPr/>
      </w:pPr>
      <w:r>
        <w:rPr/>
      </w:r>
    </w:p>
    <w:p>
      <w:pPr>
        <w:pStyle w:val="Heading2"/>
        <w:keepNext w:val="true"/>
        <w:rPr/>
      </w:pPr>
      <w:bookmarkStart w:id="15" w:name="__RefHeading___Toc740_3725421718"/>
      <w:bookmarkEnd w:id="15"/>
      <w:r>
        <w:rPr/>
        <w:t>8.3  Abbruch und Ergebnis</w:t>
      </w:r>
    </w:p>
    <w:p>
      <w:pPr>
        <w:pStyle w:val="Normal"/>
        <w:spacing w:before="0" w:after="120"/>
        <w:rPr/>
      </w:pPr>
      <w:r>
        <w:rPr/>
        <w:t xml:space="preserve">Der Lauf endet, wenn </w:t>
      </w:r>
      <w:r>
        <w:rPr>
          <w:rFonts w:eastAsia="Consolas" w:cs="Consolas" w:ascii="Consolas" w:hAnsi="Consolas"/>
          <w:color w:val="333333"/>
          <w:sz w:val="20"/>
          <w:szCs w:val="20"/>
        </w:rPr>
        <w:t>hk</w:t>
      </w:r>
      <w:r>
        <w:rPr/>
        <w:t xml:space="preserve"> auf 0 fällt (Sturz gestoppt), wenn das Gelände flach ist (kein Gradient) oder nach 400 m. Gespeichert werden die höchste erreichte Geschwindigkeit </w:t>
      </w:r>
      <w:r>
        <w:rPr>
          <w:rFonts w:eastAsia="Consolas" w:cs="Consolas" w:ascii="Consolas" w:hAnsi="Consolas"/>
          <w:color w:val="333333"/>
          <w:sz w:val="20"/>
          <w:szCs w:val="20"/>
        </w:rPr>
        <w:t>v_max</w:t>
      </w:r>
      <w:r>
        <w:rPr/>
        <w:t xml:space="preserve"> und die Fallhöhe bis zu diesem Punkt (</w:t>
      </w:r>
      <w:r>
        <w:rPr>
          <w:rFonts w:eastAsia="Consolas" w:cs="Consolas" w:ascii="Consolas" w:hAnsi="Consolas"/>
          <w:color w:val="333333"/>
          <w:sz w:val="20"/>
          <w:szCs w:val="20"/>
        </w:rPr>
        <w:t>drop_m</w:t>
      </w:r>
      <w:r>
        <w:rPr/>
        <w:t>).</w:t>
      </w:r>
    </w:p>
    <w:p>
      <w:pPr>
        <w:pStyle w:val="Heading2"/>
        <w:keepNext w:val="true"/>
        <w:rPr/>
      </w:pPr>
      <w:bookmarkStart w:id="16" w:name="__RefHeading___Toc742_3725421718"/>
      <w:bookmarkEnd w:id="16"/>
      <w:r>
        <w:rPr/>
        <w:t>8.4  Beispiel mit den Standardwerten</w:t>
      </w:r>
    </w:p>
    <w:tbl>
      <w:tblPr>
        <w:tblW w:w="9026" w:type="dxa"/>
        <w:jc w:val="left"/>
        <w:tblInd w:w="0" w:type="dxa"/>
        <w:tblLayout w:type="fixed"/>
        <w:tblCellMar>
          <w:top w:w="60" w:type="dxa"/>
          <w:left w:w="100" w:type="dxa"/>
          <w:bottom w:w="60" w:type="dxa"/>
          <w:right w:w="100" w:type="dxa"/>
        </w:tblCellMar>
      </w:tblPr>
      <w:tblGrid>
        <w:gridCol w:w="2400"/>
        <w:gridCol w:w="3826"/>
        <w:gridCol w:w="2800"/>
      </w:tblGrid>
      <w:tr>
        <w:trPr>
          <w:tblHeader w:val="true"/>
        </w:trPr>
        <w:tc>
          <w:tcPr>
            <w:tcW w:w="2400" w:type="dxa"/>
            <w:tcBorders>
              <w:top w:val="single" w:sz="4" w:space="0" w:color="BFBFBF"/>
              <w:left w:val="single" w:sz="4" w:space="0" w:color="BFBFBF"/>
              <w:bottom w:val="single" w:sz="4" w:space="0" w:color="BFBFBF"/>
              <w:right w:val="single" w:sz="4" w:space="0" w:color="BFBFBF"/>
            </w:tcBorders>
            <w:shd w:color="auto" w:fill="1F4E79" w:val="clear"/>
          </w:tcPr>
          <w:p>
            <w:pPr>
              <w:pStyle w:val="Normal"/>
              <w:spacing w:before="0" w:after="0"/>
              <w:rPr/>
            </w:pPr>
            <w:r>
              <w:rPr>
                <w:b/>
                <w:bCs/>
                <w:color w:val="FFFFFF"/>
              </w:rPr>
              <w:t>Hang</w:t>
            </w:r>
          </w:p>
        </w:tc>
        <w:tc>
          <w:tcPr>
            <w:tcW w:w="3826" w:type="dxa"/>
            <w:tcBorders>
              <w:top w:val="single" w:sz="4" w:space="0" w:color="BFBFBF"/>
              <w:left w:val="single" w:sz="4" w:space="0" w:color="BFBFBF"/>
              <w:bottom w:val="single" w:sz="4" w:space="0" w:color="BFBFBF"/>
              <w:right w:val="single" w:sz="4" w:space="0" w:color="BFBFBF"/>
            </w:tcBorders>
            <w:shd w:color="auto" w:fill="1F4E79" w:val="clear"/>
          </w:tcPr>
          <w:p>
            <w:pPr>
              <w:pStyle w:val="Normal"/>
              <w:spacing w:before="0" w:after="0"/>
              <w:rPr/>
            </w:pPr>
            <w:r>
              <w:rPr>
                <w:b/>
                <w:bCs/>
                <w:color w:val="FFFFFF"/>
              </w:rPr>
              <w:t>hk_end</w:t>
            </w:r>
          </w:p>
        </w:tc>
        <w:tc>
          <w:tcPr>
            <w:tcW w:w="2800" w:type="dxa"/>
            <w:tcBorders>
              <w:top w:val="single" w:sz="4" w:space="0" w:color="BFBFBF"/>
              <w:left w:val="single" w:sz="4" w:space="0" w:color="BFBFBF"/>
              <w:bottom w:val="single" w:sz="4" w:space="0" w:color="BFBFBF"/>
              <w:right w:val="single" w:sz="4" w:space="0" w:color="BFBFBF"/>
            </w:tcBorders>
            <w:shd w:color="auto" w:fill="1F4E79" w:val="clear"/>
          </w:tcPr>
          <w:p>
            <w:pPr>
              <w:pStyle w:val="Normal"/>
              <w:spacing w:before="0" w:after="0"/>
              <w:rPr/>
            </w:pPr>
            <w:r>
              <w:rPr>
                <w:b/>
                <w:bCs/>
                <w:color w:val="FFFFFF"/>
              </w:rPr>
              <w:t>v_max</w:t>
            </w:r>
          </w:p>
        </w:tc>
      </w:tr>
      <w:tr>
        <w:trPr/>
        <w:tc>
          <w:tcPr>
            <w:tcW w:w="24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30°</w:t>
            </w:r>
          </w:p>
        </w:tc>
        <w:tc>
          <w:tcPr>
            <w:tcW w:w="3826"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0 m (tan 30° = 0.58 &lt; 0.6)</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0 m/s, man bleibt liegen</w:t>
            </w:r>
          </w:p>
        </w:tc>
      </w:tr>
      <w:tr>
        <w:trPr/>
        <w:tc>
          <w:tcPr>
            <w:tcW w:w="24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35°</w:t>
            </w:r>
          </w:p>
        </w:tc>
        <w:tc>
          <w:tcPr>
            <w:tcW w:w="3826"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100 × (0.70 − 0.6) = 10 m</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14 m/s</w:t>
            </w:r>
          </w:p>
        </w:tc>
      </w:tr>
      <w:tr>
        <w:trPr/>
        <w:tc>
          <w:tcPr>
            <w:tcW w:w="24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45°</w:t>
            </w:r>
          </w:p>
        </w:tc>
        <w:tc>
          <w:tcPr>
            <w:tcW w:w="3826"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100 × (1.00 − 0.6) = 40 m</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28 m/s</w:t>
            </w:r>
          </w:p>
        </w:tc>
      </w:tr>
      <w:tr>
        <w:trPr/>
        <w:tc>
          <w:tcPr>
            <w:tcW w:w="24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Felswand</w:t>
            </w:r>
          </w:p>
        </w:tc>
        <w:tc>
          <w:tcPr>
            <w:tcW w:w="3826"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Fallhöhe fast ungebremst</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30 m/s nach 50 m</w:t>
            </w:r>
          </w:p>
        </w:tc>
      </w:tr>
    </w:tbl>
    <w:p>
      <w:pPr>
        <w:pStyle w:val="Normal"/>
        <w:spacing w:before="0" w:after="80"/>
        <w:rPr/>
      </w:pPr>
      <w:r>
        <w:rPr/>
      </w:r>
    </w:p>
    <w:p>
      <w:pPr>
        <w:pStyle w:val="Heading1"/>
        <w:rPr/>
      </w:pPr>
      <w:bookmarkStart w:id="17" w:name="__RefHeading___Toc744_3725421718"/>
      <w:bookmarkEnd w:id="17"/>
      <w:r>
        <w:rPr/>
        <w:t>9  Waldfaktor</w:t>
      </w:r>
    </w:p>
    <w:p>
      <w:pPr>
        <w:pStyle w:val="Normal"/>
        <w:spacing w:before="0" w:after="120"/>
        <w:rPr/>
      </w:pPr>
      <w:r>
        <w:rPr/>
        <w:t>Während der ersten 50 m der Sturzbahn (</w:t>
      </w:r>
      <w:r>
        <w:rPr>
          <w:rFonts w:eastAsia="Consolas" w:cs="Consolas" w:ascii="Consolas" w:hAnsi="Consolas"/>
          <w:color w:val="333333"/>
          <w:sz w:val="20"/>
          <w:szCs w:val="20"/>
        </w:rPr>
        <w:t>FOREST_LEN</w:t>
      </w:r>
      <w:r>
        <w:rPr/>
        <w:t>) wird die Walddichte gemittelt. Dann gilt die Regel von Skitourenguru:</w:t>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before="0" w:after="0"/>
              <w:rPr/>
            </w:pPr>
            <w:r>
              <w:rPr>
                <w:rFonts w:eastAsia="Consolas" w:cs="Consolas" w:ascii="Consolas" w:hAnsi="Consolas"/>
                <w:sz w:val="18"/>
                <w:szCs w:val="18"/>
              </w:rPr>
              <w:t>fd &lt; 60 %  → Faktor 1                    (lichter Wald bremst nicht)</w:t>
            </w:r>
          </w:p>
          <w:p>
            <w:pPr>
              <w:pStyle w:val="Normal"/>
              <w:spacing w:before="0" w:after="0"/>
              <w:rPr/>
            </w:pPr>
            <w:r>
              <w:rPr>
                <w:rFonts w:eastAsia="Consolas" w:cs="Consolas" w:ascii="Consolas" w:hAnsi="Consolas"/>
                <w:sz w:val="18"/>
                <w:szCs w:val="18"/>
              </w:rPr>
              <w:t>fd ≥ 60 %  → 1 − (fd − 60) × 0.5 / 40    (100 % → 0.5)</w:t>
            </w:r>
          </w:p>
        </w:tc>
      </w:tr>
    </w:tbl>
    <w:p>
      <w:pPr>
        <w:pStyle w:val="Normal"/>
        <w:spacing w:before="0" w:after="80"/>
        <w:rPr/>
      </w:pPr>
      <w:r>
        <w:rPr/>
      </w:r>
    </w:p>
    <w:p>
      <w:pPr>
        <w:pStyle w:val="Normal"/>
        <w:spacing w:before="0" w:after="120"/>
        <w:rPr/>
      </w:pPr>
      <w:r>
        <w:rPr/>
        <w:t>Ohne Waldraster ist der Faktor immer 1.</w:t>
      </w:r>
    </w:p>
    <w:p>
      <w:pPr>
        <w:pStyle w:val="Heading1"/>
        <w:rPr/>
      </w:pPr>
      <w:bookmarkStart w:id="18" w:name="__RefHeading___Toc746_3725421718"/>
      <w:bookmarkEnd w:id="18"/>
      <w:r>
        <w:rPr/>
        <w:t>10  Risiko und Klasse</w:t>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before="0" w:after="0"/>
              <w:rPr/>
            </w:pPr>
            <w:r>
              <w:rPr>
                <w:rFonts w:eastAsia="Consolas" w:cs="Consolas" w:ascii="Consolas" w:hAnsi="Consolas"/>
                <w:sz w:val="18"/>
                <w:szCs w:val="18"/>
              </w:rPr>
              <w:t>risk = prob × v_max × Waldfaktor        (Einheit: Grad · m/s)</w:t>
            </w:r>
          </w:p>
        </w:tc>
      </w:tr>
    </w:tbl>
    <w:p>
      <w:pPr>
        <w:pStyle w:val="Normal"/>
        <w:spacing w:before="0" w:after="80"/>
        <w:rPr/>
      </w:pPr>
      <w:r>
        <w:rPr/>
      </w:r>
    </w:p>
    <w:p>
      <w:pPr>
        <w:pStyle w:val="Normal"/>
        <w:spacing w:before="0" w:after="120"/>
        <w:rPr/>
      </w:pPr>
      <w:r>
        <w:rPr/>
        <w:t>Pro Startpunkt zählt die gefährlichere der beiden Seiten. Die Klasse ergibt sich aus den Grenzen 200 / 600 / 1500 (Parameter „Klassengrenzen“):</w:t>
      </w:r>
    </w:p>
    <w:tbl>
      <w:tblPr>
        <w:tblW w:w="9026" w:type="dxa"/>
        <w:jc w:val="left"/>
        <w:tblInd w:w="0" w:type="dxa"/>
        <w:tblLayout w:type="fixed"/>
        <w:tblCellMar>
          <w:top w:w="60" w:type="dxa"/>
          <w:left w:w="100" w:type="dxa"/>
          <w:bottom w:w="60" w:type="dxa"/>
          <w:right w:w="100" w:type="dxa"/>
        </w:tblCellMar>
      </w:tblPr>
      <w:tblGrid>
        <w:gridCol w:w="4513"/>
        <w:gridCol w:w="4512"/>
      </w:tblGrid>
      <w:tr>
        <w:trPr>
          <w:tblHeader w:val="true"/>
        </w:trPr>
        <w:tc>
          <w:tcPr>
            <w:tcW w:w="4513" w:type="dxa"/>
            <w:tcBorders>
              <w:top w:val="single" w:sz="4" w:space="0" w:color="BFBFBF"/>
              <w:left w:val="single" w:sz="4" w:space="0" w:color="BFBFBF"/>
              <w:bottom w:val="single" w:sz="4" w:space="0" w:color="BFBFBF"/>
              <w:right w:val="single" w:sz="4" w:space="0" w:color="BFBFBF"/>
            </w:tcBorders>
            <w:shd w:color="auto" w:fill="1F4E79" w:val="clear"/>
          </w:tcPr>
          <w:p>
            <w:pPr>
              <w:pStyle w:val="Normal"/>
              <w:spacing w:before="0" w:after="0"/>
              <w:rPr/>
            </w:pPr>
            <w:r>
              <w:rPr>
                <w:b/>
                <w:bCs/>
                <w:color w:val="FFFFFF"/>
              </w:rPr>
              <w:t>risk</w:t>
            </w:r>
          </w:p>
        </w:tc>
        <w:tc>
          <w:tcPr>
            <w:tcW w:w="4512" w:type="dxa"/>
            <w:tcBorders>
              <w:top w:val="single" w:sz="4" w:space="0" w:color="BFBFBF"/>
              <w:left w:val="single" w:sz="4" w:space="0" w:color="BFBFBF"/>
              <w:bottom w:val="single" w:sz="4" w:space="0" w:color="BFBFBF"/>
              <w:right w:val="single" w:sz="4" w:space="0" w:color="BFBFBF"/>
            </w:tcBorders>
            <w:shd w:color="auto" w:fill="1F4E79" w:val="clear"/>
          </w:tcPr>
          <w:p>
            <w:pPr>
              <w:pStyle w:val="Normal"/>
              <w:spacing w:before="0" w:after="0"/>
              <w:rPr/>
            </w:pPr>
            <w:r>
              <w:rPr>
                <w:b/>
                <w:bCs/>
                <w:color w:val="FFFFFF"/>
              </w:rPr>
              <w:t>Klasse</w:t>
            </w:r>
          </w:p>
        </w:tc>
      </w:tr>
      <w:tr>
        <w:trPr/>
        <w:tc>
          <w:tcPr>
            <w:tcW w:w="4513"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&lt; 200</w:t>
            </w:r>
          </w:p>
        </w:tc>
        <w:tc>
          <w:tcPr>
            <w:tcW w:w="4512"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1 gering</w:t>
            </w:r>
          </w:p>
        </w:tc>
      </w:tr>
      <w:tr>
        <w:trPr/>
        <w:tc>
          <w:tcPr>
            <w:tcW w:w="4513"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200–600</w:t>
            </w:r>
          </w:p>
        </w:tc>
        <w:tc>
          <w:tcPr>
            <w:tcW w:w="4512"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2 mässig</w:t>
            </w:r>
          </w:p>
        </w:tc>
      </w:tr>
      <w:tr>
        <w:trPr/>
        <w:tc>
          <w:tcPr>
            <w:tcW w:w="4513"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600–1500</w:t>
            </w:r>
          </w:p>
        </w:tc>
        <w:tc>
          <w:tcPr>
            <w:tcW w:w="4512"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3 hoch</w:t>
            </w:r>
          </w:p>
        </w:tc>
      </w:tr>
      <w:tr>
        <w:trPr/>
        <w:tc>
          <w:tcPr>
            <w:tcW w:w="4513"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 xml:space="preserve">≥ </w:t>
            </w:r>
            <w:r>
              <w:rPr/>
              <w:t>1500</w:t>
            </w:r>
          </w:p>
        </w:tc>
        <w:tc>
          <w:tcPr>
            <w:tcW w:w="4512"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4 sehr hoch</w:t>
            </w:r>
          </w:p>
        </w:tc>
      </w:tr>
    </w:tbl>
    <w:p>
      <w:pPr>
        <w:pStyle w:val="Normal"/>
        <w:spacing w:before="0" w:after="80"/>
        <w:rPr/>
      </w:pPr>
      <w:r>
        <w:rPr/>
      </w:r>
    </w:p>
    <w:p>
      <w:pPr>
        <w:pStyle w:val="Normal"/>
        <w:spacing w:before="0" w:after="120"/>
        <w:rPr/>
      </w:pPr>
      <w:r>
        <w:rPr>
          <w:b/>
          <w:bCs/>
        </w:rPr>
        <w:t>Zusatzregel:</w:t>
      </w:r>
      <w:r>
        <w:rPr/>
        <w:t xml:space="preserve"> Ist das Gelände am Weg steiler als 35° (</w:t>
      </w:r>
      <w:r>
        <w:rPr>
          <w:rFonts w:eastAsia="Consolas" w:cs="Consolas" w:ascii="Consolas" w:hAnsi="Consolas"/>
          <w:color w:val="333333"/>
          <w:sz w:val="20"/>
          <w:szCs w:val="20"/>
        </w:rPr>
        <w:t>STEEP_DEG</w:t>
      </w:r>
      <w:r>
        <w:rPr/>
        <w:t>), gilt mindestens Klasse 2.</w:t>
      </w:r>
    </w:p>
    <w:p>
      <w:pPr>
        <w:pStyle w:val="Normal"/>
        <w:spacing w:before="0" w:after="120"/>
        <w:rPr/>
      </w:pPr>
      <w:r>
        <w:rPr>
          <w:b/>
          <w:bCs/>
        </w:rPr>
        <w:t>Beispiel:</w:t>
      </w:r>
      <w:r>
        <w:rPr/>
        <w:t xml:space="preserve"> Ein Weg in einer 45°-Flanke ergibt 45° × 28 m/s = 1260, also „hoch“.</w:t>
      </w:r>
    </w:p>
    <w:p>
      <w:pPr>
        <w:pStyle w:val="Heading1"/>
        <w:rPr/>
      </w:pPr>
      <w:bookmarkStart w:id="19" w:name="__RefHeading___Toc748_3725421718"/>
      <w:bookmarkEnd w:id="19"/>
      <w:r>
        <w:rPr/>
        <w:t>11  Zusammenfassen zu 25-m-Segmenten</w:t>
      </w:r>
    </w:p>
    <w:p>
      <w:pPr>
        <w:pStyle w:val="Normal"/>
        <w:spacing w:before="0" w:after="120"/>
        <w:rPr/>
      </w:pPr>
      <w:r>
        <w:rPr/>
        <w:t>Jedes Segment (</w:t>
      </w:r>
      <w:r>
        <w:rPr>
          <w:rFonts w:eastAsia="Consolas" w:cs="Consolas" w:ascii="Consolas" w:hAnsi="Consolas"/>
          <w:color w:val="333333"/>
          <w:sz w:val="20"/>
          <w:szCs w:val="20"/>
        </w:rPr>
        <w:t>SEG_LEN</w:t>
      </w:r>
      <w:r>
        <w:rPr/>
        <w:t xml:space="preserve">) enthält etwa fünf Startpunkte. Damit ein einzelner Ausreisser im DEM nicht das ganze Segment rot färbt, nimmt das Skript ab vier Punkten </w:t>
      </w:r>
      <w:r>
        <w:rPr>
          <w:b/>
          <w:bCs/>
        </w:rPr>
        <w:t>den zweithöchsten Wert</w:t>
      </w:r>
      <w:r>
        <w:rPr/>
        <w:t xml:space="preserve">, nicht das Maximum. </w:t>
      </w:r>
      <w:r>
        <w:rPr>
          <w:rFonts w:eastAsia="Consolas" w:cs="Consolas" w:ascii="Consolas" w:hAnsi="Consolas"/>
          <w:color w:val="333333"/>
          <w:sz w:val="20"/>
          <w:szCs w:val="20"/>
        </w:rPr>
        <w:t>immediate_drop</w:t>
      </w:r>
      <w:r>
        <w:rPr/>
        <w:t xml:space="preserve"> wird ebenfalls erst bei mindestens zwei Treffern gesetzt.</w:t>
      </w:r>
      <w:r>
        <w:br w:type="page"/>
      </w:r>
    </w:p>
    <w:p>
      <w:pPr>
        <w:pStyle w:val="Heading1"/>
        <w:rPr/>
      </w:pPr>
      <w:bookmarkStart w:id="20" w:name="__RefHeading___Toc750_3725421718"/>
      <w:bookmarkEnd w:id="20"/>
      <w:r>
        <w:rPr/>
        <w:t>12  Ausgabe</w:t>
      </w:r>
    </w:p>
    <w:p>
      <w:pPr>
        <w:pStyle w:val="Normal"/>
        <w:spacing w:before="0" w:after="120"/>
        <w:rPr/>
      </w:pPr>
      <w:r>
        <w:rPr/>
        <w:t>Jedes Segment wird als LineString im CRS des DEM geschrieben, bei swissALTI3D also in EPSG:2056. Die Ausgabe kann ein temporärer Layer, ein GeoPackage oder eine PostGIS-Tabelle sein („In Datenbanktabelle speichern…“).</w:t>
      </w:r>
    </w:p>
    <w:tbl>
      <w:tblPr>
        <w:tblW w:w="9026" w:type="dxa"/>
        <w:jc w:val="left"/>
        <w:tblInd w:w="0" w:type="dxa"/>
        <w:tblLayout w:type="fixed"/>
        <w:tblCellMar>
          <w:top w:w="60" w:type="dxa"/>
          <w:left w:w="100" w:type="dxa"/>
          <w:bottom w:w="60" w:type="dxa"/>
          <w:right w:w="100" w:type="dxa"/>
        </w:tblCellMar>
      </w:tblPr>
      <w:tblGrid>
        <w:gridCol w:w="2600"/>
        <w:gridCol w:w="6425"/>
      </w:tblGrid>
      <w:tr>
        <w:trPr>
          <w:tblHeader w:val="true"/>
        </w:trPr>
        <w:tc>
          <w:tcPr>
            <w:tcW w:w="2600" w:type="dxa"/>
            <w:tcBorders>
              <w:top w:val="single" w:sz="4" w:space="0" w:color="BFBFBF"/>
              <w:left w:val="single" w:sz="4" w:space="0" w:color="BFBFBF"/>
              <w:bottom w:val="single" w:sz="4" w:space="0" w:color="BFBFBF"/>
              <w:right w:val="single" w:sz="4" w:space="0" w:color="BFBFBF"/>
            </w:tcBorders>
            <w:shd w:color="auto" w:fill="1F4E79" w:val="clear"/>
          </w:tcPr>
          <w:p>
            <w:pPr>
              <w:pStyle w:val="Normal"/>
              <w:spacing w:before="0" w:after="0"/>
              <w:rPr/>
            </w:pPr>
            <w:r>
              <w:rPr>
                <w:b/>
                <w:bCs/>
                <w:color w:val="FFFFFF"/>
              </w:rPr>
              <w:t>Feld</w:t>
            </w:r>
          </w:p>
        </w:tc>
        <w:tc>
          <w:tcPr>
            <w:tcW w:w="6425" w:type="dxa"/>
            <w:tcBorders>
              <w:top w:val="single" w:sz="4" w:space="0" w:color="BFBFBF"/>
              <w:left w:val="single" w:sz="4" w:space="0" w:color="BFBFBF"/>
              <w:bottom w:val="single" w:sz="4" w:space="0" w:color="BFBFBF"/>
              <w:right w:val="single" w:sz="4" w:space="0" w:color="BFBFBF"/>
            </w:tcBorders>
            <w:shd w:color="auto" w:fill="1F4E79" w:val="clear"/>
          </w:tcPr>
          <w:p>
            <w:pPr>
              <w:pStyle w:val="Normal"/>
              <w:spacing w:before="0" w:after="0"/>
              <w:rPr/>
            </w:pPr>
            <w:r>
              <w:rPr>
                <w:b/>
                <w:bCs/>
                <w:color w:val="FFFFFF"/>
              </w:rPr>
              <w:t>Bedeutung</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seg_id</w:t>
            </w:r>
          </w:p>
        </w:tc>
        <w:tc>
          <w:tcPr>
            <w:tcW w:w="64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fortlaufende Nummer des Segments</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src_id</w:t>
            </w:r>
          </w:p>
        </w:tc>
        <w:tc>
          <w:tcPr>
            <w:tcW w:w="64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id</w:t>
            </w:r>
            <w:r>
              <w:rPr/>
              <w:t xml:space="preserve"> des Original-Wegs, damit du zurück verknüpfen kannst</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osm_id</w:t>
            </w:r>
            <w:r>
              <w:rPr/>
              <w:t xml:space="preserve">, </w:t>
            </w:r>
            <w:r>
              <w:rPr>
                <w:rFonts w:eastAsia="Consolas" w:cs="Consolas" w:ascii="Consolas" w:hAnsi="Consolas"/>
                <w:color w:val="333333"/>
                <w:sz w:val="20"/>
                <w:szCs w:val="20"/>
              </w:rPr>
              <w:t>name</w:t>
            </w:r>
            <w:r>
              <w:rPr/>
              <w:t xml:space="preserve">, </w:t>
            </w:r>
            <w:r>
              <w:rPr>
                <w:rFonts w:eastAsia="Consolas" w:cs="Consolas" w:ascii="Consolas" w:hAnsi="Consolas"/>
                <w:color w:val="333333"/>
                <w:sz w:val="20"/>
                <w:szCs w:val="20"/>
              </w:rPr>
              <w:t>sac_scale</w:t>
            </w:r>
            <w:r>
              <w:rPr/>
              <w:t>, …</w:t>
            </w:r>
          </w:p>
        </w:tc>
        <w:tc>
          <w:tcPr>
            <w:tcW w:w="64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alle übrigen Felder der Quelle</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exp_class</w:t>
            </w:r>
            <w:r>
              <w:rPr/>
              <w:t xml:space="preserve">, </w:t>
            </w:r>
            <w:r>
              <w:rPr>
                <w:rFonts w:eastAsia="Consolas" w:cs="Consolas" w:ascii="Consolas" w:hAnsi="Consolas"/>
                <w:color w:val="333333"/>
                <w:sz w:val="20"/>
                <w:szCs w:val="20"/>
              </w:rPr>
              <w:t>exp_label</w:t>
            </w:r>
          </w:p>
        </w:tc>
        <w:tc>
          <w:tcPr>
            <w:tcW w:w="64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Klasse 1–4 und Bezeichnung</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risk</w:t>
            </w:r>
          </w:p>
        </w:tc>
        <w:tc>
          <w:tcPr>
            <w:tcW w:w="64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Risikowert</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slope_deg</w:t>
            </w:r>
            <w:r>
              <w:rPr/>
              <w:t xml:space="preserve">, </w:t>
            </w:r>
            <w:r>
              <w:rPr>
                <w:rFonts w:eastAsia="Consolas" w:cs="Consolas" w:ascii="Consolas" w:hAnsi="Consolas"/>
                <w:color w:val="333333"/>
                <w:sz w:val="20"/>
                <w:szCs w:val="20"/>
              </w:rPr>
              <w:t>fold</w:t>
            </w:r>
          </w:p>
        </w:tc>
        <w:tc>
          <w:tcPr>
            <w:tcW w:w="64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Wahrscheinlichkeitsterm</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v_max</w:t>
            </w:r>
            <w:r>
              <w:rPr/>
              <w:t xml:space="preserve">, </w:t>
            </w:r>
            <w:r>
              <w:rPr>
                <w:rFonts w:eastAsia="Consolas" w:cs="Consolas" w:ascii="Consolas" w:hAnsi="Consolas"/>
                <w:color w:val="333333"/>
                <w:sz w:val="20"/>
                <w:szCs w:val="20"/>
              </w:rPr>
              <w:t>drop_m</w:t>
            </w:r>
          </w:p>
        </w:tc>
        <w:tc>
          <w:tcPr>
            <w:tcW w:w="64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Ergebnis des Fallexperiments</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forest_pct</w:t>
            </w:r>
            <w:r>
              <w:rPr/>
              <w:t xml:space="preserve">, </w:t>
            </w:r>
            <w:r>
              <w:rPr>
                <w:rFonts w:eastAsia="Consolas" w:cs="Consolas" w:ascii="Consolas" w:hAnsi="Consolas"/>
                <w:color w:val="333333"/>
                <w:sz w:val="20"/>
                <w:szCs w:val="20"/>
              </w:rPr>
              <w:t>forest_mod</w:t>
            </w:r>
          </w:p>
        </w:tc>
        <w:tc>
          <w:tcPr>
            <w:tcW w:w="64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Walddichte und Waldfaktor</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immediate_drop</w:t>
            </w:r>
          </w:p>
        </w:tc>
        <w:tc>
          <w:tcPr>
            <w:tcW w:w="64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1 = Absturzkante direkt am Weg</w:t>
            </w:r>
          </w:p>
        </w:tc>
      </w:tr>
    </w:tbl>
    <w:p>
      <w:pPr>
        <w:pStyle w:val="Normal"/>
        <w:spacing w:before="0" w:after="80"/>
        <w:rPr/>
      </w:pPr>
      <w:r>
        <w:rPr/>
      </w:r>
    </w:p>
    <w:p>
      <w:pPr>
        <w:pStyle w:val="Heading2"/>
        <w:keepNext w:val="true"/>
        <w:rPr/>
      </w:pPr>
      <w:bookmarkStart w:id="21" w:name="__RefHeading___Toc752_3725421718"/>
      <w:bookmarkEnd w:id="21"/>
      <w:r>
        <w:rPr/>
        <w:t>12.1  Umgang mit Schlüsselspalten</w:t>
      </w:r>
    </w:p>
    <w:p>
      <w:pPr>
        <w:pStyle w:val="Normal"/>
        <w:spacing w:before="0" w:after="120"/>
        <w:rPr/>
      </w:pPr>
      <w:r>
        <w:rPr/>
        <w:t xml:space="preserve">Ein Weg ergibt mehrere Segmente. Eine übernommene </w:t>
      </w:r>
      <w:r>
        <w:rPr>
          <w:rFonts w:eastAsia="Consolas" w:cs="Consolas" w:ascii="Consolas" w:hAnsi="Consolas"/>
          <w:color w:val="333333"/>
          <w:sz w:val="20"/>
          <w:szCs w:val="20"/>
        </w:rPr>
        <w:t>id</w:t>
      </w:r>
      <w:r>
        <w:rPr/>
        <w:t xml:space="preserve"> der Quelle wäre in der Ausgabe deshalb nicht eindeutig. Beim Export nach PostGIS hat QGIS sie sonst samt Primärschlüssel-Eigenschaft übernommen, und die Inserts scheiterten ohne Fehlermeldung.</w:t>
      </w:r>
    </w:p>
    <w:p>
      <w:pPr>
        <w:pStyle w:val="Normal"/>
        <w:spacing w:before="0" w:after="120"/>
        <w:rPr/>
      </w:pPr>
      <w:r>
        <w:rPr/>
        <w:t xml:space="preserve">Das Skript übernimmt deshalb Spalten namens </w:t>
      </w:r>
      <w:r>
        <w:rPr>
          <w:rFonts w:eastAsia="Consolas" w:cs="Consolas" w:ascii="Consolas" w:hAnsi="Consolas"/>
          <w:color w:val="333333"/>
          <w:sz w:val="20"/>
          <w:szCs w:val="20"/>
        </w:rPr>
        <w:t>fid</w:t>
      </w:r>
      <w:r>
        <w:rPr/>
        <w:t xml:space="preserve">, </w:t>
      </w:r>
      <w:r>
        <w:rPr>
          <w:rFonts w:eastAsia="Consolas" w:cs="Consolas" w:ascii="Consolas" w:hAnsi="Consolas"/>
          <w:color w:val="333333"/>
          <w:sz w:val="20"/>
          <w:szCs w:val="20"/>
        </w:rPr>
        <w:t>id</w:t>
      </w:r>
      <w:r>
        <w:rPr/>
        <w:t xml:space="preserve">, </w:t>
      </w:r>
      <w:r>
        <w:rPr>
          <w:rFonts w:eastAsia="Consolas" w:cs="Consolas" w:ascii="Consolas" w:hAnsi="Consolas"/>
          <w:color w:val="333333"/>
          <w:sz w:val="20"/>
          <w:szCs w:val="20"/>
        </w:rPr>
        <w:t>gid</w:t>
      </w:r>
      <w:r>
        <w:rPr/>
        <w:t xml:space="preserve"> und </w:t>
      </w:r>
      <w:r>
        <w:rPr>
          <w:rFonts w:eastAsia="Consolas" w:cs="Consolas" w:ascii="Consolas" w:hAnsi="Consolas"/>
          <w:color w:val="333333"/>
          <w:sz w:val="20"/>
          <w:szCs w:val="20"/>
        </w:rPr>
        <w:t>ogc_fid</w:t>
      </w:r>
      <w:r>
        <w:rPr/>
        <w:t xml:space="preserve"> als </w:t>
      </w:r>
      <w:r>
        <w:rPr>
          <w:rFonts w:eastAsia="Consolas" w:cs="Consolas" w:ascii="Consolas" w:hAnsi="Consolas"/>
          <w:color w:val="333333"/>
          <w:sz w:val="20"/>
          <w:szCs w:val="20"/>
        </w:rPr>
        <w:t>src_&lt;name&gt;</w:t>
      </w:r>
      <w:r>
        <w:rPr/>
        <w:t xml:space="preserve"> und ohne Schlüssel-Eigenschaft. Jedes Segment bekommt eine eigene </w:t>
      </w:r>
      <w:r>
        <w:rPr>
          <w:rFonts w:eastAsia="Consolas" w:cs="Consolas" w:ascii="Consolas" w:hAnsi="Consolas"/>
          <w:color w:val="333333"/>
          <w:sz w:val="20"/>
          <w:szCs w:val="20"/>
        </w:rPr>
        <w:t>seg_id</w:t>
      </w:r>
      <w:r>
        <w:rPr/>
        <w:t>. Scheitert das Schreiben trotzdem, bricht das Skript mit einer Fehlermeldung ab, statt Daten stillschweigend zu verlieren.</w:t>
      </w:r>
      <w:r>
        <w:br w:type="page"/>
      </w:r>
    </w:p>
    <w:p>
      <w:pPr>
        <w:pStyle w:val="Heading1"/>
        <w:rPr/>
      </w:pPr>
      <w:bookmarkStart w:id="22" w:name="__RefHeading___Toc754_3725421718"/>
      <w:bookmarkEnd w:id="22"/>
      <w:r>
        <w:rPr/>
        <w:t>13  Parameterübersicht</w:t>
      </w:r>
    </w:p>
    <w:p>
      <w:pPr>
        <w:pStyle w:val="Normal"/>
        <w:spacing w:before="0" w:after="120"/>
        <w:rPr/>
      </w:pPr>
      <w:r>
        <w:rPr/>
        <w:t>Alle Werte sind Startwerte. Sie stehen in QGIS unter „Erweiterte Parameter“.</w:t>
      </w:r>
    </w:p>
    <w:tbl>
      <w:tblPr>
        <w:tblW w:w="9026" w:type="dxa"/>
        <w:jc w:val="left"/>
        <w:tblInd w:w="0" w:type="dxa"/>
        <w:tblLayout w:type="fixed"/>
        <w:tblCellMar>
          <w:top w:w="60" w:type="dxa"/>
          <w:left w:w="100" w:type="dxa"/>
          <w:bottom w:w="60" w:type="dxa"/>
          <w:right w:w="100" w:type="dxa"/>
        </w:tblCellMar>
      </w:tblPr>
      <w:tblGrid>
        <w:gridCol w:w="2000"/>
        <w:gridCol w:w="5226"/>
        <w:gridCol w:w="1800"/>
      </w:tblGrid>
      <w:tr>
        <w:trPr>
          <w:tblHeader w:val="true"/>
        </w:trPr>
        <w:tc>
          <w:tcPr>
            <w:tcW w:w="2000" w:type="dxa"/>
            <w:tcBorders>
              <w:top w:val="single" w:sz="4" w:space="0" w:color="BFBFBF"/>
              <w:left w:val="single" w:sz="4" w:space="0" w:color="BFBFBF"/>
              <w:bottom w:val="single" w:sz="4" w:space="0" w:color="BFBFBF"/>
              <w:right w:val="single" w:sz="4" w:space="0" w:color="BFBFBF"/>
            </w:tcBorders>
            <w:shd w:color="auto" w:fill="1F4E79" w:val="clear"/>
          </w:tcPr>
          <w:p>
            <w:pPr>
              <w:pStyle w:val="Normal"/>
              <w:spacing w:before="0" w:after="0"/>
              <w:rPr/>
            </w:pPr>
            <w:r>
              <w:rPr>
                <w:b/>
                <w:bCs/>
                <w:color w:val="FFFFFF"/>
              </w:rPr>
              <w:t>Parameter</w:t>
            </w:r>
          </w:p>
        </w:tc>
        <w:tc>
          <w:tcPr>
            <w:tcW w:w="5226" w:type="dxa"/>
            <w:tcBorders>
              <w:top w:val="single" w:sz="4" w:space="0" w:color="BFBFBF"/>
              <w:left w:val="single" w:sz="4" w:space="0" w:color="BFBFBF"/>
              <w:bottom w:val="single" w:sz="4" w:space="0" w:color="BFBFBF"/>
              <w:right w:val="single" w:sz="4" w:space="0" w:color="BFBFBF"/>
            </w:tcBorders>
            <w:shd w:color="auto" w:fill="1F4E79" w:val="clear"/>
          </w:tcPr>
          <w:p>
            <w:pPr>
              <w:pStyle w:val="Normal"/>
              <w:spacing w:before="0" w:after="0"/>
              <w:rPr/>
            </w:pPr>
            <w:r>
              <w:rPr>
                <w:b/>
                <w:bCs/>
                <w:color w:val="FFFFFF"/>
              </w:rPr>
              <w:t>Bedeutung</w:t>
            </w:r>
          </w:p>
        </w:tc>
        <w:tc>
          <w:tcPr>
            <w:tcW w:w="1800" w:type="dxa"/>
            <w:tcBorders>
              <w:top w:val="single" w:sz="4" w:space="0" w:color="BFBFBF"/>
              <w:left w:val="single" w:sz="4" w:space="0" w:color="BFBFBF"/>
              <w:bottom w:val="single" w:sz="4" w:space="0" w:color="BFBFBF"/>
              <w:right w:val="single" w:sz="4" w:space="0" w:color="BFBFBF"/>
            </w:tcBorders>
            <w:shd w:color="auto" w:fill="1F4E79" w:val="clear"/>
          </w:tcPr>
          <w:p>
            <w:pPr>
              <w:pStyle w:val="Normal"/>
              <w:spacing w:before="0" w:after="0"/>
              <w:rPr/>
            </w:pPr>
            <w:r>
              <w:rPr>
                <w:b/>
                <w:bCs/>
                <w:color w:val="FFFFFF"/>
              </w:rPr>
              <w:t>Standard</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Klassengrenzen</w:t>
            </w:r>
          </w:p>
        </w:tc>
        <w:tc>
          <w:tcPr>
            <w:tcW w:w="5226"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Grenzen T1, T2, T3 für risk</w:t>
            </w:r>
          </w:p>
        </w:tc>
        <w:tc>
          <w:tcPr>
            <w:tcW w:w="18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200,600,1500</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RES</w:t>
            </w:r>
          </w:p>
        </w:tc>
        <w:tc>
          <w:tcPr>
            <w:tcW w:w="5226"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Arbeitsauflösung DEM [m]</w:t>
            </w:r>
          </w:p>
        </w:tc>
        <w:tc>
          <w:tcPr>
            <w:tcW w:w="18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2.0</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SEG_LEN</w:t>
            </w:r>
          </w:p>
        </w:tc>
        <w:tc>
          <w:tcPr>
            <w:tcW w:w="5226"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Segmentlänge der Ausgabe [m]</w:t>
            </w:r>
          </w:p>
        </w:tc>
        <w:tc>
          <w:tcPr>
            <w:tcW w:w="18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25</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STEP</w:t>
            </w:r>
          </w:p>
        </w:tc>
        <w:tc>
          <w:tcPr>
            <w:tcW w:w="5226"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Abstand der Startpunkte entlang des Wegs [m]</w:t>
            </w:r>
          </w:p>
        </w:tc>
        <w:tc>
          <w:tcPr>
            <w:tcW w:w="18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5</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HALFWIDTH</w:t>
            </w:r>
          </w:p>
        </w:tc>
        <w:tc>
          <w:tcPr>
            <w:tcW w:w="5226"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Wegtrasse beidseitig [m]</w:t>
            </w:r>
          </w:p>
        </w:tc>
        <w:tc>
          <w:tcPr>
            <w:tcW w:w="18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1.5</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MU</w:t>
            </w:r>
          </w:p>
        </w:tc>
        <w:tc>
          <w:tcPr>
            <w:tcW w:w="5226"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Gleitreibung μ</w:t>
            </w:r>
          </w:p>
        </w:tc>
        <w:tc>
          <w:tcPr>
            <w:tcW w:w="18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0.6</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DRAG_LEN</w:t>
            </w:r>
          </w:p>
        </w:tc>
        <w:tc>
          <w:tcPr>
            <w:tcW w:w="5226"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Bremslänge des v²-Terms [m], 0 = aus</w:t>
            </w:r>
          </w:p>
        </w:tc>
        <w:tc>
          <w:tcPr>
            <w:tcW w:w="18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100</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MAX_PATH</w:t>
            </w:r>
          </w:p>
        </w:tc>
        <w:tc>
          <w:tcPr>
            <w:tcW w:w="5226"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maximale Länge der Sturzbahn [m]</w:t>
            </w:r>
          </w:p>
        </w:tc>
        <w:tc>
          <w:tcPr>
            <w:tcW w:w="18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400</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K1</w:t>
            </w:r>
          </w:p>
        </w:tc>
        <w:tc>
          <w:tcPr>
            <w:tcW w:w="5226"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Skalierung der Faltigkeit</w:t>
            </w:r>
          </w:p>
        </w:tc>
        <w:tc>
          <w:tcPr>
            <w:tcW w:w="18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300</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FOLD_WIN</w:t>
            </w:r>
          </w:p>
        </w:tc>
        <w:tc>
          <w:tcPr>
            <w:tcW w:w="5226"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Fenster der Faltigkeit [Zellen]</w:t>
            </w:r>
          </w:p>
        </w:tc>
        <w:tc>
          <w:tcPr>
            <w:tcW w:w="18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5</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P_MIN</w:t>
            </w:r>
          </w:p>
        </w:tc>
        <w:tc>
          <w:tcPr>
            <w:tcW w:w="5226"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Untergrenze des Wahrscheinlichkeitsterms [°]</w:t>
            </w:r>
          </w:p>
        </w:tc>
        <w:tc>
          <w:tcPr>
            <w:tcW w:w="18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10</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FOREST_LEN</w:t>
            </w:r>
          </w:p>
        </w:tc>
        <w:tc>
          <w:tcPr>
            <w:tcW w:w="5226"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Walddichte gemittelt über die ersten [m] der Sturzbahn</w:t>
            </w:r>
          </w:p>
        </w:tc>
        <w:tc>
          <w:tcPr>
            <w:tcW w:w="18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50</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STEEP_DEG</w:t>
            </w:r>
          </w:p>
        </w:tc>
        <w:tc>
          <w:tcPr>
            <w:tcW w:w="5226"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Zusatzregel steiler Weg [°]</w:t>
            </w:r>
          </w:p>
        </w:tc>
        <w:tc>
          <w:tcPr>
            <w:tcW w:w="18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35</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CLIFF_DEG</w:t>
            </w:r>
          </w:p>
        </w:tc>
        <w:tc>
          <w:tcPr>
            <w:tcW w:w="5226"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Absturzkante ab [°]</w:t>
            </w:r>
          </w:p>
        </w:tc>
        <w:tc>
          <w:tcPr>
            <w:tcW w:w="18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60</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NEAR_DIST</w:t>
            </w:r>
          </w:p>
        </w:tc>
        <w:tc>
          <w:tcPr>
            <w:tcW w:w="5226"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w:t>
            </w:r>
            <w:r>
              <w:rPr/>
              <w:t>direkt neben dem Weg“ [m]</w:t>
            </w:r>
          </w:p>
        </w:tc>
        <w:tc>
          <w:tcPr>
            <w:tcW w:w="18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5</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rFonts w:eastAsia="Consolas" w:cs="Consolas" w:ascii="Consolas" w:hAnsi="Consolas"/>
                <w:color w:val="333333"/>
                <w:sz w:val="20"/>
                <w:szCs w:val="20"/>
              </w:rPr>
              <w:t>CHUNK_LEN</w:t>
            </w:r>
          </w:p>
        </w:tc>
        <w:tc>
          <w:tcPr>
            <w:tcW w:w="5226"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lange Wege teilen alle [m]</w:t>
            </w:r>
          </w:p>
        </w:tc>
        <w:tc>
          <w:tcPr>
            <w:tcW w:w="18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500</w:t>
            </w:r>
          </w:p>
        </w:tc>
      </w:tr>
    </w:tbl>
    <w:p>
      <w:pPr>
        <w:pStyle w:val="Normal"/>
        <w:spacing w:before="0" w:after="80"/>
        <w:rPr/>
      </w:pPr>
      <w:r>
        <w:rPr/>
      </w:r>
      <w:r>
        <w:br w:type="page"/>
      </w:r>
    </w:p>
    <w:p>
      <w:pPr>
        <w:pStyle w:val="Heading1"/>
        <w:rPr/>
      </w:pPr>
      <w:bookmarkStart w:id="23" w:name="__RefHeading___Toc756_3725421718"/>
      <w:bookmarkEnd w:id="23"/>
      <w:r>
        <w:rPr/>
        <w:t>14  Test</w:t>
      </w:r>
    </w:p>
    <w:p>
      <w:pPr>
        <w:pStyle w:val="Normal"/>
        <w:spacing w:before="0" w:after="120"/>
        <w:rPr/>
      </w:pPr>
      <w:r>
        <w:rPr/>
        <w:t xml:space="preserve">Das Skript wurde in QGIS 3.34 mit synthetischem Gelände getestet. Ein- und Ausgabe wurden sowohl als GeoPackage als auch als PostGIS-Tabelle geprüft (MultiLineString in EPSG:4326 mit </w:t>
      </w:r>
      <w:r>
        <w:rPr>
          <w:rFonts w:eastAsia="Consolas" w:cs="Consolas" w:ascii="Consolas" w:hAnsi="Consolas"/>
          <w:color w:val="333333"/>
          <w:sz w:val="20"/>
          <w:szCs w:val="20"/>
        </w:rPr>
        <w:t>id</w:t>
      </w:r>
      <w:r>
        <w:rPr/>
        <w:t xml:space="preserve"> als Primärschlüssel, wie die </w:t>
      </w:r>
      <w:r>
        <w:rPr>
          <w:rFonts w:eastAsia="Consolas" w:cs="Consolas" w:ascii="Consolas" w:hAnsi="Consolas"/>
          <w:color w:val="333333"/>
          <w:sz w:val="20"/>
          <w:szCs w:val="20"/>
        </w:rPr>
        <w:t>sac_scale_&lt;region&gt;</w:t>
      </w:r>
      <w:r>
        <w:rPr/>
        <w:t>-Tabellen).</w:t>
      </w:r>
    </w:p>
    <w:tbl>
      <w:tblPr>
        <w:tblW w:w="9026" w:type="dxa"/>
        <w:jc w:val="left"/>
        <w:tblInd w:w="0" w:type="dxa"/>
        <w:tblLayout w:type="fixed"/>
        <w:tblCellMar>
          <w:top w:w="60" w:type="dxa"/>
          <w:left w:w="100" w:type="dxa"/>
          <w:bottom w:w="60" w:type="dxa"/>
          <w:right w:w="100" w:type="dxa"/>
        </w:tblCellMar>
      </w:tblPr>
      <w:tblGrid>
        <w:gridCol w:w="3599"/>
        <w:gridCol w:w="2400"/>
        <w:gridCol w:w="3027"/>
      </w:tblGrid>
      <w:tr>
        <w:trPr>
          <w:tblHeader w:val="true"/>
        </w:trPr>
        <w:tc>
          <w:tcPr>
            <w:tcW w:w="3599" w:type="dxa"/>
            <w:tcBorders>
              <w:top w:val="single" w:sz="4" w:space="0" w:color="BFBFBF"/>
              <w:left w:val="single" w:sz="4" w:space="0" w:color="BFBFBF"/>
              <w:bottom w:val="single" w:sz="4" w:space="0" w:color="BFBFBF"/>
              <w:right w:val="single" w:sz="4" w:space="0" w:color="BFBFBF"/>
            </w:tcBorders>
            <w:shd w:color="auto" w:fill="1F4E79" w:val="clear"/>
          </w:tcPr>
          <w:p>
            <w:pPr>
              <w:pStyle w:val="Normal"/>
              <w:spacing w:before="0" w:after="0"/>
              <w:rPr/>
            </w:pPr>
            <w:r>
              <w:rPr>
                <w:b/>
                <w:bCs/>
                <w:color w:val="FFFFFF"/>
              </w:rPr>
              <w:t>Gelände</w:t>
            </w:r>
          </w:p>
        </w:tc>
        <w:tc>
          <w:tcPr>
            <w:tcW w:w="2400" w:type="dxa"/>
            <w:tcBorders>
              <w:top w:val="single" w:sz="4" w:space="0" w:color="BFBFBF"/>
              <w:left w:val="single" w:sz="4" w:space="0" w:color="BFBFBF"/>
              <w:bottom w:val="single" w:sz="4" w:space="0" w:color="BFBFBF"/>
              <w:right w:val="single" w:sz="4" w:space="0" w:color="BFBFBF"/>
            </w:tcBorders>
            <w:shd w:color="auto" w:fill="1F4E79" w:val="clear"/>
          </w:tcPr>
          <w:p>
            <w:pPr>
              <w:pStyle w:val="Normal"/>
              <w:spacing w:before="0" w:after="0"/>
              <w:rPr/>
            </w:pPr>
            <w:r>
              <w:rPr>
                <w:b/>
                <w:bCs/>
                <w:color w:val="FFFFFF"/>
              </w:rPr>
              <w:t>Geschwindigkeit</w:t>
            </w:r>
          </w:p>
        </w:tc>
        <w:tc>
          <w:tcPr>
            <w:tcW w:w="3027" w:type="dxa"/>
            <w:tcBorders>
              <w:top w:val="single" w:sz="4" w:space="0" w:color="BFBFBF"/>
              <w:left w:val="single" w:sz="4" w:space="0" w:color="BFBFBF"/>
              <w:bottom w:val="single" w:sz="4" w:space="0" w:color="BFBFBF"/>
              <w:right w:val="single" w:sz="4" w:space="0" w:color="BFBFBF"/>
            </w:tcBorders>
            <w:shd w:color="auto" w:fill="1F4E79" w:val="clear"/>
          </w:tcPr>
          <w:p>
            <w:pPr>
              <w:pStyle w:val="Normal"/>
              <w:spacing w:before="0" w:after="0"/>
              <w:rPr/>
            </w:pPr>
            <w:r>
              <w:rPr>
                <w:b/>
                <w:bCs/>
                <w:color w:val="FFFFFF"/>
              </w:rPr>
              <w:t>Klasse</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Ebene</w:t>
            </w:r>
          </w:p>
        </w:tc>
        <w:tc>
          <w:tcPr>
            <w:tcW w:w="24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0 m/s</w:t>
            </w:r>
          </w:p>
        </w:tc>
        <w:tc>
          <w:tcPr>
            <w:tcW w:w="3027"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1 gering</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Hang 35°</w:t>
            </w:r>
          </w:p>
        </w:tc>
        <w:tc>
          <w:tcPr>
            <w:tcW w:w="24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14 m/s</w:t>
            </w:r>
          </w:p>
        </w:tc>
        <w:tc>
          <w:tcPr>
            <w:tcW w:w="3027"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2 mässig</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Hang 45°</w:t>
            </w:r>
          </w:p>
        </w:tc>
        <w:tc>
          <w:tcPr>
            <w:tcW w:w="24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28 m/s</w:t>
            </w:r>
          </w:p>
        </w:tc>
        <w:tc>
          <w:tcPr>
            <w:tcW w:w="3027"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3 hoch</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Hang 45° mit 100 % Wald</w:t>
            </w:r>
          </w:p>
        </w:tc>
        <w:tc>
          <w:tcPr>
            <w:tcW w:w="24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28 m/s, Risiko halbiert</w:t>
            </w:r>
          </w:p>
        </w:tc>
        <w:tc>
          <w:tcPr>
            <w:tcW w:w="3027"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3 hoch (knapp)</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3 m neben einer 50-m-Felswand</w:t>
            </w:r>
          </w:p>
        </w:tc>
        <w:tc>
          <w:tcPr>
            <w:tcW w:w="24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30 m/s</w:t>
            </w:r>
          </w:p>
        </w:tc>
        <w:tc>
          <w:tcPr>
            <w:tcW w:w="3027"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4 sehr hoch, Kante markiert</w:t>
            </w:r>
          </w:p>
        </w:tc>
      </w:tr>
    </w:tbl>
    <w:p>
      <w:pPr>
        <w:pStyle w:val="Normal"/>
        <w:spacing w:before="0" w:after="80"/>
        <w:rPr/>
      </w:pPr>
      <w:r>
        <w:rPr/>
      </w:r>
    </w:p>
    <w:p>
      <w:pPr>
        <w:pStyle w:val="Normal"/>
        <w:spacing w:before="0" w:after="120"/>
        <w:rPr/>
      </w:pPr>
      <w:r>
        <w:rPr/>
        <w:t>Die Werte entsprechen der Handrechnung. Die QGIS-Version liefert exakt die gleichen Werte wie die Kommandozeilen-Version. Ein zweiter Lauf in dieselbe PostGIS-Tabelle überschreibt sie sauber.</w:t>
      </w:r>
    </w:p>
    <w:p>
      <w:pPr>
        <w:pStyle w:val="Normal"/>
        <w:spacing w:before="0" w:after="120"/>
        <w:rPr/>
      </w:pPr>
      <w:r>
        <w:rPr>
          <w:b/>
          <w:bCs/>
        </w:rPr>
        <w:t>Noch nicht getestet:</w:t>
      </w:r>
      <w:r>
        <w:rPr/>
        <w:t xml:space="preserve"> echte swissALTI3D-Daten und echte OSM-Wege.</w:t>
      </w:r>
    </w:p>
    <w:p>
      <w:pPr>
        <w:pStyle w:val="Heading2"/>
        <w:keepNext w:val="true"/>
        <w:rPr/>
      </w:pPr>
      <w:bookmarkStart w:id="24" w:name="__RefHeading___Toc758_3725421718"/>
      <w:bookmarkEnd w:id="24"/>
      <w:r>
        <w:rPr/>
        <w:t>14.1  Laufzeit</w:t>
      </w:r>
    </w:p>
    <w:p>
      <w:pPr>
        <w:pStyle w:val="Normal"/>
        <w:spacing w:before="0" w:after="120"/>
        <w:rPr/>
      </w:pPr>
      <w:r>
        <w:rPr/>
        <w:t xml:space="preserve">QGIS rechnet auf einem Kern, im Test etwa 3 km pro Sekunde. Für erste Tests eignet sich „Nur gewählte Objekte“ in einem bekannten Gebiet. Für die ganze Schweiz ist </w:t>
      </w:r>
      <w:r>
        <w:rPr>
          <w:rFonts w:eastAsia="Consolas" w:cs="Consolas" w:ascii="Consolas" w:hAnsi="Consolas"/>
          <w:color w:val="333333"/>
          <w:sz w:val="20"/>
          <w:szCs w:val="20"/>
        </w:rPr>
        <w:t>fall_exposure.py</w:t>
      </w:r>
      <w:r>
        <w:rPr/>
        <w:t xml:space="preserve"> mit </w:t>
      </w:r>
      <w:r>
        <w:rPr>
          <w:rFonts w:eastAsia="Consolas" w:cs="Consolas" w:ascii="Consolas" w:hAnsi="Consolas"/>
          <w:color w:val="333333"/>
          <w:sz w:val="20"/>
          <w:szCs w:val="20"/>
        </w:rPr>
        <w:t>--workers 8</w:t>
      </w:r>
      <w:r>
        <w:rPr/>
        <w:t xml:space="preserve"> deutlich schneller.</w:t>
      </w:r>
      <w:r>
        <w:br w:type="page"/>
      </w:r>
    </w:p>
    <w:p>
      <w:pPr>
        <w:pStyle w:val="Heading1"/>
        <w:rPr/>
      </w:pPr>
      <w:bookmarkStart w:id="25" w:name="__RefHeading___Toc760_3725421718"/>
      <w:bookmarkEnd w:id="25"/>
      <w:r>
        <w:rPr/>
        <w:t>15  Grenzen des Modells</w:t>
      </w:r>
    </w:p>
    <w:p>
      <w:pPr>
        <w:pStyle w:val="ListParagraph"/>
        <w:numPr>
          <w:ilvl w:val="0"/>
          <w:numId w:val="2"/>
        </w:numPr>
        <w:spacing w:before="0" w:after="60"/>
        <w:rPr/>
      </w:pPr>
      <w:r>
        <w:rPr>
          <w:b/>
          <w:bCs/>
        </w:rPr>
        <w:t>Kalibrierung:</w:t>
      </w:r>
      <w:r>
        <w:rPr/>
        <w:t xml:space="preserve"> μ, drag_len, k1 und die Klassengrenzen sind begründete Startwerte, aber nicht an echten Wegen geeicht. Die Werte von Skitourenguru sind nicht öffentlich.</w:t>
      </w:r>
    </w:p>
    <w:p>
      <w:pPr>
        <w:pStyle w:val="ListParagraph"/>
        <w:numPr>
          <w:ilvl w:val="0"/>
          <w:numId w:val="2"/>
        </w:numPr>
        <w:spacing w:before="0" w:after="60"/>
        <w:rPr/>
      </w:pPr>
      <w:r>
        <w:rPr>
          <w:b/>
          <w:bCs/>
        </w:rPr>
        <w:t>Oberfläche:</w:t>
      </w:r>
      <w:r>
        <w:rPr/>
        <w:t xml:space="preserve"> Gras, Geröll und Fels gleiten unterschiedlich. Das Modell kennt nur ein μ.</w:t>
      </w:r>
    </w:p>
    <w:p>
      <w:pPr>
        <w:pStyle w:val="ListParagraph"/>
        <w:numPr>
          <w:ilvl w:val="0"/>
          <w:numId w:val="2"/>
        </w:numPr>
        <w:spacing w:before="0" w:after="60"/>
        <w:rPr/>
      </w:pPr>
      <w:r>
        <w:rPr>
          <w:b/>
          <w:bCs/>
        </w:rPr>
        <w:t>Sicherungen</w:t>
      </w:r>
      <w:r>
        <w:rPr/>
        <w:t xml:space="preserve"> wie Seile, Ketten oder Geländer kennt es nicht.</w:t>
      </w:r>
    </w:p>
    <w:p>
      <w:pPr>
        <w:pStyle w:val="ListParagraph"/>
        <w:numPr>
          <w:ilvl w:val="0"/>
          <w:numId w:val="2"/>
        </w:numPr>
        <w:spacing w:before="0" w:after="60"/>
        <w:rPr/>
      </w:pPr>
      <w:r>
        <w:rPr>
          <w:b/>
          <w:bCs/>
        </w:rPr>
        <w:t>OSM-Lagefehler</w:t>
      </w:r>
      <w:r>
        <w:rPr/>
        <w:t xml:space="preserve"> von mehreren Metern können den Startpunkt in die falsche Hangseite legen.</w:t>
      </w:r>
    </w:p>
    <w:p>
      <w:pPr>
        <w:pStyle w:val="ListParagraph"/>
        <w:numPr>
          <w:ilvl w:val="0"/>
          <w:numId w:val="2"/>
        </w:numPr>
        <w:spacing w:before="0" w:after="60"/>
        <w:rPr/>
      </w:pPr>
      <w:r>
        <w:rPr>
          <w:b/>
          <w:bCs/>
        </w:rPr>
        <w:t>DEM-Auflösung:</w:t>
      </w:r>
      <w:r>
        <w:rPr/>
        <w:t xml:space="preserve"> Schmale Felsbänder unter etwa 2–4 m Höhe glättet das 2-m-Raster teilweise weg.</w:t>
      </w:r>
    </w:p>
    <w:p>
      <w:pPr>
        <w:pStyle w:val="Normal"/>
        <w:spacing w:before="160" w:after="120"/>
        <w:rPr/>
      </w:pPr>
      <w:r>
        <w:rPr/>
        <w:t>Das Ergebnis ist ein Modell und ersetzt keine Beurteilung im Gelände.</w:t>
      </w:r>
    </w:p>
    <w:p>
      <w:pPr>
        <w:pStyle w:val="Heading2"/>
        <w:keepNext w:val="true"/>
        <w:rPr/>
      </w:pPr>
      <w:bookmarkStart w:id="26" w:name="__RefHeading___Toc762_3725421718"/>
      <w:bookmarkEnd w:id="26"/>
      <w:r>
        <w:rPr/>
        <w:t>15.1  Quellen</w:t>
      </w:r>
    </w:p>
    <w:p>
      <w:pPr>
        <w:pStyle w:val="ListParagraph"/>
        <w:numPr>
          <w:ilvl w:val="0"/>
          <w:numId w:val="2"/>
        </w:numPr>
        <w:spacing w:before="0" w:after="60"/>
        <w:rPr/>
      </w:pPr>
      <w:r>
        <w:rPr/>
        <w:t>Skitourenguru Wiki, Artikel a0077: https://wiki.skitourenguru.com/de/articles/a0077.html</w:t>
      </w:r>
    </w:p>
    <w:p>
      <w:pPr>
        <w:pStyle w:val="ListParagraph"/>
        <w:numPr>
          <w:ilvl w:val="0"/>
          <w:numId w:val="2"/>
        </w:numPr>
        <w:spacing w:before="0" w:after="60"/>
        <w:rPr/>
      </w:pPr>
      <w:r>
        <w:rPr/>
        <w:t>DIGIWAY Exposure Map (Euregio Tirol – Südtirol – Trentino): https://www.europaregion.info/en/euregio/projekte/nachhaltigkeit/digiway-geodata-for-safety-in-the-mountains/exposure-map/</w:t>
      </w:r>
    </w:p>
    <w:p>
      <w:pPr>
        <w:pStyle w:val="ListParagraph"/>
        <w:numPr>
          <w:ilvl w:val="0"/>
          <w:numId w:val="2"/>
        </w:numPr>
        <w:spacing w:before="0" w:after="60"/>
        <w:rPr/>
      </w:pPr>
      <w:r>
        <w:rPr/>
        <w:t>OpenStreetMap Wiki, Key:hiking_exposition: https://wiki.openstreetmap.org/wiki/Key:hiking_exposition</w:t>
      </w:r>
    </w:p>
    <w:p>
      <w:pPr>
        <w:pStyle w:val="ListParagraph"/>
        <w:numPr>
          <w:ilvl w:val="0"/>
          <w:numId w:val="2"/>
        </w:numPr>
        <w:spacing w:before="0" w:after="60"/>
        <w:rPr/>
      </w:pPr>
      <w:r>
        <w:rPr/>
        <w:t>Sappington, Longshore &amp; Thompson (2007): Vector Ruggedness Measure, Journal of Wildlife Management 71(5).</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color w:val="808080"/>
        <w:sz w:val="18"/>
        <w:szCs w:val="1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8"/>
        <w:szCs w:val="18"/>
      </w:rPr>
      <w:t xml:space="preserve">Seite </w:t>
    </w:r>
    <w:r>
      <w:rPr>
        <w:color w:val="808080"/>
        <w:sz w:val="18"/>
        <w:szCs w:val="18"/>
      </w:rPr>
      <w:fldChar w:fldCharType="begin"/>
    </w:r>
    <w:r>
      <w:rPr>
        <w:color w:val="808080"/>
        <w:sz w:val="18"/>
        <w:szCs w:val="18"/>
      </w:rPr>
      <w:instrText xml:space="preserve"> PAGE </w:instrText>
    </w:r>
    <w:r>
      <w:rPr>
        <w:color w:val="808080"/>
        <w:sz w:val="18"/>
        <w:szCs w:val="18"/>
      </w:rPr>
      <w:fldChar w:fldCharType="separate"/>
    </w:r>
    <w:r>
      <w:rPr>
        <w:color w:val="808080"/>
        <w:sz w:val="18"/>
        <w:szCs w:val="18"/>
      </w:rPr>
      <w:t>12</w:t>
    </w:r>
    <w:r>
      <w:rPr>
        <w:color w:val="808080"/>
        <w:sz w:val="18"/>
        <w:szCs w:val="18"/>
      </w:rPr>
      <w:fldChar w:fldCharType="end"/>
    </w:r>
    <w:r>
      <w:rPr>
        <w:color w:val="808080"/>
        <w:sz w:val="18"/>
        <w:szCs w:val="18"/>
      </w:rPr>
      <w:t xml:space="preserve"> von </w:t>
    </w:r>
    <w:r>
      <w:rPr>
        <w:color w:val="808080"/>
        <w:sz w:val="18"/>
        <w:szCs w:val="18"/>
      </w:rPr>
      <w:fldChar w:fldCharType="begin"/>
    </w:r>
    <w:r>
      <w:rPr>
        <w:color w:val="808080"/>
        <w:sz w:val="18"/>
        <w:szCs w:val="18"/>
      </w:rPr>
      <w:instrText xml:space="preserve"> NUMPAGES </w:instrText>
    </w:r>
    <w:r>
      <w:rPr>
        <w:color w:val="808080"/>
        <w:sz w:val="18"/>
        <w:szCs w:val="18"/>
      </w:rPr>
      <w:fldChar w:fldCharType="separate"/>
    </w:r>
    <w:r>
      <w:rPr>
        <w:color w:val="808080"/>
        <w:sz w:val="18"/>
        <w:szCs w:val="18"/>
      </w:rPr>
      <w:t>12</w:t>
    </w:r>
    <w:r>
      <w:rPr>
        <w:color w:val="808080"/>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color w:val="808080"/>
        <w:sz w:val="18"/>
        <w:szCs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808080"/>
        <w:sz w:val="18"/>
        <w:szCs w:val="18"/>
      </w:rPr>
      <w:t>Absturzrisiko Wanderwege – fall_exposure_qgis.py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60" w:after="160"/>
      <w:outlineLvl w:val="0"/>
    </w:pPr>
    <w:rPr>
      <w:rFonts w:ascii="Calibri" w:hAnsi="Calibri" w:eastAsia="Calibri" w:cs="Calibri"/>
      <w:b/>
      <w:bCs/>
      <w:color w:val="1F4E79"/>
      <w:sz w:val="32"/>
      <w:szCs w:val="32"/>
    </w:rPr>
  </w:style>
  <w:style w:type="paragraph" w:styleId="Heading2">
    <w:name w:val="Heading 2"/>
    <w:basedOn w:val="Heading"/>
    <w:qFormat/>
    <w:pPr>
      <w:spacing w:before="240" w:after="100"/>
      <w:outlineLvl w:val="1"/>
    </w:pPr>
    <w:rPr>
      <w:rFonts w:ascii="Calibri" w:hAnsi="Calibri" w:eastAsia="Calibri" w:cs="Calibri"/>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12</Pages>
  <Words>2071</Words>
  <Characters>11663</Characters>
  <CharactersWithSpaces>13701</CharactersWithSpaces>
  <Paragraphs>283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2026-10-06T22:07:52Z</dcterms:created>
  <dc:creator>BERGI IT Consulting</dc:creator>
  <dc:description/>
  <dc:language>en-US</dc:language>
  <cp:lastModifiedBy/>
  <dcterms:modified xsi:type="dcterms:W3CDTF">2026-10-07T00:07:53Z</dcterms:modified>
  <cp:revision>2</cp:revision>
  <dc:subject/>
  <dc:title>Absturzrisiko Wanderwege – Dokumentation</dc:title>
</cp:coreProperties>
</file>