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200" w:after="240"/>
        <w:rPr/>
      </w:pPr>
      <w:r>
        <w:rPr>
          <w:b/>
          <w:bCs/>
          <w:color w:val="1F4E79"/>
          <w:sz w:val="56"/>
          <w:szCs w:val="56"/>
        </w:rPr>
        <w:t>Absturzrisiko Wanderwege</w:t>
      </w:r>
    </w:p>
    <w:p>
      <w:pPr>
        <w:pStyle w:val="Normal"/>
        <w:spacing w:before="0" w:after="600"/>
        <w:rPr/>
      </w:pPr>
      <w:r>
        <w:rPr>
          <w:color w:val="595959"/>
          <w:sz w:val="28"/>
          <w:szCs w:val="28"/>
        </w:rPr>
        <w:t>Dokumentation des QGIS-Processing-Skripts fall_exposure_qgis.py (v3)</w:t>
      </w:r>
    </w:p>
    <w:p>
      <w:pPr>
        <w:pStyle w:val="Normal"/>
        <w:pBdr>
          <w:bottom w:val="single" w:sz="8" w:space="4" w:color="1F4E79"/>
        </w:pBdr>
        <w:rPr/>
      </w:pPr>
      <w:r>
        <w:rPr/>
      </w:r>
    </w:p>
    <w:p>
      <w:pPr>
        <w:pStyle w:val="Normal"/>
        <w:spacing w:before="400" w:after="80"/>
        <w:rPr/>
      </w:pPr>
      <w:r>
        <w:rPr>
          <w:b/>
          <w:bCs/>
          <w:sz w:val="24"/>
          <w:szCs w:val="24"/>
        </w:rPr>
        <w:t>BERGI IT Consulting</w:t>
      </w:r>
    </w:p>
    <w:p>
      <w:pPr>
        <w:pStyle w:val="Normal"/>
        <w:spacing w:before="0" w:after="80"/>
        <w:rPr/>
      </w:pPr>
      <w:r>
        <w:rPr>
          <w:sz w:val="24"/>
          <w:szCs w:val="24"/>
        </w:rPr>
        <w:t>Stand: 11. Oktober 2026</w:t>
      </w:r>
    </w:p>
    <w:p>
      <w:pPr>
        <w:pStyle w:val="Normal"/>
        <w:rPr/>
      </w:pPr>
      <w:r>
        <w:rPr/>
      </w:r>
      <w:r>
        <w:br w:type="page"/>
      </w:r>
    </w:p>
    <w:p>
      <w:pPr>
        <w:pStyle w:val="Normal"/>
        <w:spacing w:before="0" w:after="240"/>
        <w:rPr/>
      </w:pPr>
      <w:r>
        <w:rPr>
          <w:b/>
          <w:bCs/>
          <w:color w:val="1F4E79"/>
          <w:sz w:val="32"/>
          <w:szCs w:val="32"/>
        </w:rPr>
        <w:t>Inhaltsverzeichnis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160_784777474">
            <w:r>
              <w:rPr>
                <w:rStyle w:val="IndexLink"/>
              </w:rPr>
              <w:t>1 Überblick</w:t>
              <w:tab/>
              <w:t>3</w:t>
            </w:r>
          </w:hyperlink>
        </w:p>
        <w:p>
          <w:pPr>
            <w:pStyle w:val="TOC2"/>
            <w:tabs>
              <w:tab w:val="clear" w:pos="8743"/>
              <w:tab w:val="right" w:pos="9025" w:leader="dot"/>
            </w:tabs>
            <w:rPr/>
          </w:pPr>
          <w:hyperlink w:anchor="__RefHeading___Toc1162_784777474">
            <w:r>
              <w:rPr>
                <w:rStyle w:val="IndexLink"/>
              </w:rPr>
              <w:t>1.1 Neu in Version 3</w:t>
              <w:tab/>
              <w:t>3</w:t>
            </w:r>
          </w:hyperlink>
        </w:p>
        <w:p>
          <w:pPr>
            <w:pStyle w:val="TOC2"/>
            <w:tabs>
              <w:tab w:val="clear" w:pos="8743"/>
              <w:tab w:val="right" w:pos="9025" w:leader="dot"/>
            </w:tabs>
            <w:rPr/>
          </w:pPr>
          <w:hyperlink w:anchor="__RefHeading___Toc1164_784777474">
            <w:r>
              <w:rPr>
                <w:rStyle w:val="IndexLink"/>
              </w:rPr>
              <w:t>1.2 Gesamtablauf</w:t>
              <w:tab/>
              <w:t>3</w:t>
            </w:r>
          </w:hyperlink>
        </w:p>
        <w:p>
          <w:pPr>
            <w:pStyle w:val="TOC1"/>
            <w:tabs>
              <w:tab w:val="clear" w:pos="9026"/>
              <w:tab w:val="right" w:pos="9025" w:leader="dot"/>
            </w:tabs>
            <w:rPr/>
          </w:pPr>
          <w:hyperlink w:anchor="__RefHeading___Toc1166_784777474">
            <w:r>
              <w:rPr>
                <w:rStyle w:val="IndexLink"/>
              </w:rPr>
              <w:t>2 Installation und Eingabedaten</w:t>
              <w:tab/>
              <w:t>4</w:t>
            </w:r>
          </w:hyperlink>
        </w:p>
        <w:p>
          <w:pPr>
            <w:pStyle w:val="TOC2"/>
            <w:tabs>
              <w:tab w:val="clear" w:pos="8743"/>
              <w:tab w:val="right" w:pos="9025" w:leader="dot"/>
            </w:tabs>
            <w:rPr/>
          </w:pPr>
          <w:hyperlink w:anchor="__RefHeading___Toc1168_784777474">
            <w:r>
              <w:rPr>
                <w:rStyle w:val="IndexLink"/>
              </w:rPr>
              <w:t>2.1 Installation in QGIS</w:t>
              <w:tab/>
              <w:t>4</w:t>
            </w:r>
          </w:hyperlink>
        </w:p>
        <w:p>
          <w:pPr>
            <w:pStyle w:val="TOC2"/>
            <w:tabs>
              <w:tab w:val="clear" w:pos="8743"/>
              <w:tab w:val="right" w:pos="9025" w:leader="dot"/>
            </w:tabs>
            <w:rPr/>
          </w:pPr>
          <w:hyperlink w:anchor="__RefHeading___Toc1170_784777474">
            <w:r>
              <w:rPr>
                <w:rStyle w:val="IndexLink"/>
              </w:rPr>
              <w:t>2.2 Benötigte Layer</w:t>
              <w:tab/>
              <w:t>4</w:t>
            </w:r>
          </w:hyperlink>
        </w:p>
        <w:p>
          <w:pPr>
            <w:pStyle w:val="TOC2"/>
            <w:tabs>
              <w:tab w:val="clear" w:pos="8743"/>
              <w:tab w:val="right" w:pos="9025" w:leader="dot"/>
            </w:tabs>
            <w:rPr/>
          </w:pPr>
          <w:hyperlink w:anchor="__RefHeading___Toc1172_784777474">
            <w:r>
              <w:rPr>
                <w:rStyle w:val="IndexLink"/>
              </w:rPr>
              <w:t>2.3 Höhenmodell vorbereiten</w:t>
              <w:tab/>
              <w:t>4</w:t>
            </w:r>
          </w:hyperlink>
        </w:p>
        <w:p>
          <w:pPr>
            <w:pStyle w:val="TOC2"/>
            <w:tabs>
              <w:tab w:val="clear" w:pos="8743"/>
              <w:tab w:val="right" w:pos="9025" w:leader="dot"/>
            </w:tabs>
            <w:rPr/>
          </w:pPr>
          <w:hyperlink w:anchor="__RefHeading___Toc1174_784777474">
            <w:r>
              <w:rPr>
                <w:rStyle w:val="IndexLink"/>
              </w:rPr>
              <w:t>2.4 Waldraster prüfen</w:t>
              <w:tab/>
              <w:t>5</w:t>
            </w:r>
          </w:hyperlink>
        </w:p>
        <w:p>
          <w:pPr>
            <w:pStyle w:val="TOC2"/>
            <w:tabs>
              <w:tab w:val="clear" w:pos="8743"/>
              <w:tab w:val="right" w:pos="9025" w:leader="dot"/>
            </w:tabs>
            <w:rPr/>
          </w:pPr>
          <w:hyperlink w:anchor="__RefHeading___Toc1176_784777474">
            <w:r>
              <w:rPr>
                <w:rStyle w:val="IndexLink"/>
              </w:rPr>
              <w:t>2.5 Wald aus swissTLM3D (Alternative)</w:t>
              <w:tab/>
              <w:t>5</w:t>
            </w:r>
          </w:hyperlink>
        </w:p>
        <w:p>
          <w:pPr>
            <w:pStyle w:val="TOC1"/>
            <w:tabs>
              <w:tab w:val="clear" w:pos="9026"/>
              <w:tab w:val="right" w:pos="9025" w:leader="dot"/>
            </w:tabs>
            <w:rPr/>
          </w:pPr>
          <w:hyperlink w:anchor="__RefHeading___Toc1178_784777474">
            <w:r>
              <w:rPr>
                <w:rStyle w:val="IndexLink"/>
              </w:rPr>
              <w:t>3 Aufbau des Skripts</w:t>
              <w:tab/>
              <w:t>6</w:t>
            </w:r>
          </w:hyperlink>
        </w:p>
        <w:p>
          <w:pPr>
            <w:pStyle w:val="TOC1"/>
            <w:tabs>
              <w:tab w:val="clear" w:pos="9026"/>
              <w:tab w:val="right" w:pos="9025" w:leader="dot"/>
            </w:tabs>
            <w:rPr/>
          </w:pPr>
          <w:hyperlink w:anchor="__RefHeading___Toc1180_784777474">
            <w:r>
              <w:rPr>
                <w:rStyle w:val="IndexLink"/>
              </w:rPr>
              <w:t>4 Ablauf: Kacheln und Threads</w:t>
              <w:tab/>
              <w:t>7</w:t>
            </w:r>
          </w:hyperlink>
        </w:p>
        <w:p>
          <w:pPr>
            <w:pStyle w:val="TOC2"/>
            <w:tabs>
              <w:tab w:val="clear" w:pos="8743"/>
              <w:tab w:val="right" w:pos="9025" w:leader="dot"/>
            </w:tabs>
            <w:rPr/>
          </w:pPr>
          <w:hyperlink w:anchor="__RefHeading___Toc1182_784777474">
            <w:r>
              <w:rPr>
                <w:rStyle w:val="IndexLink"/>
              </w:rPr>
              <w:t>4.1 Einlesen und Gruppieren</w:t>
              <w:tab/>
              <w:t>7</w:t>
            </w:r>
          </w:hyperlink>
        </w:p>
        <w:p>
          <w:pPr>
            <w:pStyle w:val="TOC2"/>
            <w:tabs>
              <w:tab w:val="clear" w:pos="8743"/>
              <w:tab w:val="right" w:pos="9025" w:leader="dot"/>
            </w:tabs>
            <w:rPr/>
          </w:pPr>
          <w:hyperlink w:anchor="__RefHeading___Toc1184_784777474">
            <w:r>
              <w:rPr>
                <w:rStyle w:val="IndexLink"/>
              </w:rPr>
              <w:t>4.2 Rechnen pro Kachel</w:t>
              <w:tab/>
              <w:t>7</w:t>
            </w:r>
          </w:hyperlink>
        </w:p>
        <w:p>
          <w:pPr>
            <w:pStyle w:val="TOC2"/>
            <w:tabs>
              <w:tab w:val="clear" w:pos="8743"/>
              <w:tab w:val="right" w:pos="9025" w:leader="dot"/>
            </w:tabs>
            <w:rPr/>
          </w:pPr>
          <w:hyperlink w:anchor="__RefHeading___Toc1186_784777474">
            <w:r>
              <w:rPr>
                <w:rStyle w:val="IndexLink"/>
              </w:rPr>
              <w:t>4.3 Threads</w:t>
              <w:tab/>
              <w:t>7</w:t>
            </w:r>
          </w:hyperlink>
        </w:p>
        <w:p>
          <w:pPr>
            <w:pStyle w:val="TOC1"/>
            <w:tabs>
              <w:tab w:val="clear" w:pos="9026"/>
              <w:tab w:val="right" w:pos="9025" w:leader="dot"/>
            </w:tabs>
            <w:rPr/>
          </w:pPr>
          <w:hyperlink w:anchor="__RefHeading___Toc1188_784777474">
            <w:r>
              <w:rPr>
                <w:rStyle w:val="IndexLink"/>
              </w:rPr>
              <w:t>5 DEM-Ausschnitt und abgeleitete Raster</w:t>
              <w:tab/>
              <w:t>8</w:t>
            </w:r>
          </w:hyperlink>
        </w:p>
        <w:p>
          <w:pPr>
            <w:pStyle w:val="TOC1"/>
            <w:tabs>
              <w:tab w:val="clear" w:pos="9026"/>
              <w:tab w:val="right" w:pos="9025" w:leader="dot"/>
            </w:tabs>
            <w:rPr/>
          </w:pPr>
          <w:hyperlink w:anchor="__RefHeading___Toc1190_784777474">
            <w:r>
              <w:rPr>
                <w:rStyle w:val="IndexLink"/>
              </w:rPr>
              <w:t>6 Wahrscheinlichkeitsterm</w:t>
              <w:tab/>
              <w:t>8</w:t>
            </w:r>
          </w:hyperlink>
        </w:p>
        <w:p>
          <w:pPr>
            <w:pStyle w:val="TOC1"/>
            <w:tabs>
              <w:tab w:val="clear" w:pos="9026"/>
              <w:tab w:val="right" w:pos="9025" w:leader="dot"/>
            </w:tabs>
            <w:rPr/>
          </w:pPr>
          <w:hyperlink w:anchor="__RefHeading___Toc1192_784777474">
            <w:r>
              <w:rPr>
                <w:rStyle w:val="IndexLink"/>
              </w:rPr>
              <w:t>7 Absturzkante direkt am Weg</w:t>
              <w:tab/>
              <w:t>8</w:t>
            </w:r>
          </w:hyperlink>
        </w:p>
        <w:p>
          <w:pPr>
            <w:pStyle w:val="TOC1"/>
            <w:tabs>
              <w:tab w:val="clear" w:pos="9026"/>
              <w:tab w:val="right" w:pos="9025" w:leader="dot"/>
            </w:tabs>
            <w:rPr/>
          </w:pPr>
          <w:hyperlink w:anchor="__RefHeading___Toc1194_784777474">
            <w:r>
              <w:rPr>
                <w:rStyle w:val="IndexLink"/>
              </w:rPr>
              <w:t>8 Das virtuelle Fallexperiment</w:t>
              <w:tab/>
              <w:t>9</w:t>
            </w:r>
          </w:hyperlink>
        </w:p>
        <w:p>
          <w:pPr>
            <w:pStyle w:val="TOC2"/>
            <w:tabs>
              <w:tab w:val="clear" w:pos="8743"/>
              <w:tab w:val="right" w:pos="9025" w:leader="dot"/>
            </w:tabs>
            <w:rPr/>
          </w:pPr>
          <w:hyperlink w:anchor="__RefHeading___Toc1196_784777474">
            <w:r>
              <w:rPr>
                <w:rStyle w:val="IndexLink"/>
              </w:rPr>
              <w:t>8.1 Bewegung</w:t>
              <w:tab/>
              <w:t>9</w:t>
            </w:r>
          </w:hyperlink>
        </w:p>
        <w:p>
          <w:pPr>
            <w:pStyle w:val="TOC2"/>
            <w:tabs>
              <w:tab w:val="clear" w:pos="8743"/>
              <w:tab w:val="right" w:pos="9025" w:leader="dot"/>
            </w:tabs>
            <w:rPr/>
          </w:pPr>
          <w:hyperlink w:anchor="__RefHeading___Toc1198_784777474">
            <w:r>
              <w:rPr>
                <w:rStyle w:val="IndexLink"/>
              </w:rPr>
              <w:t>8.2 Energie</w:t>
              <w:tab/>
              <w:t>9</w:t>
            </w:r>
          </w:hyperlink>
        </w:p>
        <w:p>
          <w:pPr>
            <w:pStyle w:val="TOC2"/>
            <w:tabs>
              <w:tab w:val="clear" w:pos="8743"/>
              <w:tab w:val="right" w:pos="9025" w:leader="dot"/>
            </w:tabs>
            <w:rPr/>
          </w:pPr>
          <w:hyperlink w:anchor="__RefHeading___Toc1200_784777474">
            <w:r>
              <w:rPr>
                <w:rStyle w:val="IndexLink"/>
              </w:rPr>
              <w:t>8.3 Abbruch und Ergebnis</w:t>
              <w:tab/>
              <w:t>9</w:t>
            </w:r>
          </w:hyperlink>
        </w:p>
        <w:p>
          <w:pPr>
            <w:pStyle w:val="TOC2"/>
            <w:tabs>
              <w:tab w:val="clear" w:pos="8743"/>
              <w:tab w:val="right" w:pos="9025" w:leader="dot"/>
            </w:tabs>
            <w:rPr/>
          </w:pPr>
          <w:hyperlink w:anchor="__RefHeading___Toc1202_784777474">
            <w:r>
              <w:rPr>
                <w:rStyle w:val="IndexLink"/>
              </w:rPr>
              <w:t>8.4 Beispiel mit den Standardwerten</w:t>
              <w:tab/>
              <w:t>9</w:t>
            </w:r>
          </w:hyperlink>
        </w:p>
        <w:p>
          <w:pPr>
            <w:pStyle w:val="TOC2"/>
            <w:tabs>
              <w:tab w:val="clear" w:pos="8743"/>
              <w:tab w:val="right" w:pos="9025" w:leader="dot"/>
            </w:tabs>
            <w:rPr/>
          </w:pPr>
          <w:hyperlink w:anchor="__RefHeading___Toc1204_784777474">
            <w:r>
              <w:rPr>
                <w:rStyle w:val="IndexLink"/>
              </w:rPr>
              <w:t>8.5 Stabilität</w:t>
              <w:tab/>
              <w:t>10</w:t>
            </w:r>
          </w:hyperlink>
        </w:p>
        <w:p>
          <w:pPr>
            <w:pStyle w:val="TOC1"/>
            <w:tabs>
              <w:tab w:val="clear" w:pos="9026"/>
              <w:tab w:val="right" w:pos="9025" w:leader="dot"/>
            </w:tabs>
            <w:rPr/>
          </w:pPr>
          <w:hyperlink w:anchor="__RefHeading___Toc1206_784777474">
            <w:r>
              <w:rPr>
                <w:rStyle w:val="IndexLink"/>
              </w:rPr>
              <w:t>9 Waldfaktor</w:t>
              <w:tab/>
              <w:t>10</w:t>
            </w:r>
          </w:hyperlink>
        </w:p>
        <w:p>
          <w:pPr>
            <w:pStyle w:val="TOC1"/>
            <w:tabs>
              <w:tab w:val="clear" w:pos="9026"/>
              <w:tab w:val="right" w:pos="9025" w:leader="dot"/>
            </w:tabs>
            <w:rPr/>
          </w:pPr>
          <w:hyperlink w:anchor="__RefHeading___Toc1208_784777474">
            <w:r>
              <w:rPr>
                <w:rStyle w:val="IndexLink"/>
              </w:rPr>
              <w:t>10 Risiko und Klasse</w:t>
              <w:tab/>
              <w:t>11</w:t>
            </w:r>
          </w:hyperlink>
        </w:p>
        <w:p>
          <w:pPr>
            <w:pStyle w:val="TOC2"/>
            <w:tabs>
              <w:tab w:val="clear" w:pos="8743"/>
              <w:tab w:val="right" w:pos="9025" w:leader="dot"/>
            </w:tabs>
            <w:rPr/>
          </w:pPr>
          <w:hyperlink w:anchor="__RefHeading___Toc1210_784777474">
            <w:r>
              <w:rPr>
                <w:rStyle w:val="IndexLink"/>
              </w:rPr>
              <w:t>10.1 Zusammenfassen zu 25-m-Segmenten</w:t>
              <w:tab/>
              <w:t>11</w:t>
            </w:r>
          </w:hyperlink>
        </w:p>
        <w:p>
          <w:pPr>
            <w:pStyle w:val="TOC1"/>
            <w:tabs>
              <w:tab w:val="clear" w:pos="9026"/>
              <w:tab w:val="right" w:pos="9025" w:leader="dot"/>
            </w:tabs>
            <w:rPr/>
          </w:pPr>
          <w:hyperlink w:anchor="__RefHeading___Toc1212_784777474">
            <w:r>
              <w:rPr>
                <w:rStyle w:val="IndexLink"/>
              </w:rPr>
              <w:t>11 Ausgabe</w:t>
              <w:tab/>
              <w:t>12</w:t>
            </w:r>
          </w:hyperlink>
        </w:p>
        <w:p>
          <w:pPr>
            <w:pStyle w:val="TOC2"/>
            <w:tabs>
              <w:tab w:val="clear" w:pos="8743"/>
              <w:tab w:val="right" w:pos="9025" w:leader="dot"/>
            </w:tabs>
            <w:rPr/>
          </w:pPr>
          <w:hyperlink w:anchor="__RefHeading___Toc1214_784777474">
            <w:r>
              <w:rPr>
                <w:rStyle w:val="IndexLink"/>
              </w:rPr>
              <w:t>11.1 Umgang mit Feldern der Quelle</w:t>
              <w:tab/>
              <w:t>12</w:t>
            </w:r>
          </w:hyperlink>
        </w:p>
        <w:p>
          <w:pPr>
            <w:pStyle w:val="TOC1"/>
            <w:tabs>
              <w:tab w:val="clear" w:pos="9026"/>
              <w:tab w:val="right" w:pos="9025" w:leader="dot"/>
            </w:tabs>
            <w:rPr/>
          </w:pPr>
          <w:hyperlink w:anchor="__RefHeading___Toc1216_784777474">
            <w:r>
              <w:rPr>
                <w:rStyle w:val="IndexLink"/>
              </w:rPr>
              <w:t>12 Parameterübersicht</w:t>
              <w:tab/>
              <w:t>13</w:t>
            </w:r>
          </w:hyperlink>
        </w:p>
        <w:p>
          <w:pPr>
            <w:pStyle w:val="TOC1"/>
            <w:tabs>
              <w:tab w:val="clear" w:pos="9026"/>
              <w:tab w:val="right" w:pos="9025" w:leader="dot"/>
            </w:tabs>
            <w:rPr/>
          </w:pPr>
          <w:hyperlink w:anchor="__RefHeading___Toc1218_784777474">
            <w:r>
              <w:rPr>
                <w:rStyle w:val="IndexLink"/>
              </w:rPr>
              <w:t>13 Laufzeit-Protokoll</w:t>
              <w:tab/>
              <w:t>14</w:t>
            </w:r>
          </w:hyperlink>
        </w:p>
        <w:p>
          <w:pPr>
            <w:pStyle w:val="TOC1"/>
            <w:tabs>
              <w:tab w:val="clear" w:pos="9026"/>
              <w:tab w:val="right" w:pos="9025" w:leader="dot"/>
            </w:tabs>
            <w:rPr/>
          </w:pPr>
          <w:hyperlink w:anchor="__RefHeading___Toc1220_784777474">
            <w:r>
              <w:rPr>
                <w:rStyle w:val="IndexLink"/>
              </w:rPr>
              <w:t>14 Leistung und Laufzeiten</w:t>
              <w:tab/>
              <w:t>15</w:t>
            </w:r>
          </w:hyperlink>
        </w:p>
        <w:p>
          <w:pPr>
            <w:pStyle w:val="TOC2"/>
            <w:tabs>
              <w:tab w:val="clear" w:pos="8743"/>
              <w:tab w:val="right" w:pos="9025" w:leader="dot"/>
            </w:tabs>
            <w:rPr/>
          </w:pPr>
          <w:hyperlink w:anchor="__RefHeading___Toc1222_784777474">
            <w:r>
              <w:rPr>
                <w:rStyle w:val="IndexLink"/>
              </w:rPr>
              <w:t>14.1 Gemessene Laufzeiten</w:t>
              <w:tab/>
              <w:t>15</w:t>
            </w:r>
          </w:hyperlink>
        </w:p>
        <w:p>
          <w:pPr>
            <w:pStyle w:val="TOC2"/>
            <w:tabs>
              <w:tab w:val="clear" w:pos="8743"/>
              <w:tab w:val="right" w:pos="9025" w:leader="dot"/>
            </w:tabs>
            <w:rPr/>
          </w:pPr>
          <w:hyperlink w:anchor="__RefHeading___Toc1224_784777474">
            <w:r>
              <w:rPr>
                <w:rStyle w:val="IndexLink"/>
              </w:rPr>
              <w:t>14.2 Wärmedrosselung bei lüfterlosen Geräten</w:t>
              <w:tab/>
              <w:t>15</w:t>
            </w:r>
          </w:hyperlink>
        </w:p>
        <w:p>
          <w:pPr>
            <w:pStyle w:val="TOC2"/>
            <w:tabs>
              <w:tab w:val="clear" w:pos="8743"/>
              <w:tab w:val="right" w:pos="9025" w:leader="dot"/>
            </w:tabs>
            <w:rPr/>
          </w:pPr>
          <w:hyperlink w:anchor="__RefHeading___Toc1226_784777474">
            <w:r>
              <w:rPr>
                <w:rStyle w:val="IndexLink"/>
              </w:rPr>
              <w:t>14.3 Empfehlungen für lange Läufe</w:t>
              <w:tab/>
              <w:t>15</w:t>
            </w:r>
          </w:hyperlink>
        </w:p>
        <w:p>
          <w:pPr>
            <w:pStyle w:val="TOC1"/>
            <w:tabs>
              <w:tab w:val="clear" w:pos="9026"/>
              <w:tab w:val="right" w:pos="9025" w:leader="dot"/>
            </w:tabs>
            <w:rPr/>
          </w:pPr>
          <w:hyperlink w:anchor="__RefHeading___Toc1228_784777474">
            <w:r>
              <w:rPr>
                <w:rStyle w:val="IndexLink"/>
              </w:rPr>
              <w:t>15 Darstellung in QGIS und Lizmap</w:t>
              <w:tab/>
              <w:t>17</w:t>
            </w:r>
          </w:hyperlink>
        </w:p>
        <w:p>
          <w:pPr>
            <w:pStyle w:val="TOC2"/>
            <w:tabs>
              <w:tab w:val="clear" w:pos="8743"/>
              <w:tab w:val="right" w:pos="9025" w:leader="dot"/>
            </w:tabs>
            <w:rPr/>
          </w:pPr>
          <w:hyperlink w:anchor="__RefHeading___Toc1230_784777474">
            <w:r>
              <w:rPr>
                <w:rStyle w:val="IndexLink"/>
              </w:rPr>
              <w:t>15.1 Kombinierte Karte</w:t>
              <w:tab/>
              <w:t>17</w:t>
            </w:r>
          </w:hyperlink>
        </w:p>
        <w:p>
          <w:pPr>
            <w:pStyle w:val="TOC1"/>
            <w:tabs>
              <w:tab w:val="clear" w:pos="9026"/>
              <w:tab w:val="right" w:pos="9025" w:leader="dot"/>
            </w:tabs>
            <w:rPr/>
          </w:pPr>
          <w:hyperlink w:anchor="__RefHeading___Toc1232_784777474">
            <w:r>
              <w:rPr>
                <w:rStyle w:val="IndexLink"/>
              </w:rPr>
              <w:t>16 Vergleich mit Skitourenguru</w:t>
              <w:tab/>
              <w:t>18</w:t>
            </w:r>
          </w:hyperlink>
        </w:p>
        <w:p>
          <w:pPr>
            <w:pStyle w:val="TOC2"/>
            <w:tabs>
              <w:tab w:val="clear" w:pos="8743"/>
              <w:tab w:val="right" w:pos="9025" w:leader="dot"/>
            </w:tabs>
            <w:rPr/>
          </w:pPr>
          <w:hyperlink w:anchor="__RefHeading___Toc1234_784777474">
            <w:r>
              <w:rPr>
                <w:rStyle w:val="IndexLink"/>
              </w:rPr>
              <w:t>16.1 Brüggler (GL)</w:t>
              <w:tab/>
              <w:t>18</w:t>
            </w:r>
          </w:hyperlink>
        </w:p>
        <w:p>
          <w:pPr>
            <w:pStyle w:val="TOC2"/>
            <w:tabs>
              <w:tab w:val="clear" w:pos="8743"/>
              <w:tab w:val="right" w:pos="9025" w:leader="dot"/>
            </w:tabs>
            <w:rPr/>
          </w:pPr>
          <w:hyperlink w:anchor="__RefHeading___Toc1236_784777474">
            <w:r>
              <w:rPr>
                <w:rStyle w:val="IndexLink"/>
              </w:rPr>
              <w:t>16.2 Glärnisch (GL)</w:t>
              <w:tab/>
              <w:t>18</w:t>
            </w:r>
          </w:hyperlink>
        </w:p>
        <w:p>
          <w:pPr>
            <w:pStyle w:val="TOC2"/>
            <w:tabs>
              <w:tab w:val="clear" w:pos="8743"/>
              <w:tab w:val="right" w:pos="9025" w:leader="dot"/>
            </w:tabs>
            <w:rPr/>
          </w:pPr>
          <w:hyperlink w:anchor="__RefHeading___Toc1238_784777474">
            <w:r>
              <w:rPr>
                <w:rStyle w:val="IndexLink"/>
              </w:rPr>
              <w:t>16.3 Beurteilung</w:t>
              <w:tab/>
              <w:t>18</w:t>
            </w:r>
          </w:hyperlink>
        </w:p>
        <w:p>
          <w:pPr>
            <w:pStyle w:val="TOC1"/>
            <w:tabs>
              <w:tab w:val="clear" w:pos="9026"/>
              <w:tab w:val="right" w:pos="9025" w:leader="dot"/>
            </w:tabs>
            <w:rPr/>
          </w:pPr>
          <w:hyperlink w:anchor="__RefHeading___Toc1240_784777474">
            <w:r>
              <w:rPr>
                <w:rStyle w:val="IndexLink"/>
              </w:rPr>
              <w:t>17 Tests</w:t>
              <w:tab/>
              <w:t>19</w:t>
            </w:r>
          </w:hyperlink>
        </w:p>
        <w:p>
          <w:pPr>
            <w:pStyle w:val="TOC1"/>
            <w:tabs>
              <w:tab w:val="clear" w:pos="9026"/>
              <w:tab w:val="right" w:pos="9025" w:leader="dot"/>
            </w:tabs>
            <w:rPr/>
          </w:pPr>
          <w:hyperlink w:anchor="__RefHeading___Toc1242_784777474">
            <w:r>
              <w:rPr>
                <w:rStyle w:val="IndexLink"/>
              </w:rPr>
              <w:t>18 Grenzen des Modells</w:t>
              <w:tab/>
              <w:t>20</w:t>
            </w:r>
          </w:hyperlink>
        </w:p>
        <w:p>
          <w:pPr>
            <w:pStyle w:val="TOC2"/>
            <w:tabs>
              <w:tab w:val="clear" w:pos="8743"/>
              <w:tab w:val="right" w:pos="9025" w:leader="dot"/>
            </w:tabs>
            <w:rPr/>
          </w:pPr>
          <w:hyperlink w:anchor="__RefHeading___Toc1244_784777474">
            <w:r>
              <w:rPr>
                <w:rStyle w:val="IndexLink"/>
              </w:rPr>
              <w:t>18.1 Quellen</w:t>
              <w:tab/>
              <w:t>20</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160_784777474"/>
      <w:bookmarkEnd w:id="0"/>
      <w:r>
        <w:rPr/>
        <w:t>1  Überblick</w:t>
      </w:r>
    </w:p>
    <w:p>
      <w:pPr>
        <w:pStyle w:val="Normal"/>
        <w:spacing w:before="0" w:after="120"/>
        <w:rPr/>
      </w:pPr>
      <w:r>
        <w:rPr>
          <w:rFonts w:eastAsia="Consolas" w:cs="Consolas" w:ascii="Consolas" w:hAnsi="Consolas"/>
          <w:color w:val="333333"/>
          <w:sz w:val="20"/>
          <w:szCs w:val="20"/>
        </w:rPr>
        <w:t>fall_exposure_qgis.py</w:t>
      </w:r>
      <w:r>
        <w:rPr/>
        <w:t xml:space="preserve"> ist ein Processing-Skript für QGIS. Es bewertet Wanderwege in 25-m-Abschnitten danach, wie gefährlich ein Sturz an dieser Stelle wäre. Dafür beantwortet es zwei Fragen: Wie wahrscheinlich ist ein Sturz, und wie schnell würde man danach? Das Produkt ergibt eine Risikozahl und daraus eine Klasse von 1 (gering) bis 4 (sehr hoch).</w:t>
      </w:r>
    </w:p>
    <w:p>
      <w:pPr>
        <w:pStyle w:val="Normal"/>
        <w:spacing w:before="0" w:after="120"/>
        <w:rPr/>
      </w:pPr>
      <w:r>
        <w:rPr/>
        <w:t>Das Modell ist angelehnt an das Prinzip, das Skitourenguru im Wiki-Artikel a0077 beschreibt. Skitourenguru legt nur die Grundformel offen, nicht die Parameter, die Definition der Faltigkeit oder die Klassengrenzen. Diese Teile sind eine eigene Umsetzung.</w:t>
      </w:r>
    </w:p>
    <w:p>
      <w:pPr>
        <w:pStyle w:val="Normal"/>
        <w:pBdr>
          <w:left w:val="single" w:sz="18" w:space="8" w:color="E6550D"/>
        </w:pBdr>
        <w:shd w:val="clear" w:color="auto" w:fill="FFF4E5"/>
        <w:spacing w:before="80" w:after="120"/>
        <w:ind w:left="120"/>
        <w:rPr/>
      </w:pPr>
      <w:r>
        <w:rPr>
          <w:b/>
          <w:bCs/>
        </w:rPr>
        <w:t>Warnung:</w:t>
      </w:r>
      <w:r>
        <w:rPr/>
        <w:t xml:space="preserve"> Die Berechnungen können Fehler enthalten. Das Ergebnis ist ein Modell und ersetzt weder die Beurteilung im Gelände noch die offizielle Wegklassifizierung.</w:t>
      </w:r>
    </w:p>
    <w:p>
      <w:pPr>
        <w:pStyle w:val="Heading2"/>
        <w:keepNext w:val="true"/>
        <w:rPr/>
      </w:pPr>
      <w:bookmarkStart w:id="1" w:name="__RefHeading___Toc1162_784777474"/>
      <w:bookmarkEnd w:id="1"/>
      <w:r>
        <w:rPr/>
        <w:t>1.1  Neu in Version 3</w:t>
      </w:r>
    </w:p>
    <w:p>
      <w:pPr>
        <w:pStyle w:val="ListParagraph"/>
        <w:numPr>
          <w:ilvl w:val="0"/>
          <w:numId w:val="4"/>
        </w:numPr>
        <w:spacing w:before="0" w:after="60"/>
        <w:rPr/>
      </w:pPr>
      <w:r>
        <w:rPr>
          <w:b/>
          <w:bCs/>
        </w:rPr>
        <w:t>Kacheln:</w:t>
      </w:r>
      <w:r>
        <w:rPr/>
        <w:t xml:space="preserve"> Die Wege werden in 1-km-Kacheln gruppiert. Pro Kachel wird das Höhenmodell nur einmal gelesen, und alle Wege darin werden in einem Durchgang gerechnet. Das ist 10- bis 20-mal schneller als v2.</w:t>
      </w:r>
    </w:p>
    <w:p>
      <w:pPr>
        <w:pStyle w:val="ListParagraph"/>
        <w:numPr>
          <w:ilvl w:val="0"/>
          <w:numId w:val="1"/>
        </w:numPr>
        <w:spacing w:before="0" w:after="60"/>
        <w:rPr/>
      </w:pPr>
      <w:r>
        <w:rPr>
          <w:b/>
          <w:bCs/>
        </w:rPr>
        <w:t>Threads:</w:t>
      </w:r>
      <w:r>
        <w:rPr/>
        <w:t xml:space="preserve"> Die Kacheln werden auf mehrere Prozessorkerne verteilt.</w:t>
      </w:r>
    </w:p>
    <w:p>
      <w:pPr>
        <w:pStyle w:val="ListParagraph"/>
        <w:numPr>
          <w:ilvl w:val="0"/>
          <w:numId w:val="1"/>
        </w:numPr>
        <w:spacing w:before="0" w:after="60"/>
        <w:rPr/>
      </w:pPr>
      <w:r>
        <w:rPr>
          <w:b/>
          <w:bCs/>
        </w:rPr>
        <w:t>Schnelles Lesen des DEM:</w:t>
      </w:r>
      <w:r>
        <w:rPr/>
        <w:t xml:space="preserve"> Liegt das Höhenmodell schon im Ziel-CRS, liest das Skript ohne Reprojektion. Jeder Thread öffnet die Datei nur einmal.</w:t>
      </w:r>
    </w:p>
    <w:p>
      <w:pPr>
        <w:pStyle w:val="ListParagraph"/>
        <w:numPr>
          <w:ilvl w:val="0"/>
          <w:numId w:val="1"/>
        </w:numPr>
        <w:spacing w:before="0" w:after="60"/>
        <w:rPr/>
      </w:pPr>
      <w:r>
        <w:rPr>
          <w:b/>
          <w:bCs/>
        </w:rPr>
        <w:t>Laufzeit-Protokoll:</w:t>
      </w:r>
      <w:r>
        <w:rPr/>
        <w:t xml:space="preserve"> Jeder Lauf wird mit Rechner, Prozessor, Zeit und Parametern in einer CSV-Datei festgehalten.</w:t>
      </w:r>
    </w:p>
    <w:p>
      <w:pPr>
        <w:pStyle w:val="ListParagraph"/>
        <w:numPr>
          <w:ilvl w:val="0"/>
          <w:numId w:val="1"/>
        </w:numPr>
        <w:spacing w:before="0" w:after="60"/>
        <w:rPr/>
      </w:pPr>
      <w:r>
        <w:rPr>
          <w:b/>
          <w:bCs/>
        </w:rPr>
        <w:t>Robuste Felder:</w:t>
      </w:r>
      <w:r>
        <w:rPr/>
        <w:t xml:space="preserve"> Felder aus früheren Läufen und doppelte Feldnamen in der Eingabe führen nicht mehr zu verrutschten Attributen.</w:t>
      </w:r>
    </w:p>
    <w:p>
      <w:pPr>
        <w:pStyle w:val="Heading2"/>
        <w:keepNext w:val="true"/>
        <w:rPr/>
      </w:pPr>
      <w:bookmarkStart w:id="2" w:name="__RefHeading___Toc1164_784777474"/>
      <w:bookmarkEnd w:id="2"/>
      <w:r>
        <w:rPr/>
        <w:t>1.2  Gesamtablauf</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Weg-Layer ──► Wege einlesen, in Stücke ≤ 500 m teilen (Hauptthread)</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Stücke nach 1-km-Kacheln gruppieren</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je Kachel, parallel in Threads:</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DEM einmal lesen → Neigung, Faltigkeit, (Wald)</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alle 5 m ein Startpunkt auf allen Wegstücken</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Wahrscheinlichkeitsterm, Absturzkante</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Fallexperiment links und rechts → v_max</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risk = Wahrscheinlichkeit × v_max × Waldfaktor → Klasse</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je 25 m ein Segment schreiben (Hauptthread) + Laufzeit-CSV</w:t>
            </w:r>
          </w:p>
        </w:tc>
      </w:tr>
    </w:tbl>
    <w:p>
      <w:pPr>
        <w:pStyle w:val="Normal"/>
        <w:spacing w:before="0" w:after="80"/>
        <w:rPr/>
      </w:pPr>
      <w:r>
        <w:rPr/>
      </w:r>
      <w:r>
        <w:br w:type="page"/>
      </w:r>
    </w:p>
    <w:p>
      <w:pPr>
        <w:pStyle w:val="Heading1"/>
        <w:rPr/>
      </w:pPr>
      <w:bookmarkStart w:id="3" w:name="__RefHeading___Toc1166_784777474"/>
      <w:bookmarkEnd w:id="3"/>
      <w:r>
        <w:rPr/>
        <w:t>2  Installation und Eingabedaten</w:t>
      </w:r>
    </w:p>
    <w:p>
      <w:pPr>
        <w:pStyle w:val="Heading2"/>
        <w:keepNext w:val="true"/>
        <w:rPr/>
      </w:pPr>
      <w:bookmarkStart w:id="4" w:name="__RefHeading___Toc1168_784777474"/>
      <w:bookmarkEnd w:id="4"/>
      <w:r>
        <w:rPr/>
        <w:t>2.1  Installation in QGIS</w:t>
      </w:r>
    </w:p>
    <w:p>
      <w:pPr>
        <w:pStyle w:val="ListParagraph"/>
        <w:numPr>
          <w:ilvl w:val="0"/>
          <w:numId w:val="5"/>
        </w:numPr>
        <w:spacing w:before="0" w:after="60"/>
        <w:rPr/>
      </w:pPr>
      <w:r>
        <w:rPr/>
        <w:t>In der Processing-Werkzeugkiste auf das Python-Symbol klicken und „Skript zur Werkzeugkiste hinzufügen…“ wählen.</w:t>
      </w:r>
    </w:p>
    <w:p>
      <w:pPr>
        <w:pStyle w:val="ListParagraph"/>
        <w:numPr>
          <w:ilvl w:val="0"/>
          <w:numId w:val="2"/>
        </w:numPr>
        <w:spacing w:before="0" w:after="60"/>
        <w:rPr/>
      </w:pPr>
      <w:r>
        <w:rPr/>
        <w:t xml:space="preserve">Die Datei </w:t>
      </w:r>
      <w:r>
        <w:rPr>
          <w:rFonts w:eastAsia="Consolas" w:cs="Consolas" w:ascii="Consolas" w:hAnsi="Consolas"/>
          <w:color w:val="333333"/>
          <w:sz w:val="20"/>
          <w:szCs w:val="20"/>
        </w:rPr>
        <w:t>fall_exposure_qgis.py</w:t>
      </w:r>
      <w:r>
        <w:rPr/>
        <w:t xml:space="preserve"> auswählen.</w:t>
      </w:r>
    </w:p>
    <w:p>
      <w:pPr>
        <w:pStyle w:val="ListParagraph"/>
        <w:numPr>
          <w:ilvl w:val="0"/>
          <w:numId w:val="2"/>
        </w:numPr>
        <w:spacing w:before="0" w:after="60"/>
        <w:rPr/>
      </w:pPr>
      <w:r>
        <w:rPr/>
        <w:t xml:space="preserve">Das Werkzeug erscheint unter </w:t>
      </w:r>
      <w:r>
        <w:rPr>
          <w:b/>
          <w:bCs/>
        </w:rPr>
        <w:t>Skripte → Wanderwege → Absturzrisiko Wanderwege (v3)</w:t>
      </w:r>
      <w:r>
        <w:rPr/>
        <w:t>.</w:t>
      </w:r>
    </w:p>
    <w:p>
      <w:pPr>
        <w:pStyle w:val="Normal"/>
        <w:spacing w:before="120" w:after="120"/>
        <w:rPr/>
      </w:pPr>
      <w:r>
        <w:rPr/>
        <w:t>Das Skript braucht nur numpy und GDAL. Beides ist in QGIS enthalten. Ältere Versionen des Skripts sollten vorher aus dem Skriptordner entfernt werden, damit nicht zwei gleichnamige Werkzeuge existieren.</w:t>
      </w:r>
    </w:p>
    <w:p>
      <w:pPr>
        <w:pStyle w:val="Normal"/>
        <w:pBdr>
          <w:left w:val="single" w:sz="18" w:space="8" w:color="E6550D"/>
        </w:pBdr>
        <w:shd w:val="clear" w:color="auto" w:fill="FFF4E5"/>
        <w:spacing w:before="80" w:after="120"/>
        <w:ind w:left="120"/>
        <w:rPr/>
      </w:pPr>
      <w:r>
        <w:rPr>
          <w:b/>
          <w:bCs/>
        </w:rPr>
        <w:t>macOS:</w:t>
      </w:r>
      <w:r>
        <w:rPr/>
        <w:t xml:space="preserve"> Nach der Auswahl einer Ausgabedatei rutscht der Processing-Dialog manchmal hinter das QGIS-Hauptfenster. Mit Cmd+` holt man ihn zurück.</w:t>
      </w:r>
    </w:p>
    <w:p>
      <w:pPr>
        <w:pStyle w:val="Heading2"/>
        <w:keepNext w:val="true"/>
        <w:rPr/>
      </w:pPr>
      <w:bookmarkStart w:id="5" w:name="__RefHeading___Toc1170_784777474"/>
      <w:bookmarkEnd w:id="5"/>
      <w:r>
        <w:rPr/>
        <w:t>2.2  Benötigte Layer</w:t>
      </w:r>
    </w:p>
    <w:tbl>
      <w:tblPr>
        <w:tblW w:w="9026" w:type="dxa"/>
        <w:jc w:val="left"/>
        <w:tblInd w:w="0" w:type="dxa"/>
        <w:tblLayout w:type="fixed"/>
        <w:tblCellMar>
          <w:top w:w="60" w:type="dxa"/>
          <w:left w:w="100" w:type="dxa"/>
          <w:bottom w:w="60" w:type="dxa"/>
          <w:right w:w="100" w:type="dxa"/>
        </w:tblCellMar>
      </w:tblPr>
      <w:tblGrid>
        <w:gridCol w:w="2000"/>
        <w:gridCol w:w="1100"/>
        <w:gridCol w:w="5926"/>
      </w:tblGrid>
      <w:tr>
        <w:trPr>
          <w:tblHeader w:val="true"/>
        </w:trPr>
        <w:tc>
          <w:tcPr>
            <w:tcW w:w="20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Layer</w:t>
            </w:r>
          </w:p>
        </w:tc>
        <w:tc>
          <w:tcPr>
            <w:tcW w:w="11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Pflicht</w:t>
            </w:r>
          </w:p>
        </w:tc>
        <w:tc>
          <w:tcPr>
            <w:tcW w:w="59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Beschreibung</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Wege</w:t>
            </w:r>
          </w:p>
        </w:tc>
        <w:tc>
          <w:tcPr>
            <w:tcW w:w="1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ja</w:t>
            </w:r>
          </w:p>
        </w:tc>
        <w:tc>
          <w:tcPr>
            <w:tcW w:w="59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Linien-Layer, z.B. swissTLM3D-Wanderwege oder die OSM-Tabelle </w:t>
            </w:r>
            <w:r>
              <w:rPr>
                <w:rFonts w:eastAsia="Consolas" w:cs="Consolas" w:ascii="Consolas" w:hAnsi="Consolas"/>
                <w:color w:val="333333"/>
                <w:sz w:val="20"/>
                <w:szCs w:val="20"/>
              </w:rPr>
              <w:t>sac_scale_switzerland</w:t>
            </w:r>
            <w:r>
              <w:rPr/>
              <w:t xml:space="preserve"> in PostGIS. MultiLineString und jedes CRS sind möglich.</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Höhenmodell</w:t>
            </w:r>
          </w:p>
        </w:tc>
        <w:tc>
          <w:tcPr>
            <w:tcW w:w="1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ja</w:t>
            </w:r>
          </w:p>
        </w:tc>
        <w:tc>
          <w:tcPr>
            <w:tcW w:w="59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swissALTI3D </w:t>
            </w:r>
            <w:r>
              <w:rPr>
                <w:b/>
                <w:bCs/>
              </w:rPr>
              <w:t>2 m</w:t>
            </w:r>
            <w:r>
              <w:rPr/>
              <w:t xml:space="preserve"> (EPSG:2056) als </w:t>
            </w:r>
            <w:r>
              <w:rPr>
                <w:b/>
                <w:bCs/>
              </w:rPr>
              <w:t>eine</w:t>
            </w:r>
            <w:r>
              <w:rPr/>
              <w:t xml:space="preserve"> Datei (Cloud Optimized GeoTIFF), siehe 2.3. Muss als Datei vorliegen, WMS oder PostGIS-Raster funktionieren nicht.</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Walddichte</w:t>
            </w:r>
          </w:p>
        </w:tc>
        <w:tc>
          <w:tcPr>
            <w:tcW w:w="1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nein</w:t>
            </w:r>
          </w:p>
        </w:tc>
        <w:tc>
          <w:tcPr>
            <w:tcW w:w="59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Copernicus HRL </w:t>
            </w:r>
            <w:r>
              <w:rPr>
                <w:b/>
                <w:bCs/>
              </w:rPr>
              <w:t>Tree Cover Density</w:t>
            </w:r>
            <w:r>
              <w:rPr/>
              <w:t xml:space="preserve"> (TCD), 10 m, Werte 0–100 %. Ohne Waldraster gilt der Waldfaktor 1.</w:t>
            </w:r>
          </w:p>
        </w:tc>
      </w:tr>
    </w:tbl>
    <w:p>
      <w:pPr>
        <w:pStyle w:val="Normal"/>
        <w:spacing w:before="0" w:after="80"/>
        <w:rPr/>
      </w:pPr>
      <w:r>
        <w:rPr/>
      </w:r>
    </w:p>
    <w:p>
      <w:pPr>
        <w:pStyle w:val="Heading2"/>
        <w:keepNext w:val="true"/>
        <w:rPr/>
      </w:pPr>
      <w:bookmarkStart w:id="6" w:name="__RefHeading___Toc1172_784777474"/>
      <w:bookmarkEnd w:id="6"/>
      <w:r>
        <w:rPr/>
        <w:t>2.3  Höhenmodell vorbereiten</w:t>
      </w:r>
    </w:p>
    <w:p>
      <w:pPr>
        <w:pStyle w:val="Normal"/>
        <w:spacing w:before="0" w:after="120"/>
        <w:rPr/>
      </w:pPr>
      <w:r>
        <w:rPr/>
        <w:t xml:space="preserve">swissALTI3D wird in über 40 000 Kacheln geliefert. Zuerst werden sie zu einem virtuellen Raster (VRT) zusammengefasst. Mit </w:t>
      </w:r>
      <w:r>
        <w:rPr>
          <w:rFonts w:eastAsia="Consolas" w:cs="Consolas" w:ascii="Consolas" w:hAnsi="Consolas"/>
          <w:color w:val="333333"/>
          <w:sz w:val="20"/>
          <w:szCs w:val="20"/>
        </w:rPr>
        <w:t>*.tiff</w:t>
      </w:r>
      <w:r>
        <w:rPr/>
        <w:t xml:space="preserve"> wird die Befehlszeile zu lang („argument list too long“), deshalb übergibt man die Dateinamen über eine Liste:</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find . -maxdepth 1 -name '*.tiff' &gt; tiles.txt</w:t>
            </w:r>
          </w:p>
          <w:p>
            <w:pPr>
              <w:pStyle w:val="Normal"/>
              <w:spacing w:before="0" w:after="0"/>
              <w:rPr/>
            </w:pPr>
            <w:r>
              <w:rPr>
                <w:rFonts w:eastAsia="Consolas" w:cs="Consolas" w:ascii="Consolas" w:hAnsi="Consolas"/>
                <w:sz w:val="18"/>
                <w:szCs w:val="18"/>
              </w:rPr>
              <w:t>gdalbuildvrt -input_file_list tiles.txt merged.vrt</w:t>
            </w:r>
          </w:p>
        </w:tc>
      </w:tr>
    </w:tbl>
    <w:p>
      <w:pPr>
        <w:pStyle w:val="Normal"/>
        <w:spacing w:before="0" w:after="80"/>
        <w:rPr/>
      </w:pPr>
      <w:r>
        <w:rPr/>
      </w:r>
    </w:p>
    <w:p>
      <w:pPr>
        <w:pStyle w:val="Normal"/>
        <w:spacing w:before="0" w:after="120"/>
        <w:rPr/>
      </w:pPr>
      <w:r>
        <w:rPr/>
        <w:t xml:space="preserve">Ein VRT mit so vielen Kacheln ist langsam zu öffnen: Im Test dauerte das Öffnen rund 2 Sekunden, das Lesen eines Ausschnitts nur 0.04 Sekunden. Deshalb wird der VRT einmalig in </w:t>
      </w:r>
      <w:r>
        <w:rPr>
          <w:b/>
          <w:bCs/>
        </w:rPr>
        <w:t>eine</w:t>
      </w:r>
      <w:r>
        <w:rPr/>
        <w:t xml:space="preserve"> Datei umgewandelt, unter Windows in der OSGeo4W Shell (Startmenü → QGIS → OSGeo4W Shell):</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gdal_translate -of COG merged.vrt swissalti3d_2m.tif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-co COMPRESS=LERC_DEFLATE -co MAX_Z_ERROR=0.01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-co BIGTIFF=YES -co NUM_THREADS=ALL_CPUS --config GDAL_CACHEMAX 4096</w:t>
            </w:r>
          </w:p>
        </w:tc>
      </w:tr>
    </w:tbl>
    <w:p>
      <w:pPr>
        <w:pStyle w:val="Normal"/>
        <w:spacing w:before="0" w:after="80"/>
        <w:rPr/>
      </w:pPr>
      <w:r>
        <w:rPr/>
      </w:r>
    </w:p>
    <w:p>
      <w:pPr>
        <w:pStyle w:val="ListParagraph"/>
        <w:numPr>
          <w:ilvl w:val="0"/>
          <w:numId w:val="1"/>
        </w:numPr>
        <w:spacing w:before="0" w:after="60"/>
        <w:rPr/>
      </w:pPr>
      <w:r>
        <w:rPr>
          <w:rFonts w:eastAsia="Consolas" w:cs="Consolas" w:ascii="Consolas" w:hAnsi="Consolas"/>
          <w:color w:val="333333"/>
          <w:sz w:val="20"/>
          <w:szCs w:val="20"/>
        </w:rPr>
        <w:t>LERC_DEFLATE</w:t>
      </w:r>
      <w:r>
        <w:rPr/>
        <w:t xml:space="preserve"> mit </w:t>
      </w:r>
      <w:r>
        <w:rPr>
          <w:rFonts w:eastAsia="Consolas" w:cs="Consolas" w:ascii="Consolas" w:hAnsi="Consolas"/>
          <w:color w:val="333333"/>
          <w:sz w:val="20"/>
          <w:szCs w:val="20"/>
        </w:rPr>
        <w:t>MAX_Z_ERROR=0.01</w:t>
      </w:r>
      <w:r>
        <w:rPr/>
        <w:t xml:space="preserve"> speichert die Höhen auf 1 cm genau. Das ist für die Absturzberechnung mehr als ausreichend und viel kleiner als verlustfreie Kompression.</w:t>
      </w:r>
    </w:p>
    <w:p>
      <w:pPr>
        <w:pStyle w:val="ListParagraph"/>
        <w:numPr>
          <w:ilvl w:val="0"/>
          <w:numId w:val="1"/>
        </w:numPr>
        <w:spacing w:before="0" w:after="60"/>
        <w:rPr/>
      </w:pPr>
      <w:r>
        <w:rPr/>
        <w:t>Die Datei sollte auf einer lokalen SSD liegen, nicht auf einem Netzlaufwerk.</w:t>
      </w:r>
    </w:p>
    <w:p>
      <w:pPr>
        <w:pStyle w:val="ListParagraph"/>
        <w:numPr>
          <w:ilvl w:val="0"/>
          <w:numId w:val="1"/>
        </w:numPr>
        <w:spacing w:before="0" w:after="60"/>
        <w:rPr/>
      </w:pPr>
      <w:r>
        <w:rPr/>
        <w:t xml:space="preserve">Kontrolle mit </w:t>
      </w:r>
      <w:r>
        <w:rPr>
          <w:rFonts w:eastAsia="Consolas" w:cs="Consolas" w:ascii="Consolas" w:hAnsi="Consolas"/>
          <w:color w:val="333333"/>
          <w:sz w:val="20"/>
          <w:szCs w:val="20"/>
        </w:rPr>
        <w:t>gdalinfo swissalti3d_2m.tif</w:t>
      </w:r>
      <w:r>
        <w:rPr/>
        <w:t xml:space="preserve">: </w:t>
      </w:r>
      <w:r>
        <w:rPr>
          <w:rFonts w:eastAsia="Consolas" w:cs="Consolas" w:ascii="Consolas" w:hAnsi="Consolas"/>
          <w:color w:val="333333"/>
          <w:sz w:val="20"/>
          <w:szCs w:val="20"/>
        </w:rPr>
        <w:t>Pixel Size = (2,-2)</w:t>
      </w:r>
      <w:r>
        <w:rPr/>
        <w:t>.</w:t>
      </w:r>
    </w:p>
    <w:p>
      <w:pPr>
        <w:pStyle w:val="Normal"/>
        <w:pBdr>
          <w:left w:val="single" w:sz="18" w:space="8" w:color="E6550D"/>
        </w:pBdr>
        <w:shd w:val="clear" w:color="auto" w:fill="FFF4E5"/>
        <w:spacing w:before="80" w:after="120"/>
        <w:ind w:left="120"/>
        <w:rPr/>
      </w:pPr>
      <w:r>
        <w:rPr>
          <w:b/>
          <w:bCs/>
        </w:rPr>
        <w:t>Streifen in der Schummerung:</w:t>
      </w:r>
      <w:r>
        <w:rPr/>
        <w:t xml:space="preserve"> QGIS zeichnet die Schummerung standardmässig mit „nächstem Nachbarn“. Das erzeugt beim Zoomen ein Streifenmuster, das nur in der Darstellung existiert. Abhilfe: Layer-Eigenschaften → Symbologie → Neuberechnung: hineingezoomt „Bilinear“, herausgezoomt „Durchschnitt“, „Frühes Resampling“ aktivieren. Das Skript liest die Rohdaten und ist davon nicht betroffen.</w:t>
      </w:r>
    </w:p>
    <w:p>
      <w:pPr>
        <w:pStyle w:val="Heading2"/>
        <w:keepNext w:val="true"/>
        <w:rPr/>
      </w:pPr>
      <w:bookmarkStart w:id="7" w:name="__RefHeading___Toc1174_784777474"/>
      <w:bookmarkEnd w:id="7"/>
      <w:r>
        <w:rPr/>
        <w:t>2.4  Waldraster prüfen</w:t>
      </w:r>
    </w:p>
    <w:p>
      <w:pPr>
        <w:pStyle w:val="Normal"/>
        <w:spacing w:before="0" w:after="120"/>
        <w:rPr/>
      </w:pPr>
      <w:r>
        <w:rPr/>
        <w:t xml:space="preserve">Copernicus bietet mehrere Waldprodukte an. Richtig ist </w:t>
      </w:r>
      <w:r>
        <w:rPr>
          <w:b/>
          <w:bCs/>
        </w:rPr>
        <w:t>Tree Cover Density (TCD)</w:t>
      </w:r>
      <w:r>
        <w:rPr/>
        <w:t xml:space="preserve"> mit Prozentwerten. </w:t>
      </w:r>
      <w:r>
        <w:rPr>
          <w:b/>
          <w:bCs/>
        </w:rPr>
        <w:t>Forest Type (FTY)</w:t>
      </w:r>
      <w:r>
        <w:rPr/>
        <w:t xml:space="preserve"> enthält nur Klassencodes (1 = Laubwald, 2 = Nadelwald) und würde als 1–2 % Wald gelesen, der Waldfaktor bliebe immer 1.</w:t>
      </w:r>
    </w:p>
    <w:p>
      <w:pPr>
        <w:pStyle w:val="Normal"/>
        <w:spacing w:before="0" w:after="120"/>
        <w:rPr/>
      </w:pPr>
      <w:r>
        <w:rPr/>
        <w:t>Prüfen in der OSGeo4W Shell:</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gdalinfo -stats CLMS_HRLVLCC_TCD_CH_0.tif</w:t>
            </w:r>
          </w:p>
        </w:tc>
      </w:tr>
    </w:tbl>
    <w:p>
      <w:pPr>
        <w:pStyle w:val="Normal"/>
        <w:spacing w:before="0" w:after="80"/>
        <w:rPr/>
      </w:pPr>
      <w:r>
        <w:rPr/>
      </w:r>
    </w:p>
    <w:p>
      <w:pPr>
        <w:pStyle w:val="ListParagraph"/>
        <w:numPr>
          <w:ilvl w:val="0"/>
          <w:numId w:val="1"/>
        </w:numPr>
        <w:spacing w:before="0" w:after="60"/>
        <w:rPr/>
      </w:pPr>
      <w:r>
        <w:rPr>
          <w:b/>
          <w:bCs/>
        </w:rPr>
        <w:t>Maximum 100</w:t>
      </w:r>
      <w:r>
        <w:rPr/>
        <w:t xml:space="preserve">: richtig. Steht dort 255 ohne gesetzten NoData-Wert, würden Flächen ausserhalb des Datengebiets als 100 % Wald gelesen. Abhilfe: </w:t>
      </w:r>
      <w:r>
        <w:rPr>
          <w:rFonts w:eastAsia="Consolas" w:cs="Consolas" w:ascii="Consolas" w:hAnsi="Consolas"/>
          <w:color w:val="333333"/>
          <w:sz w:val="20"/>
          <w:szCs w:val="20"/>
        </w:rPr>
        <w:t>gdal_edit -a_nodata 255 datei.tif</w:t>
      </w:r>
      <w:r>
        <w:rPr/>
        <w:t>.</w:t>
      </w:r>
    </w:p>
    <w:p>
      <w:pPr>
        <w:pStyle w:val="ListParagraph"/>
        <w:numPr>
          <w:ilvl w:val="0"/>
          <w:numId w:val="1"/>
        </w:numPr>
        <w:spacing w:before="0" w:after="60"/>
        <w:rPr/>
      </w:pPr>
      <w:r>
        <w:rPr/>
        <w:t>Ist die Datei in Streifen gespeichert (</w:t>
      </w:r>
      <w:r>
        <w:rPr>
          <w:rFonts w:eastAsia="Consolas" w:cs="Consolas" w:ascii="Consolas" w:hAnsi="Consolas"/>
          <w:color w:val="333333"/>
          <w:sz w:val="20"/>
          <w:szCs w:val="20"/>
        </w:rPr>
        <w:t>Block=35044x30</w:t>
      </w:r>
      <w:r>
        <w:rPr/>
        <w:t xml:space="preserve">), lohnt sich eine gekachelte Kopie: </w:t>
      </w:r>
      <w:r>
        <w:rPr>
          <w:rFonts w:eastAsia="Consolas" w:cs="Consolas" w:ascii="Consolas" w:hAnsi="Consolas"/>
          <w:color w:val="333333"/>
          <w:sz w:val="20"/>
          <w:szCs w:val="20"/>
        </w:rPr>
        <w:t>gdal_translate datei.tif tcd_tiled.tif -co TILED=YES -co COMPRESS=DEFLATE</w:t>
      </w:r>
      <w:r>
        <w:rPr/>
        <w:t>.</w:t>
      </w:r>
    </w:p>
    <w:p>
      <w:pPr>
        <w:pStyle w:val="Heading2"/>
        <w:keepNext w:val="true"/>
        <w:rPr/>
      </w:pPr>
      <w:bookmarkStart w:id="8" w:name="__RefHeading___Toc1176_784777474"/>
      <w:bookmarkEnd w:id="8"/>
      <w:r>
        <w:rPr/>
        <w:t>2.5  Wald aus swissTLM3D (Alternative)</w:t>
      </w:r>
    </w:p>
    <w:p>
      <w:pPr>
        <w:pStyle w:val="Normal"/>
        <w:spacing w:before="0" w:after="120"/>
        <w:rPr/>
      </w:pPr>
      <w:r>
        <w:rPr/>
        <w:t>Statt Copernicus können die Waldpolygone aus swissTLM3D gerastert werden (Raster → Konvertierung → Rasterisieren, Wert 100 für Wald, 0 sonst). Das ist gröber, weil echte Dichtewerte fehlen, und halbiert das Risiko im Wald immer.</w:t>
      </w:r>
      <w:r>
        <w:br w:type="page"/>
      </w:r>
    </w:p>
    <w:p>
      <w:pPr>
        <w:pStyle w:val="Heading1"/>
        <w:rPr/>
      </w:pPr>
      <w:bookmarkStart w:id="9" w:name="__RefHeading___Toc1178_784777474"/>
      <w:bookmarkEnd w:id="9"/>
      <w:r>
        <w:rPr/>
        <w:t>3  Aufbau des Skripts</w:t>
      </w:r>
    </w:p>
    <w:tbl>
      <w:tblPr>
        <w:tblW w:w="9026" w:type="dxa"/>
        <w:jc w:val="left"/>
        <w:tblInd w:w="0" w:type="dxa"/>
        <w:tblLayout w:type="fixed"/>
        <w:tblCellMar>
          <w:top w:w="60" w:type="dxa"/>
          <w:left w:w="100" w:type="dxa"/>
          <w:bottom w:w="60" w:type="dxa"/>
          <w:right w:w="100" w:type="dxa"/>
        </w:tblCellMar>
      </w:tblPr>
      <w:tblGrid>
        <w:gridCol w:w="2799"/>
        <w:gridCol w:w="6226"/>
      </w:tblGrid>
      <w:tr>
        <w:trPr>
          <w:tblHeader w:val="true"/>
        </w:trPr>
        <w:tc>
          <w:tcPr>
            <w:tcW w:w="279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Teil</w:t>
            </w:r>
          </w:p>
        </w:tc>
        <w:tc>
          <w:tcPr>
            <w:tcW w:w="62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Aufgabe</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NUM_PARAMS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Liste der einstellbaren Parameter. Sie erscheinen in QGIS unter „Erweiterte Parameter“.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bilinear</w:t>
            </w:r>
            <w:r>
              <w:rPr/>
              <w:t xml:space="preserve">, </w:t>
            </w:r>
            <w:r>
              <w:rPr>
                <w:rFonts w:eastAsia="Consolas" w:cs="Consolas" w:ascii="Consolas" w:hAnsi="Consolas"/>
                <w:color w:val="333333"/>
                <w:sz w:val="20"/>
                <w:szCs w:val="20"/>
              </w:rPr>
              <w:t>box_filter</w:t>
            </w:r>
            <w:r>
              <w:rPr/>
              <w:t xml:space="preserve">, </w:t>
            </w:r>
            <w:r>
              <w:rPr>
                <w:rFonts w:eastAsia="Consolas" w:cs="Consolas" w:ascii="Consolas" w:hAnsi="Consolas"/>
                <w:color w:val="333333"/>
                <w:sz w:val="20"/>
                <w:szCs w:val="20"/>
              </w:rPr>
              <w:t>Polyline</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Hilfsfunktionen, die scipy und shapely ersetzen. QGIS liefert diese Bibliotheken nicht immer mit, numpy und GDAL dagegen schon.</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vrm</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Berechnet die Faltigkeit des Geländes.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open_ds</w:t>
            </w:r>
            <w:r>
              <w:rPr/>
              <w:t xml:space="preserve">, </w:t>
            </w:r>
            <w:r>
              <w:rPr>
                <w:rFonts w:eastAsia="Consolas" w:cs="Consolas" w:ascii="Consolas" w:hAnsi="Consolas"/>
                <w:color w:val="333333"/>
                <w:sz w:val="20"/>
                <w:szCs w:val="20"/>
              </w:rPr>
              <w:t>close_ds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Öffnen das DEM und das Waldraster pro Thread nur einmal und halten sie offen.</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read_dem</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Liest einen DEM-Ausschnitt. Liegt das DEM schon im Ziel-CRS, direkt und am DEM-Gitter ausgerichtet, sonst über </w:t>
            </w:r>
            <w:r>
              <w:rPr>
                <w:rFonts w:eastAsia="Consolas" w:cs="Consolas" w:ascii="Consolas" w:hAnsi="Consolas"/>
                <w:color w:val="333333"/>
                <w:sz w:val="20"/>
                <w:szCs w:val="20"/>
              </w:rPr>
              <w:t>warp_grid</w:t>
            </w:r>
            <w:r>
              <w:rPr/>
              <w:t>.</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warp_grid</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Rechnet ein Raster (z.B. Wald) exakt auf das Rechengitter der Kachel um.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load_tile</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Liest DEM und Wald einer Kachel und berechnet Neigung, Gradient und Faltigkeit einmal.</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line_points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Legt alle 5 m einen Startpunkt mit Richtung und Normale auf ein Wegstück.</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evaluate_points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Der Kern: Wahrscheinlichkeitsterm, Absturzkante und Fallexperiment für alle Punkte einer Kachel gleichzeitig.</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make_segments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Fasst die Punkte eines Wegstücks zu 25-m-Segmenten zusammen.</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process_tile</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Verbindet die drei Schritte für alle Wegstücke einer Kachel.</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FallExposureAlgorithm</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Die Hülle für QGIS Processing: Eingabemaske, Einlesen, Kacheln, Threads, Schreiben, Laufzeit-Protokoll.</w:t>
            </w:r>
          </w:p>
        </w:tc>
      </w:tr>
    </w:tbl>
    <w:p>
      <w:pPr>
        <w:pStyle w:val="Normal"/>
        <w:spacing w:before="0" w:after="80"/>
        <w:rPr/>
      </w:pPr>
      <w:r>
        <w:rPr/>
      </w:r>
      <w:r>
        <w:br w:type="page"/>
      </w:r>
    </w:p>
    <w:p>
      <w:pPr>
        <w:pStyle w:val="Heading1"/>
        <w:rPr/>
      </w:pPr>
      <w:bookmarkStart w:id="10" w:name="__RefHeading___Toc1180_784777474"/>
      <w:bookmarkEnd w:id="10"/>
      <w:r>
        <w:rPr/>
        <w:t>4  Ablauf: Kacheln und Threads</w:t>
      </w:r>
    </w:p>
    <w:p>
      <w:pPr>
        <w:pStyle w:val="Heading2"/>
        <w:keepNext w:val="true"/>
        <w:rPr/>
      </w:pPr>
      <w:bookmarkStart w:id="11" w:name="__RefHeading___Toc1182_784777474"/>
      <w:bookmarkEnd w:id="11"/>
      <w:r>
        <w:rPr/>
        <w:t>4.1  Einlesen und Gruppieren</w:t>
      </w:r>
    </w:p>
    <w:p>
      <w:pPr>
        <w:pStyle w:val="Normal"/>
        <w:spacing w:before="0" w:after="120"/>
        <w:rPr/>
      </w:pPr>
      <w:r>
        <w:rPr/>
        <w:t>Der Hauptthread liest alle Wege, transformiert sie ins CRS des DEM und zerlegt MultiLineStrings in ihre Teile. Wege über 500 m (</w:t>
      </w:r>
      <w:r>
        <w:rPr>
          <w:rFonts w:eastAsia="Consolas" w:cs="Consolas" w:ascii="Consolas" w:hAnsi="Consolas"/>
          <w:color w:val="333333"/>
          <w:sz w:val="20"/>
          <w:szCs w:val="20"/>
        </w:rPr>
        <w:t>CHUNK_LEN</w:t>
      </w:r>
      <w:r>
        <w:rPr/>
        <w:t>) werden in gleich lange Stücke geteilt. Jedes Stück wird anhand seines Mittelpunkts einer 1-km-Kachel zugeordnet (</w:t>
      </w:r>
      <w:r>
        <w:rPr>
          <w:rFonts w:eastAsia="Consolas" w:cs="Consolas" w:ascii="Consolas" w:hAnsi="Consolas"/>
          <w:color w:val="333333"/>
          <w:sz w:val="20"/>
          <w:szCs w:val="20"/>
        </w:rPr>
        <w:t>TILE_SIZE</w:t>
      </w:r>
      <w:r>
        <w:rPr/>
        <w:t>).</w:t>
      </w:r>
    </w:p>
    <w:p>
      <w:pPr>
        <w:pStyle w:val="Normal"/>
        <w:spacing w:before="0" w:after="120"/>
        <w:rPr/>
      </w:pPr>
      <w:r>
        <w:rPr/>
        <w:t>Bei swissTLM3D sind das rund 434 000 Stücke in 32 000 Kacheln. Das Einlesen dauert etwa 40–50 Sekunden. In dieser Zeit bleibt der Fortschrittsbalken auf 0 %.</w:t>
      </w:r>
    </w:p>
    <w:p>
      <w:pPr>
        <w:pStyle w:val="Heading2"/>
        <w:keepNext w:val="true"/>
        <w:rPr/>
      </w:pPr>
      <w:bookmarkStart w:id="12" w:name="__RefHeading___Toc1184_784777474"/>
      <w:bookmarkEnd w:id="12"/>
      <w:r>
        <w:rPr/>
        <w:t>4.2  Rechnen pro Kachel</w:t>
      </w:r>
    </w:p>
    <w:p>
      <w:pPr>
        <w:pStyle w:val="Normal"/>
        <w:spacing w:before="0" w:after="120"/>
        <w:rPr/>
      </w:pPr>
      <w:r>
        <w:rPr/>
        <w:t>Um jede Kachel wird ein Rand gelesen, damit die Sturzbahnen nicht am Kachelrand abbrechen:</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Rand = 0.75 × CHUNK_LEN + MAX_PATH + 4 × RES + 20 m   (Standard: 803 m)</w:t>
            </w:r>
          </w:p>
        </w:tc>
      </w:tr>
    </w:tbl>
    <w:p>
      <w:pPr>
        <w:pStyle w:val="Normal"/>
        <w:spacing w:before="0" w:after="80"/>
        <w:rPr/>
      </w:pPr>
      <w:r>
        <w:rPr/>
      </w:r>
    </w:p>
    <w:p>
      <w:pPr>
        <w:pStyle w:val="Normal"/>
        <w:spacing w:before="0" w:after="120"/>
        <w:rPr/>
      </w:pPr>
      <w:r>
        <w:rPr/>
        <w:t>Das Rechenfenster einer 1-km-Kachel ist damit etwa 2.6 × 2.6 km gross. Statt für jeden kurzen Weg einen eigenen Ausschnitt zu lesen, werden alle Startpunkte der Kachel in einem einzigen, grossen Rechengang verarbeitet. Das ist der Hauptgrund für den Geschwindigkeitsgewinn gegenüber v2.</w:t>
      </w:r>
    </w:p>
    <w:p>
      <w:pPr>
        <w:pStyle w:val="Heading2"/>
        <w:keepNext w:val="true"/>
        <w:rPr/>
      </w:pPr>
      <w:bookmarkStart w:id="13" w:name="__RefHeading___Toc1186_784777474"/>
      <w:bookmarkEnd w:id="13"/>
      <w:r>
        <w:rPr/>
        <w:t>4.3  Threads</w:t>
      </w:r>
    </w:p>
    <w:p>
      <w:pPr>
        <w:pStyle w:val="Normal"/>
        <w:spacing w:before="0" w:after="120"/>
        <w:rPr/>
      </w:pPr>
      <w:r>
        <w:rPr/>
        <w:t>Die Kacheln werden auf mehrere Threads verteilt (Parameter „Anzahl paralleler Threads“, Standard: alle Kerne). Die Threads arbeiten nur mit numpy und GDAL. QGIS-Objekte werden ausschliesslich im Hauptthread verwendet, weil sie nicht threadsicher sind. Der Hauptthread schreibt die fertigen Segmente in die Ausgabe. Eine begrenzte Warteschlange hält den Speicherbedarf klein.</w:t>
      </w:r>
    </w:p>
    <w:p>
      <w:pPr>
        <w:pStyle w:val="Normal"/>
        <w:spacing w:before="0" w:after="120"/>
        <w:rPr/>
      </w:pPr>
      <w:r>
        <w:rPr/>
        <w:t>Jeder Thread öffnet DEM und Waldraster einmal und behält sie offen. GDAL-Handles sind nicht threadsicher, deshalb hat jeder Thread sein eigenes.</w:t>
      </w:r>
      <w:r>
        <w:br w:type="page"/>
      </w:r>
    </w:p>
    <w:p>
      <w:pPr>
        <w:pStyle w:val="Heading1"/>
        <w:rPr/>
      </w:pPr>
      <w:bookmarkStart w:id="14" w:name="__RefHeading___Toc1188_784777474"/>
      <w:bookmarkEnd w:id="14"/>
      <w:r>
        <w:rPr/>
        <w:t>5  DEM-Ausschnitt und abgeleitete Raster</w:t>
      </w:r>
    </w:p>
    <w:p>
      <w:pPr>
        <w:pStyle w:val="Normal"/>
        <w:spacing w:before="0" w:after="120"/>
        <w:rPr/>
      </w:pPr>
      <w:r>
        <w:rPr/>
        <w:t xml:space="preserve">Das Rechengitter der Kachel wird exakt am Gitter des DEM ausgerichtet. Bei einem 2-m-DEM und </w:t>
      </w:r>
      <w:r>
        <w:rPr>
          <w:rFonts w:eastAsia="Consolas" w:cs="Consolas" w:ascii="Consolas" w:hAnsi="Consolas"/>
          <w:color w:val="333333"/>
          <w:sz w:val="20"/>
          <w:szCs w:val="20"/>
        </w:rPr>
        <w:t>RES</w:t>
      </w:r>
      <w:r>
        <w:rPr/>
        <w:t xml:space="preserve"> = 2 werden die Höhen also unverändert übernommen. Bei einem feineren DEM wird auf </w:t>
      </w:r>
      <w:r>
        <w:rPr>
          <w:rFonts w:eastAsia="Consolas" w:cs="Consolas" w:ascii="Consolas" w:hAnsi="Consolas"/>
          <w:color w:val="333333"/>
          <w:sz w:val="20"/>
          <w:szCs w:val="20"/>
        </w:rPr>
        <w:t>RES</w:t>
      </w:r>
      <w:r>
        <w:rPr/>
        <w:t xml:space="preserve"> gemittelt, was Mikrorelief wie Steine oder Grasbüschel glättet.</w:t>
      </w:r>
    </w:p>
    <w:p>
      <w:pPr>
        <w:pStyle w:val="Normal"/>
        <w:spacing w:before="0" w:after="120"/>
        <w:rPr/>
      </w:pPr>
      <w:r>
        <w:rPr/>
        <w:t>Aus dem Ausschnitt werden berechnet:</w:t>
      </w:r>
    </w:p>
    <w:p>
      <w:pPr>
        <w:pStyle w:val="ListParagraph"/>
        <w:numPr>
          <w:ilvl w:val="0"/>
          <w:numId w:val="1"/>
        </w:numPr>
        <w:spacing w:before="0" w:after="60"/>
        <w:rPr/>
      </w:pPr>
      <w:r>
        <w:rPr>
          <w:b/>
          <w:bCs/>
        </w:rPr>
        <w:t>Gradient</w:t>
      </w:r>
      <w:r>
        <w:rPr/>
        <w:t xml:space="preserve"> </w:t>
      </w:r>
      <w:r>
        <w:rPr>
          <w:rFonts w:eastAsia="Consolas" w:cs="Consolas" w:ascii="Consolas" w:hAnsi="Consolas"/>
          <w:color w:val="333333"/>
          <w:sz w:val="20"/>
          <w:szCs w:val="20"/>
        </w:rPr>
        <w:t>gx</w:t>
      </w:r>
      <w:r>
        <w:rPr/>
        <w:t xml:space="preserve">, </w:t>
      </w:r>
      <w:r>
        <w:rPr>
          <w:rFonts w:eastAsia="Consolas" w:cs="Consolas" w:ascii="Consolas" w:hAnsi="Consolas"/>
          <w:color w:val="333333"/>
          <w:sz w:val="20"/>
          <w:szCs w:val="20"/>
        </w:rPr>
        <w:t>gy</w:t>
      </w:r>
      <w:r>
        <w:rPr/>
        <w:t>: in welche Richtung und wie stark das Gelände abfällt. Daraus ergibt sich die Neigung in Grad.</w:t>
      </w:r>
    </w:p>
    <w:p>
      <w:pPr>
        <w:pStyle w:val="ListParagraph"/>
        <w:numPr>
          <w:ilvl w:val="0"/>
          <w:numId w:val="1"/>
        </w:numPr>
        <w:spacing w:before="0" w:after="60"/>
        <w:rPr/>
      </w:pPr>
      <w:r>
        <w:rPr>
          <w:b/>
          <w:bCs/>
        </w:rPr>
        <w:t>Faltigkeit</w:t>
      </w:r>
      <w:r>
        <w:rPr/>
        <w:t xml:space="preserve"> als Vector Ruggedness Measure (VRM). Pro Zelle wird geprüft, wie stark die Flächennormalen im 5×5-Fenster in verschiedene Richtungen zeigen. Ein glatter Hang, auch ein steiler, ergibt 0. Zerfurchtes Gelände mit Rinnen und Felsblöcken ergibt Werte gegen 0.1–0.3.</w:t>
      </w:r>
    </w:p>
    <w:p>
      <w:pPr>
        <w:pStyle w:val="ListParagraph"/>
        <w:numPr>
          <w:ilvl w:val="0"/>
          <w:numId w:val="1"/>
        </w:numPr>
        <w:spacing w:before="0" w:after="60"/>
        <w:rPr/>
      </w:pPr>
      <w:r>
        <w:rPr>
          <w:b/>
          <w:bCs/>
        </w:rPr>
        <w:t>Walddichte</w:t>
      </w:r>
      <w:r>
        <w:rPr/>
        <w:t>, falls angegeben. Sie wird exakt auf dasselbe Gitter umgerechnet, ihr CRS spielt keine Rolle.</w:t>
      </w:r>
    </w:p>
    <w:p>
      <w:pPr>
        <w:pStyle w:val="Normal"/>
        <w:spacing w:before="0" w:after="120"/>
        <w:rPr/>
      </w:pPr>
      <w:r>
        <w:rPr/>
        <w:t>Fehlen im Ausschnitt Höhenwerte (ausserhalb des DEM), werden sie mit dem Mittelwert des Ausschnitts gefüllt. Das betrifft nur Wege am Rand des Datengebiets.</w:t>
      </w:r>
    </w:p>
    <w:p>
      <w:pPr>
        <w:pStyle w:val="Heading1"/>
        <w:rPr/>
      </w:pPr>
      <w:bookmarkStart w:id="15" w:name="__RefHeading___Toc1190_784777474"/>
      <w:bookmarkEnd w:id="15"/>
      <w:r>
        <w:rPr/>
        <w:t>6  Wahrscheinlichkeitsterm</w:t>
      </w:r>
    </w:p>
    <w:p>
      <w:pPr>
        <w:pStyle w:val="Normal"/>
        <w:spacing w:before="0" w:after="120"/>
        <w:rPr/>
      </w:pPr>
      <w:r>
        <w:rPr/>
        <w:t xml:space="preserve">Wie leicht stürzt man an dieser Stelle? Quer über die Wegtrasse (±1.5 m, </w:t>
      </w:r>
      <w:r>
        <w:rPr>
          <w:rFonts w:eastAsia="Consolas" w:cs="Consolas" w:ascii="Consolas" w:hAnsi="Consolas"/>
          <w:color w:val="333333"/>
          <w:sz w:val="20"/>
          <w:szCs w:val="20"/>
        </w:rPr>
        <w:t>HALFWIDTH</w:t>
      </w:r>
      <w:r>
        <w:rPr/>
        <w:t>) wird an fünf Punkten gemessen:</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prob = max( Hangneigung, k1 × Faltigkeit, p_min )</w:t>
            </w:r>
          </w:p>
        </w:tc>
      </w:tr>
    </w:tbl>
    <w:p>
      <w:pPr>
        <w:pStyle w:val="Normal"/>
        <w:spacing w:before="0" w:after="80"/>
        <w:rPr/>
      </w:pPr>
      <w:r>
        <w:rPr/>
      </w:r>
    </w:p>
    <w:p>
      <w:pPr>
        <w:pStyle w:val="ListParagraph"/>
        <w:numPr>
          <w:ilvl w:val="0"/>
          <w:numId w:val="1"/>
        </w:numPr>
        <w:spacing w:before="0" w:after="60"/>
        <w:rPr/>
      </w:pPr>
      <w:r>
        <w:rPr>
          <w:b/>
          <w:bCs/>
        </w:rPr>
        <w:t>Hangneigung:</w:t>
      </w:r>
      <w:r>
        <w:rPr/>
        <w:t xml:space="preserve"> das Maximum über die Trasse. Gemeint ist die Neigung des Geländes, nicht das Gefälle entlang des Wegs. Ein flacher Weg in einer 40°-Flanke bekommt also 40°.</w:t>
      </w:r>
    </w:p>
    <w:p>
      <w:pPr>
        <w:pStyle w:val="ListParagraph"/>
        <w:numPr>
          <w:ilvl w:val="0"/>
          <w:numId w:val="1"/>
        </w:numPr>
        <w:spacing w:before="0" w:after="60"/>
        <w:rPr/>
      </w:pPr>
      <w:r>
        <w:rPr>
          <w:b/>
          <w:bCs/>
        </w:rPr>
        <w:t>k1 × Faltigkeit:</w:t>
      </w:r>
      <w:r>
        <w:rPr/>
        <w:t xml:space="preserve"> Mit k1 = 300 entspricht eine Faltigkeit von 0.1 dem Wert von 30°. So kann auch unruhiges, mässig steiles Gelände als stolperträchtig gelten.</w:t>
      </w:r>
    </w:p>
    <w:p>
      <w:pPr>
        <w:pStyle w:val="ListParagraph"/>
        <w:numPr>
          <w:ilvl w:val="0"/>
          <w:numId w:val="1"/>
        </w:numPr>
        <w:spacing w:before="0" w:after="60"/>
        <w:rPr/>
      </w:pPr>
      <w:r>
        <w:rPr>
          <w:b/>
          <w:bCs/>
        </w:rPr>
        <w:t>p_min = 10°:</w:t>
      </w:r>
      <w:r>
        <w:rPr/>
        <w:t xml:space="preserve"> Stolpern kann man überall, deshalb wird der Wert nie 0.</w:t>
      </w:r>
    </w:p>
    <w:p>
      <w:pPr>
        <w:pStyle w:val="Normal"/>
        <w:spacing w:before="120" w:after="120"/>
        <w:rPr/>
      </w:pPr>
      <w:r>
        <w:rPr/>
        <w:t>Nebenbei wird die Höhe am Weg (</w:t>
      </w:r>
      <w:r>
        <w:rPr>
          <w:rFonts w:eastAsia="Consolas" w:cs="Consolas" w:ascii="Consolas" w:hAnsi="Consolas"/>
          <w:color w:val="333333"/>
          <w:sz w:val="20"/>
          <w:szCs w:val="20"/>
        </w:rPr>
        <w:t>z0</w:t>
      </w:r>
      <w:r>
        <w:rPr/>
        <w:t>) als Median der fünf Punkte bestimmt. Der Median macht sie robust gegen Lagefehler der Wege von 1–2 m.</w:t>
      </w:r>
    </w:p>
    <w:p>
      <w:pPr>
        <w:pStyle w:val="Heading1"/>
        <w:rPr/>
      </w:pPr>
      <w:bookmarkStart w:id="16" w:name="__RefHeading___Toc1192_784777474"/>
      <w:bookmarkEnd w:id="16"/>
      <w:r>
        <w:rPr/>
        <w:t>7  Absturzkante direkt am Weg</w:t>
      </w:r>
    </w:p>
    <w:p>
      <w:pPr>
        <w:pStyle w:val="Normal"/>
        <w:spacing w:before="0" w:after="120"/>
        <w:rPr/>
      </w:pPr>
      <w:r>
        <w:rPr/>
        <w:t>Zwischen dem Wegrand und 5 m daneben (</w:t>
      </w:r>
      <w:r>
        <w:rPr>
          <w:rFonts w:eastAsia="Consolas" w:cs="Consolas" w:ascii="Consolas" w:hAnsi="Consolas"/>
          <w:color w:val="333333"/>
          <w:sz w:val="20"/>
          <w:szCs w:val="20"/>
        </w:rPr>
        <w:t>NEAR_DIST</w:t>
      </w:r>
      <w:r>
        <w:rPr/>
        <w:t>) wird beidseitig geprüft, ob das Gelände steiler als 60° ist (</w:t>
      </w:r>
      <w:r>
        <w:rPr>
          <w:rFonts w:eastAsia="Consolas" w:cs="Consolas" w:ascii="Consolas" w:hAnsi="Consolas"/>
          <w:color w:val="333333"/>
          <w:sz w:val="20"/>
          <w:szCs w:val="20"/>
        </w:rPr>
        <w:t>CLIFF_DEG</w:t>
      </w:r>
      <w:r>
        <w:rPr/>
        <w:t xml:space="preserve">) und mehr als 2 m unter dem Weg liegt. Trifft beides zu, wird </w:t>
      </w:r>
      <w:r>
        <w:rPr>
          <w:rFonts w:eastAsia="Consolas" w:cs="Consolas" w:ascii="Consolas" w:hAnsi="Consolas"/>
          <w:color w:val="333333"/>
          <w:sz w:val="20"/>
          <w:szCs w:val="20"/>
        </w:rPr>
        <w:t>immediate_drop</w:t>
      </w:r>
      <w:r>
        <w:rPr/>
        <w:t xml:space="preserve"> gesetzt. Das entspricht der pinken Signatur der DIGIWAY Exposure Map: Ein Fehltritt führt sofort in den freien Fall.</w:t>
      </w:r>
      <w:r>
        <w:br w:type="page"/>
      </w:r>
    </w:p>
    <w:p>
      <w:pPr>
        <w:pStyle w:val="Heading1"/>
        <w:rPr/>
      </w:pPr>
      <w:bookmarkStart w:id="17" w:name="__RefHeading___Toc1194_784777474"/>
      <w:bookmarkEnd w:id="17"/>
      <w:r>
        <w:rPr/>
        <w:t>8  Das virtuelle Fallexperiment</w:t>
      </w:r>
    </w:p>
    <w:p>
      <w:pPr>
        <w:pStyle w:val="Normal"/>
        <w:spacing w:before="0" w:after="120"/>
        <w:rPr/>
      </w:pPr>
      <w:r>
        <w:rPr/>
        <w:t>Das ist der Kern des Skripts. Von jedem Startpunkt startet links und rechts am Wegrand je ein gedachter Gleitblock. Alle Blöcke einer Kachel werden gleichzeitig als numpy-Arrays gerechnet. Blöcke, die zum Stillstand gekommen sind, werden aus der Rechnung genommen, so wird jeder Schritt schneller.</w:t>
      </w:r>
    </w:p>
    <w:p>
      <w:pPr>
        <w:pStyle w:val="Heading2"/>
        <w:keepNext w:val="true"/>
        <w:rPr/>
      </w:pPr>
      <w:bookmarkStart w:id="18" w:name="__RefHeading___Toc1196_784777474"/>
      <w:bookmarkEnd w:id="18"/>
      <w:r>
        <w:rPr/>
        <w:t>8.1  Bewegung</w:t>
      </w:r>
    </w:p>
    <w:p>
      <w:pPr>
        <w:pStyle w:val="Normal"/>
        <w:spacing w:before="0" w:after="120"/>
        <w:rPr/>
      </w:pPr>
      <w:r>
        <w:rPr/>
        <w:t>Der Block geht in jedem Schritt 2 m in Richtung des steilsten Abstiegs, also gegen den Gradienten. Er folgt damit der Falllinie wie Wasser. Das ist realistischer als ein gerades Querprofil, weil Stürze in Rinnen abgelenkt werden.</w:t>
      </w:r>
    </w:p>
    <w:p>
      <w:pPr>
        <w:pStyle w:val="Heading2"/>
        <w:keepNext w:val="true"/>
        <w:rPr/>
      </w:pPr>
      <w:bookmarkStart w:id="19" w:name="__RefHeading___Toc1198_784777474"/>
      <w:bookmarkEnd w:id="19"/>
      <w:r>
        <w:rPr/>
        <w:t>8.2  Energie</w:t>
      </w:r>
    </w:p>
    <w:p>
      <w:pPr>
        <w:pStyle w:val="Normal"/>
        <w:spacing w:before="0" w:after="120"/>
        <w:rPr/>
      </w:pPr>
      <w:r>
        <w:rPr/>
        <w:t xml:space="preserve">Statt Geschwindigkeiten rechnet das Skript mit der kinetischen Höhe </w:t>
      </w:r>
      <w:r>
        <w:rPr>
          <w:rFonts w:eastAsia="Consolas" w:cs="Consolas" w:ascii="Consolas" w:hAnsi="Consolas"/>
          <w:color w:val="333333"/>
          <w:sz w:val="20"/>
          <w:szCs w:val="20"/>
        </w:rPr>
        <w:t>hk</w:t>
      </w:r>
      <w:r>
        <w:rPr/>
        <w:t>, also der Höhe, die der Block in Geschwindigkeit umgewandelt hat:</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hk = hk + Höhenverlust − mu × Wegstrecke − hk × Wegstrecke / drag_len</w:t>
            </w:r>
          </w:p>
          <w:p>
            <w:pPr>
              <w:pStyle w:val="Normal"/>
              <w:spacing w:before="0" w:after="0"/>
              <w:rPr/>
            </w:pPr>
            <w:r>
              <w:rPr>
                <w:rFonts w:eastAsia="Consolas" w:cs="Consolas" w:ascii="Consolas" w:hAnsi="Consolas"/>
                <w:sz w:val="18"/>
                <w:szCs w:val="18"/>
              </w:rPr>
              <w:t>v  = √(2 · g · hk)</w:t>
            </w:r>
          </w:p>
        </w:tc>
      </w:tr>
    </w:tbl>
    <w:p>
      <w:pPr>
        <w:pStyle w:val="Normal"/>
        <w:spacing w:before="0" w:after="80"/>
        <w:rPr/>
      </w:pPr>
      <w:r>
        <w:rPr/>
      </w:r>
    </w:p>
    <w:p>
      <w:pPr>
        <w:pStyle w:val="ListParagraph"/>
        <w:numPr>
          <w:ilvl w:val="0"/>
          <w:numId w:val="1"/>
        </w:numPr>
        <w:spacing w:before="0" w:after="60"/>
        <w:rPr/>
      </w:pPr>
      <w:r>
        <w:rPr>
          <w:b/>
          <w:bCs/>
        </w:rPr>
        <w:t>Höhenverlust:</w:t>
      </w:r>
      <w:r>
        <w:rPr/>
        <w:t xml:space="preserve"> Jeder Meter abwärts gibt Energie.</w:t>
      </w:r>
    </w:p>
    <w:p>
      <w:pPr>
        <w:pStyle w:val="ListParagraph"/>
        <w:numPr>
          <w:ilvl w:val="0"/>
          <w:numId w:val="1"/>
        </w:numPr>
        <w:spacing w:before="0" w:after="60"/>
        <w:rPr/>
      </w:pPr>
      <w:r>
        <w:rPr>
          <w:b/>
          <w:bCs/>
        </w:rPr>
        <w:t>mu × Strecke</w:t>
      </w:r>
      <w:r>
        <w:rPr/>
        <w:t xml:space="preserve"> (Gleitreibung, μ = 0.6): Gelände flacher als etwa 31° (arctan 0.6) bremst den Block.</w:t>
      </w:r>
    </w:p>
    <w:p>
      <w:pPr>
        <w:pStyle w:val="ListParagraph"/>
        <w:numPr>
          <w:ilvl w:val="0"/>
          <w:numId w:val="1"/>
        </w:numPr>
        <w:spacing w:before="0" w:after="60"/>
        <w:rPr/>
      </w:pPr>
      <w:r>
        <w:rPr>
          <w:b/>
          <w:bCs/>
        </w:rPr>
        <w:t>hk × Strecke / drag_len</w:t>
      </w:r>
      <w:r>
        <w:rPr/>
        <w:t xml:space="preserve"> (100 m): Je schneller der Block ist, desto stärker bremst er, wie beim Taumeln. Ohne diesen Term würde er auf einem langen Hang unbegrenzt schneller. So erreicht er auf einem gleichmässigen Hang eine Endgeschwindigkeit:</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hk_end = drag_len × (tan Neigung − mu)</w:t>
            </w:r>
          </w:p>
        </w:tc>
      </w:tr>
    </w:tbl>
    <w:p>
      <w:pPr>
        <w:pStyle w:val="Normal"/>
        <w:spacing w:before="0" w:after="80"/>
        <w:rPr/>
      </w:pPr>
      <w:r>
        <w:rPr/>
      </w:r>
    </w:p>
    <w:p>
      <w:pPr>
        <w:pStyle w:val="Heading2"/>
        <w:keepNext w:val="true"/>
        <w:rPr/>
      </w:pPr>
      <w:bookmarkStart w:id="20" w:name="__RefHeading___Toc1200_784777474"/>
      <w:bookmarkEnd w:id="20"/>
      <w:r>
        <w:rPr/>
        <w:t>8.3  Abbruch und Ergebnis</w:t>
      </w:r>
    </w:p>
    <w:p>
      <w:pPr>
        <w:pStyle w:val="Normal"/>
        <w:spacing w:before="0" w:after="120"/>
        <w:rPr/>
      </w:pPr>
      <w:r>
        <w:rPr/>
        <w:t xml:space="preserve">Der Lauf endet, wenn </w:t>
      </w:r>
      <w:r>
        <w:rPr>
          <w:rFonts w:eastAsia="Consolas" w:cs="Consolas" w:ascii="Consolas" w:hAnsi="Consolas"/>
          <w:color w:val="333333"/>
          <w:sz w:val="20"/>
          <w:szCs w:val="20"/>
        </w:rPr>
        <w:t>hk</w:t>
      </w:r>
      <w:r>
        <w:rPr/>
        <w:t xml:space="preserve"> auf 0 fällt (Sturz gestoppt), wenn das Gelände flach ist (kein Gradient) oder nach 400 m. Gespeichert werden die höchste erreichte Geschwindigkeit </w:t>
      </w:r>
      <w:r>
        <w:rPr>
          <w:rFonts w:eastAsia="Consolas" w:cs="Consolas" w:ascii="Consolas" w:hAnsi="Consolas"/>
          <w:color w:val="333333"/>
          <w:sz w:val="20"/>
          <w:szCs w:val="20"/>
        </w:rPr>
        <w:t>v_max</w:t>
      </w:r>
      <w:r>
        <w:rPr/>
        <w:t xml:space="preserve"> und die Fallhöhe bis zu diesem Punkt (</w:t>
      </w:r>
      <w:r>
        <w:rPr>
          <w:rFonts w:eastAsia="Consolas" w:cs="Consolas" w:ascii="Consolas" w:hAnsi="Consolas"/>
          <w:color w:val="333333"/>
          <w:sz w:val="20"/>
          <w:szCs w:val="20"/>
        </w:rPr>
        <w:t>drop_m</w:t>
      </w:r>
      <w:r>
        <w:rPr/>
        <w:t>).</w:t>
      </w:r>
    </w:p>
    <w:p>
      <w:pPr>
        <w:pStyle w:val="Heading2"/>
        <w:keepNext w:val="true"/>
        <w:rPr/>
      </w:pPr>
      <w:bookmarkStart w:id="21" w:name="__RefHeading___Toc1202_784777474"/>
      <w:bookmarkEnd w:id="21"/>
      <w:r>
        <w:rPr/>
        <w:t>8.4  Beispiel mit den Standardwerten</w:t>
      </w:r>
    </w:p>
    <w:tbl>
      <w:tblPr>
        <w:tblW w:w="9026" w:type="dxa"/>
        <w:jc w:val="left"/>
        <w:tblInd w:w="0" w:type="dxa"/>
        <w:tblLayout w:type="fixed"/>
        <w:tblCellMar>
          <w:top w:w="60" w:type="dxa"/>
          <w:left w:w="100" w:type="dxa"/>
          <w:bottom w:w="60" w:type="dxa"/>
          <w:right w:w="100" w:type="dxa"/>
        </w:tblCellMar>
      </w:tblPr>
      <w:tblGrid>
        <w:gridCol w:w="2400"/>
        <w:gridCol w:w="3826"/>
        <w:gridCol w:w="2800"/>
      </w:tblGrid>
      <w:tr>
        <w:trPr>
          <w:tblHeader w:val="true"/>
        </w:trPr>
        <w:tc>
          <w:tcPr>
            <w:tcW w:w="24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Hang</w:t>
            </w:r>
          </w:p>
        </w:tc>
        <w:tc>
          <w:tcPr>
            <w:tcW w:w="38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hk_end</w:t>
            </w:r>
          </w:p>
        </w:tc>
        <w:tc>
          <w:tcPr>
            <w:tcW w:w="28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v_max</w:t>
            </w:r>
          </w:p>
        </w:tc>
      </w:tr>
      <w:tr>
        <w:trPr/>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30°</w:t>
            </w:r>
          </w:p>
        </w:tc>
        <w:tc>
          <w:tcPr>
            <w:tcW w:w="38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0 m (tan 30° = 0.58 &lt; 0.6)</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0 m/s, man bleibt liegen</w:t>
            </w:r>
          </w:p>
        </w:tc>
      </w:tr>
      <w:tr>
        <w:trPr/>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35°</w:t>
            </w:r>
          </w:p>
        </w:tc>
        <w:tc>
          <w:tcPr>
            <w:tcW w:w="38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100 × (0.70 − 0.6) = 10 m</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14 m/s</w:t>
            </w:r>
          </w:p>
        </w:tc>
      </w:tr>
      <w:tr>
        <w:trPr/>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45°</w:t>
            </w:r>
          </w:p>
        </w:tc>
        <w:tc>
          <w:tcPr>
            <w:tcW w:w="38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100 × (1.00 − 0.6) = 40 m</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28 m/s</w:t>
            </w:r>
          </w:p>
        </w:tc>
      </w:tr>
      <w:tr>
        <w:trPr/>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Felswand</w:t>
            </w:r>
          </w:p>
        </w:tc>
        <w:tc>
          <w:tcPr>
            <w:tcW w:w="38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Fallhöhe fast ungebremst</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30 m/s nach 50 m</w:t>
            </w:r>
          </w:p>
        </w:tc>
      </w:tr>
    </w:tbl>
    <w:p>
      <w:pPr>
        <w:pStyle w:val="Normal"/>
        <w:spacing w:before="0" w:after="80"/>
        <w:rPr/>
      </w:pPr>
      <w:r>
        <w:rPr/>
      </w:r>
    </w:p>
    <w:p>
      <w:pPr>
        <w:pStyle w:val="Heading2"/>
        <w:keepNext w:val="true"/>
        <w:rPr/>
      </w:pPr>
      <w:bookmarkStart w:id="22" w:name="__RefHeading___Toc1204_784777474"/>
      <w:bookmarkEnd w:id="22"/>
      <w:r>
        <w:rPr/>
        <w:t>8.5  Stabilität</w:t>
      </w:r>
    </w:p>
    <w:p>
      <w:pPr>
        <w:pStyle w:val="Normal"/>
        <w:spacing w:before="0" w:after="120"/>
        <w:rPr/>
      </w:pPr>
      <w:r>
        <w:rPr/>
        <w:t>Geprüft wurde auch, wie empfindlich das Ergebnis auf kleine Lagefehler reagiert: Werden alle Wege um rund 1 m verschoben, wechseln 0.9 % der Segmente die Klasse, 0.2 % um zwei Klassen. Varianten mit mehreren Startblöcken pro Seite und geglättetem DEM brachten keine messbare Verbesserung, kosteten aber rund 40 % mehr Rechenzeit. Sie wurden deshalb nicht übernommen.</w:t>
      </w:r>
    </w:p>
    <w:p>
      <w:pPr>
        <w:pStyle w:val="Heading1"/>
        <w:rPr/>
      </w:pPr>
      <w:bookmarkStart w:id="23" w:name="__RefHeading___Toc1206_784777474"/>
      <w:bookmarkEnd w:id="23"/>
      <w:r>
        <w:rPr/>
        <w:t>9  Waldfaktor</w:t>
      </w:r>
    </w:p>
    <w:p>
      <w:pPr>
        <w:pStyle w:val="Normal"/>
        <w:spacing w:before="0" w:after="120"/>
        <w:rPr/>
      </w:pPr>
      <w:r>
        <w:rPr/>
        <w:t>Während der ersten 50 m der Sturzbahn (</w:t>
      </w:r>
      <w:r>
        <w:rPr>
          <w:rFonts w:eastAsia="Consolas" w:cs="Consolas" w:ascii="Consolas" w:hAnsi="Consolas"/>
          <w:color w:val="333333"/>
          <w:sz w:val="20"/>
          <w:szCs w:val="20"/>
        </w:rPr>
        <w:t>FOREST_LEN</w:t>
      </w:r>
      <w:r>
        <w:rPr/>
        <w:t>) wird die Walddichte gemittelt. Dann gilt die Regel von Skitourenguru:</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fd &lt; 60 %  → Faktor 1                    (lichter Wald bremst nicht)</w:t>
            </w:r>
          </w:p>
          <w:p>
            <w:pPr>
              <w:pStyle w:val="Normal"/>
              <w:spacing w:before="0" w:after="0"/>
              <w:rPr/>
            </w:pPr>
            <w:r>
              <w:rPr>
                <w:rFonts w:eastAsia="Consolas" w:cs="Consolas" w:ascii="Consolas" w:hAnsi="Consolas"/>
                <w:sz w:val="18"/>
                <w:szCs w:val="18"/>
              </w:rPr>
              <w:t>fd ≥ 60 %  → 1 − (fd − 60) × 0.5 / 40    (100 % → 0.5)</w:t>
            </w:r>
          </w:p>
        </w:tc>
      </w:tr>
    </w:tbl>
    <w:p>
      <w:pPr>
        <w:pStyle w:val="Normal"/>
        <w:spacing w:before="0" w:after="80"/>
        <w:rPr/>
      </w:pPr>
      <w:r>
        <w:rPr/>
      </w:r>
    </w:p>
    <w:p>
      <w:pPr>
        <w:pStyle w:val="Normal"/>
        <w:spacing w:before="0" w:after="120"/>
        <w:rPr/>
      </w:pPr>
      <w:r>
        <w:rPr/>
        <w:t>Ohne Waldraster ist der Faktor immer 1. Im Test am Hirzli (GL) wechselten die Zickzackwege im dichten Wald mit Wald von „hoch“ zu „mässig“, ausserhalb des Waldes blieb alles gleich.</w:t>
      </w:r>
      <w:r>
        <w:br w:type="page"/>
      </w:r>
    </w:p>
    <w:p>
      <w:pPr>
        <w:pStyle w:val="Heading1"/>
        <w:rPr/>
      </w:pPr>
      <w:bookmarkStart w:id="24" w:name="__RefHeading___Toc1208_784777474"/>
      <w:bookmarkEnd w:id="24"/>
      <w:r>
        <w:rPr/>
        <w:t>10  Risiko und Klasse</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risk = prob × v_max × Waldfaktor        (Einheit: Grad · m/s)</w:t>
            </w:r>
          </w:p>
        </w:tc>
      </w:tr>
    </w:tbl>
    <w:p>
      <w:pPr>
        <w:pStyle w:val="Normal"/>
        <w:spacing w:before="0" w:after="80"/>
        <w:rPr/>
      </w:pPr>
      <w:r>
        <w:rPr/>
      </w:r>
    </w:p>
    <w:p>
      <w:pPr>
        <w:pStyle w:val="Normal"/>
        <w:spacing w:before="0" w:after="120"/>
        <w:rPr/>
      </w:pPr>
      <w:r>
        <w:rPr/>
        <w:t>Pro Startpunkt zählt die gefährlichere der beiden Seiten. Die Klasse ergibt sich aus den Grenzen 200 / 600 / 1500 (Parameter „Klassengrenzen“):</w:t>
      </w:r>
    </w:p>
    <w:tbl>
      <w:tblPr>
        <w:tblW w:w="9026" w:type="dxa"/>
        <w:jc w:val="left"/>
        <w:tblInd w:w="0" w:type="dxa"/>
        <w:tblLayout w:type="fixed"/>
        <w:tblCellMar>
          <w:top w:w="60" w:type="dxa"/>
          <w:left w:w="100" w:type="dxa"/>
          <w:bottom w:w="60" w:type="dxa"/>
          <w:right w:w="100" w:type="dxa"/>
        </w:tblCellMar>
      </w:tblPr>
      <w:tblGrid>
        <w:gridCol w:w="4513"/>
        <w:gridCol w:w="4512"/>
      </w:tblGrid>
      <w:tr>
        <w:trPr>
          <w:tblHeader w:val="true"/>
        </w:trPr>
        <w:tc>
          <w:tcPr>
            <w:tcW w:w="4513"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risk</w:t>
            </w:r>
          </w:p>
        </w:tc>
        <w:tc>
          <w:tcPr>
            <w:tcW w:w="4512"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Klasse</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&lt; 200</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 gering</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200–600</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 mässig</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600–1500</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 hoch</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 </w:t>
            </w:r>
            <w:r>
              <w:rPr/>
              <w:t>1500</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 sehr hoch</w:t>
            </w:r>
          </w:p>
        </w:tc>
      </w:tr>
    </w:tbl>
    <w:p>
      <w:pPr>
        <w:pStyle w:val="Normal"/>
        <w:spacing w:before="0" w:after="80"/>
        <w:rPr/>
      </w:pPr>
      <w:r>
        <w:rPr/>
      </w:r>
    </w:p>
    <w:p>
      <w:pPr>
        <w:pStyle w:val="Normal"/>
        <w:spacing w:before="0" w:after="120"/>
        <w:rPr/>
      </w:pPr>
      <w:r>
        <w:rPr>
          <w:b/>
          <w:bCs/>
        </w:rPr>
        <w:t>Zusatzregel:</w:t>
      </w:r>
      <w:r>
        <w:rPr/>
        <w:t xml:space="preserve"> Ist das Gelände am Weg steiler als 35° (</w:t>
      </w:r>
      <w:r>
        <w:rPr>
          <w:rFonts w:eastAsia="Consolas" w:cs="Consolas" w:ascii="Consolas" w:hAnsi="Consolas"/>
          <w:color w:val="333333"/>
          <w:sz w:val="20"/>
          <w:szCs w:val="20"/>
        </w:rPr>
        <w:t>STEEP_DEG</w:t>
      </w:r>
      <w:r>
        <w:rPr/>
        <w:t>), gilt mindestens Klasse 2.</w:t>
      </w:r>
    </w:p>
    <w:p>
      <w:pPr>
        <w:pStyle w:val="Normal"/>
        <w:spacing w:before="0" w:after="120"/>
        <w:rPr/>
      </w:pPr>
      <w:r>
        <w:rPr>
          <w:b/>
          <w:bCs/>
        </w:rPr>
        <w:t>Beispiel:</w:t>
      </w:r>
      <w:r>
        <w:rPr/>
        <w:t xml:space="preserve"> Ein Weg in einer 45°-Flanke ergibt 45° × 28 m/s = 1260, also „hoch“.</w:t>
      </w:r>
    </w:p>
    <w:p>
      <w:pPr>
        <w:pStyle w:val="Heading2"/>
        <w:keepNext w:val="true"/>
        <w:rPr/>
      </w:pPr>
      <w:bookmarkStart w:id="25" w:name="__RefHeading___Toc1210_784777474"/>
      <w:bookmarkEnd w:id="25"/>
      <w:r>
        <w:rPr/>
        <w:t>10.1  Zusammenfassen zu 25-m-Segmenten</w:t>
      </w:r>
    </w:p>
    <w:p>
      <w:pPr>
        <w:pStyle w:val="Normal"/>
        <w:spacing w:before="0" w:after="120"/>
        <w:rPr/>
      </w:pPr>
      <w:r>
        <w:rPr/>
        <w:t>Jedes Wegstück wird in gleich lange Segmente von höchstens 25 m geteilt (</w:t>
      </w:r>
      <w:r>
        <w:rPr>
          <w:rFonts w:eastAsia="Consolas" w:cs="Consolas" w:ascii="Consolas" w:hAnsi="Consolas"/>
          <w:color w:val="333333"/>
          <w:sz w:val="20"/>
          <w:szCs w:val="20"/>
        </w:rPr>
        <w:t>SEG_LEN</w:t>
      </w:r>
      <w:r>
        <w:rPr/>
        <w:t>). Ein 60-m-Weg ergibt also drei Segmente zu 20 m. Die Grenzen liegen deshalb nicht an festen Stationen.</w:t>
      </w:r>
    </w:p>
    <w:p>
      <w:pPr>
        <w:pStyle w:val="Normal"/>
        <w:spacing w:before="0" w:after="120"/>
        <w:rPr/>
      </w:pPr>
      <w:r>
        <w:rPr/>
        <w:t xml:space="preserve">Jedes Segment enthält etwa fünf Startpunkte. Damit ein einzelner Ausreisser im DEM nicht das ganze Segment rot färbt, nimmt das Skript ab vier Punkten </w:t>
      </w:r>
      <w:r>
        <w:rPr>
          <w:b/>
          <w:bCs/>
        </w:rPr>
        <w:t>den zweithöchsten Wert</w:t>
      </w:r>
      <w:r>
        <w:rPr/>
        <w:t xml:space="preserve">, nicht das Maximum. </w:t>
      </w:r>
      <w:r>
        <w:rPr>
          <w:rFonts w:eastAsia="Consolas" w:cs="Consolas" w:ascii="Consolas" w:hAnsi="Consolas"/>
          <w:color w:val="333333"/>
          <w:sz w:val="20"/>
          <w:szCs w:val="20"/>
        </w:rPr>
        <w:t>immediate_drop</w:t>
      </w:r>
      <w:r>
        <w:rPr/>
        <w:t xml:space="preserve"> wird ebenfalls erst bei mindestens zwei Treffern gesetzt.</w:t>
      </w:r>
      <w:r>
        <w:br w:type="page"/>
      </w:r>
    </w:p>
    <w:p>
      <w:pPr>
        <w:pStyle w:val="Heading1"/>
        <w:rPr/>
      </w:pPr>
      <w:bookmarkStart w:id="26" w:name="__RefHeading___Toc1212_784777474"/>
      <w:bookmarkEnd w:id="26"/>
      <w:r>
        <w:rPr/>
        <w:t>11  Ausgabe</w:t>
      </w:r>
    </w:p>
    <w:p>
      <w:pPr>
        <w:pStyle w:val="Normal"/>
        <w:spacing w:before="0" w:after="120"/>
        <w:rPr/>
      </w:pPr>
      <w:r>
        <w:rPr/>
        <w:t xml:space="preserve">Jedes Segment wird als LineString im CRS des DEM geschrieben, bei swissALTI3D also in EPSG:2056. Die Ausgabe kann ein temporärer Layer, ein GeoPackage oder eine PostGIS-Tabelle sein. Bei grossen Läufen sollte die Ausgabe eine </w:t>
      </w:r>
      <w:r>
        <w:rPr>
          <w:b/>
          <w:bCs/>
        </w:rPr>
        <w:t>Datei</w:t>
      </w:r>
      <w:r>
        <w:rPr/>
        <w:t xml:space="preserve"> sein: Ein temporärer Layer mit 2.9 Millionen Segmenten belegt mehrere GB Arbeitsspeicher.</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Feld</w:t>
            </w:r>
          </w:p>
        </w:tc>
        <w:tc>
          <w:tcPr>
            <w:tcW w:w="6425"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Bedeutung</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seg_id</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fortlaufende Nummer des Segments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src_id</w:t>
            </w:r>
            <w:r>
              <w:rPr/>
              <w:t xml:space="preserve">, </w:t>
            </w:r>
            <w:r>
              <w:rPr>
                <w:rFonts w:eastAsia="Consolas" w:cs="Consolas" w:ascii="Consolas" w:hAnsi="Consolas"/>
                <w:color w:val="333333"/>
                <w:sz w:val="20"/>
                <w:szCs w:val="20"/>
              </w:rPr>
              <w:t>src_fid</w:t>
            </w:r>
            <w:r>
              <w:rPr/>
              <w:t>, …</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Schlüsselspalte des Original-Wegs (id, fid, gid, ogc_fid), zum Zurückverknüpfen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übrige Felder</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alle anderen Felder der Quelle, z.B. </w:t>
            </w:r>
            <w:r>
              <w:rPr>
                <w:rFonts w:eastAsia="Consolas" w:cs="Consolas" w:ascii="Consolas" w:hAnsi="Consolas"/>
                <w:color w:val="333333"/>
                <w:sz w:val="20"/>
                <w:szCs w:val="20"/>
              </w:rPr>
              <w:t>osm_id</w:t>
            </w:r>
            <w:r>
              <w:rPr/>
              <w:t xml:space="preserve">, </w:t>
            </w:r>
            <w:r>
              <w:rPr>
                <w:rFonts w:eastAsia="Consolas" w:cs="Consolas" w:ascii="Consolas" w:hAnsi="Consolas"/>
                <w:color w:val="333333"/>
                <w:sz w:val="20"/>
                <w:szCs w:val="20"/>
              </w:rPr>
              <w:t>name</w:t>
            </w:r>
            <w:r>
              <w:rPr/>
              <w:t xml:space="preserve">, </w:t>
            </w:r>
            <w:r>
              <w:rPr>
                <w:rFonts w:eastAsia="Consolas" w:cs="Consolas" w:ascii="Consolas" w:hAnsi="Consolas"/>
                <w:color w:val="333333"/>
                <w:sz w:val="20"/>
                <w:szCs w:val="20"/>
              </w:rPr>
              <w:t>sac_scale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exp_class</w:t>
            </w:r>
            <w:r>
              <w:rPr/>
              <w:t xml:space="preserve">, </w:t>
            </w:r>
            <w:r>
              <w:rPr>
                <w:rFonts w:eastAsia="Consolas" w:cs="Consolas" w:ascii="Consolas" w:hAnsi="Consolas"/>
                <w:color w:val="333333"/>
                <w:sz w:val="20"/>
                <w:szCs w:val="20"/>
              </w:rPr>
              <w:t>exp_label</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Klasse 1–4 und Bezeichnung</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risk</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Risikowert</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slope_deg</w:t>
            </w:r>
            <w:r>
              <w:rPr/>
              <w:t xml:space="preserve">, </w:t>
            </w:r>
            <w:r>
              <w:rPr>
                <w:rFonts w:eastAsia="Consolas" w:cs="Consolas" w:ascii="Consolas" w:hAnsi="Consolas"/>
                <w:color w:val="333333"/>
                <w:sz w:val="20"/>
                <w:szCs w:val="20"/>
              </w:rPr>
              <w:t>fold</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Wahrscheinlichkeitsterm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v_max</w:t>
            </w:r>
            <w:r>
              <w:rPr/>
              <w:t xml:space="preserve">, </w:t>
            </w:r>
            <w:r>
              <w:rPr>
                <w:rFonts w:eastAsia="Consolas" w:cs="Consolas" w:ascii="Consolas" w:hAnsi="Consolas"/>
                <w:color w:val="333333"/>
                <w:sz w:val="20"/>
                <w:szCs w:val="20"/>
              </w:rPr>
              <w:t>drop_m</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Ergebnis des Fallexperiments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forest_pct</w:t>
            </w:r>
            <w:r>
              <w:rPr/>
              <w:t xml:space="preserve">, </w:t>
            </w:r>
            <w:r>
              <w:rPr>
                <w:rFonts w:eastAsia="Consolas" w:cs="Consolas" w:ascii="Consolas" w:hAnsi="Consolas"/>
                <w:color w:val="333333"/>
                <w:sz w:val="20"/>
                <w:szCs w:val="20"/>
              </w:rPr>
              <w:t>forest_mod</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Walddichte und Waldfaktor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immediate_drop</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 = Absturzkante direkt am Weg</w:t>
            </w:r>
          </w:p>
        </w:tc>
      </w:tr>
    </w:tbl>
    <w:p>
      <w:pPr>
        <w:pStyle w:val="Normal"/>
        <w:spacing w:before="0" w:after="80"/>
        <w:rPr/>
      </w:pPr>
      <w:r>
        <w:rPr/>
      </w:r>
    </w:p>
    <w:p>
      <w:pPr>
        <w:pStyle w:val="Normal"/>
        <w:spacing w:before="0" w:after="120"/>
        <w:rPr/>
      </w:pPr>
      <w:r>
        <w:rPr/>
        <w:t>Die Segmente werden kachelweise geschrieben. Die Reihenfolge entspricht deshalb den Kacheln, nicht den Wegen.</w:t>
      </w:r>
    </w:p>
    <w:p>
      <w:pPr>
        <w:pStyle w:val="Heading2"/>
        <w:keepNext w:val="true"/>
        <w:rPr/>
      </w:pPr>
      <w:bookmarkStart w:id="27" w:name="__RefHeading___Toc1214_784777474"/>
      <w:bookmarkEnd w:id="27"/>
      <w:r>
        <w:rPr/>
        <w:t>11.1  Umgang mit Feldern der Quelle</w:t>
      </w:r>
    </w:p>
    <w:p>
      <w:pPr>
        <w:pStyle w:val="ListParagraph"/>
        <w:numPr>
          <w:ilvl w:val="0"/>
          <w:numId w:val="1"/>
        </w:numPr>
        <w:spacing w:before="0" w:after="60"/>
        <w:rPr/>
      </w:pPr>
      <w:r>
        <w:rPr>
          <w:b/>
          <w:bCs/>
        </w:rPr>
        <w:t>Schlüsselspalten</w:t>
      </w:r>
      <w:r>
        <w:rPr/>
        <w:t xml:space="preserve"> (</w:t>
      </w:r>
      <w:r>
        <w:rPr>
          <w:rFonts w:eastAsia="Consolas" w:cs="Consolas" w:ascii="Consolas" w:hAnsi="Consolas"/>
          <w:color w:val="333333"/>
          <w:sz w:val="20"/>
          <w:szCs w:val="20"/>
        </w:rPr>
        <w:t>fid</w:t>
      </w:r>
      <w:r>
        <w:rPr/>
        <w:t xml:space="preserve">, </w:t>
      </w:r>
      <w:r>
        <w:rPr>
          <w:rFonts w:eastAsia="Consolas" w:cs="Consolas" w:ascii="Consolas" w:hAnsi="Consolas"/>
          <w:color w:val="333333"/>
          <w:sz w:val="20"/>
          <w:szCs w:val="20"/>
        </w:rPr>
        <w:t>id</w:t>
      </w:r>
      <w:r>
        <w:rPr/>
        <w:t xml:space="preserve">, </w:t>
      </w:r>
      <w:r>
        <w:rPr>
          <w:rFonts w:eastAsia="Consolas" w:cs="Consolas" w:ascii="Consolas" w:hAnsi="Consolas"/>
          <w:color w:val="333333"/>
          <w:sz w:val="20"/>
          <w:szCs w:val="20"/>
        </w:rPr>
        <w:t>gid</w:t>
      </w:r>
      <w:r>
        <w:rPr/>
        <w:t xml:space="preserve">, </w:t>
      </w:r>
      <w:r>
        <w:rPr>
          <w:rFonts w:eastAsia="Consolas" w:cs="Consolas" w:ascii="Consolas" w:hAnsi="Consolas"/>
          <w:color w:val="333333"/>
          <w:sz w:val="20"/>
          <w:szCs w:val="20"/>
        </w:rPr>
        <w:t>ogc_fid</w:t>
      </w:r>
      <w:r>
        <w:rPr/>
        <w:t xml:space="preserve">) werden als </w:t>
      </w:r>
      <w:r>
        <w:rPr>
          <w:rFonts w:eastAsia="Consolas" w:cs="Consolas" w:ascii="Consolas" w:hAnsi="Consolas"/>
          <w:color w:val="333333"/>
          <w:sz w:val="20"/>
          <w:szCs w:val="20"/>
        </w:rPr>
        <w:t>src_&lt;name&gt;</w:t>
      </w:r>
      <w:r>
        <w:rPr/>
        <w:t xml:space="preserve"> und ohne Schlüssel-Eigenschaft übernommen. Sonst macht QGIS sie beim Export nach PostGIS zum Primärschlüssel, und die Inserts scheitern, weil ein Weg mehrere Segmente ergibt.</w:t>
      </w:r>
    </w:p>
    <w:p>
      <w:pPr>
        <w:pStyle w:val="ListParagraph"/>
        <w:numPr>
          <w:ilvl w:val="0"/>
          <w:numId w:val="1"/>
        </w:numPr>
        <w:spacing w:before="0" w:after="60"/>
        <w:rPr/>
      </w:pPr>
      <w:r>
        <w:rPr>
          <w:b/>
          <w:bCs/>
        </w:rPr>
        <w:t>Felder aus einem früheren Lauf</w:t>
      </w:r>
      <w:r>
        <w:rPr/>
        <w:t xml:space="preserve"> (</w:t>
      </w:r>
      <w:r>
        <w:rPr>
          <w:rFonts w:eastAsia="Consolas" w:cs="Consolas" w:ascii="Consolas" w:hAnsi="Consolas"/>
          <w:color w:val="333333"/>
          <w:sz w:val="20"/>
          <w:szCs w:val="20"/>
        </w:rPr>
        <w:t>seg_id</w:t>
      </w:r>
      <w:r>
        <w:rPr/>
        <w:t xml:space="preserve">, </w:t>
      </w:r>
      <w:r>
        <w:rPr>
          <w:rFonts w:eastAsia="Consolas" w:cs="Consolas" w:ascii="Consolas" w:hAnsi="Consolas"/>
          <w:color w:val="333333"/>
          <w:sz w:val="20"/>
          <w:szCs w:val="20"/>
        </w:rPr>
        <w:t>exp_class</w:t>
      </w:r>
      <w:r>
        <w:rPr/>
        <w:t xml:space="preserve">, </w:t>
      </w:r>
      <w:r>
        <w:rPr>
          <w:rFonts w:eastAsia="Consolas" w:cs="Consolas" w:ascii="Consolas" w:hAnsi="Consolas"/>
          <w:color w:val="333333"/>
          <w:sz w:val="20"/>
          <w:szCs w:val="20"/>
        </w:rPr>
        <w:t>risk</w:t>
      </w:r>
      <w:r>
        <w:rPr/>
        <w:t xml:space="preserve"> usw.) werden übersprungen und neu berechnet. Das Protokoll meldet das als Hinweis.</w:t>
      </w:r>
    </w:p>
    <w:p>
      <w:pPr>
        <w:pStyle w:val="ListParagraph"/>
        <w:numPr>
          <w:ilvl w:val="0"/>
          <w:numId w:val="1"/>
        </w:numPr>
        <w:spacing w:before="0" w:after="60"/>
        <w:rPr/>
      </w:pPr>
      <w:r>
        <w:rPr>
          <w:b/>
          <w:bCs/>
        </w:rPr>
        <w:t>Doppelte Feldnamen</w:t>
      </w:r>
      <w:r>
        <w:rPr/>
        <w:t xml:space="preserve">, auch wenn sie sich nur in der Gross- und Kleinschreibung unterscheiden, bekommen einen Zusatz wie </w:t>
      </w:r>
      <w:r>
        <w:rPr>
          <w:rFonts w:eastAsia="Consolas" w:cs="Consolas" w:ascii="Consolas" w:hAnsi="Consolas"/>
          <w:color w:val="333333"/>
          <w:sz w:val="20"/>
          <w:szCs w:val="20"/>
        </w:rPr>
        <w:t>NAME_1</w:t>
      </w:r>
      <w:r>
        <w:rPr/>
        <w:t>. Ohne diese Behandlung verwirft QGIS das Duplikat stillschweigend, und alle folgenden Werte rutschen in die falsche Spalte.</w:t>
      </w:r>
    </w:p>
    <w:p>
      <w:pPr>
        <w:pStyle w:val="ListParagraph"/>
        <w:numPr>
          <w:ilvl w:val="0"/>
          <w:numId w:val="1"/>
        </w:numPr>
        <w:spacing w:before="0" w:after="60"/>
        <w:rPr/>
      </w:pPr>
      <w:r>
        <w:rPr/>
        <w:t>Scheitert das Schreiben trotzdem, bricht das Skript mit einer Fehlermeldung ab, statt Daten stillschweigend zu verlieren.</w:t>
      </w:r>
    </w:p>
    <w:p>
      <w:pPr>
        <w:pStyle w:val="Normal"/>
        <w:pBdr>
          <w:left w:val="single" w:sz="18" w:space="8" w:color="E6550D"/>
        </w:pBdr>
        <w:shd w:val="clear" w:color="auto" w:fill="FFF4E5"/>
        <w:spacing w:before="80" w:after="120"/>
        <w:ind w:left="120"/>
        <w:rPr/>
      </w:pPr>
      <w:r>
        <w:rPr>
          <w:b/>
          <w:bCs/>
        </w:rPr>
        <w:t>Hinweis:</w:t>
      </w:r>
      <w:r>
        <w:rPr/>
        <w:t xml:space="preserve"> Als Eingabe immer das ursprüngliche Wegnetz verwenden, nicht ein früheres Ergebnis. Sonst wird jedes 25-m-Segment als eigener Weg behandelt, und der Lauf dauert ein Vielfaches.</w:t>
      </w:r>
      <w:r>
        <w:br w:type="page"/>
      </w:r>
    </w:p>
    <w:p>
      <w:pPr>
        <w:pStyle w:val="Heading1"/>
        <w:rPr/>
      </w:pPr>
      <w:bookmarkStart w:id="28" w:name="__RefHeading___Toc1216_784777474"/>
      <w:bookmarkEnd w:id="28"/>
      <w:r>
        <w:rPr/>
        <w:t>12  Parameterübersicht</w:t>
      </w:r>
    </w:p>
    <w:p>
      <w:pPr>
        <w:pStyle w:val="Normal"/>
        <w:spacing w:before="0" w:after="120"/>
        <w:rPr/>
      </w:pPr>
      <w:r>
        <w:rPr/>
        <w:t>Klassengrenzen und Threads stehen direkt in der Maske, alle anderen Werte unter „Erweiterte Parameter“. Alle Modellwerte sind Startwerte.</w:t>
      </w:r>
    </w:p>
    <w:tbl>
      <w:tblPr>
        <w:tblW w:w="9026" w:type="dxa"/>
        <w:jc w:val="left"/>
        <w:tblInd w:w="0" w:type="dxa"/>
        <w:tblLayout w:type="fixed"/>
        <w:tblCellMar>
          <w:top w:w="60" w:type="dxa"/>
          <w:left w:w="100" w:type="dxa"/>
          <w:bottom w:w="60" w:type="dxa"/>
          <w:right w:w="100" w:type="dxa"/>
        </w:tblCellMar>
      </w:tblPr>
      <w:tblGrid>
        <w:gridCol w:w="2000"/>
        <w:gridCol w:w="5226"/>
        <w:gridCol w:w="1800"/>
      </w:tblGrid>
      <w:tr>
        <w:trPr>
          <w:tblHeader w:val="true"/>
        </w:trPr>
        <w:tc>
          <w:tcPr>
            <w:tcW w:w="20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Parameter</w:t>
            </w:r>
          </w:p>
        </w:tc>
        <w:tc>
          <w:tcPr>
            <w:tcW w:w="52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Bedeutung</w:t>
            </w:r>
          </w:p>
        </w:tc>
        <w:tc>
          <w:tcPr>
            <w:tcW w:w="18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Standard</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Klassengrenzen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Grenzen für risk zwischen den Klassen 1/2, 2/3 und 3/4</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200,600,1500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Threads</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Anzahl paralleler Threads</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alle Kerne</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RES</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Arbeitsauflösung DEM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SEG_LEN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Segmentlänge der Ausgabe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STEP</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Abstand der Startpunkte entlang des Wegs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HALFWIDTH</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Wegtrasse beidseitig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MU</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Gleitreibung μ</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0.6</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DRAG_LEN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Bremslänge des v²-Terms [m], 0 = aus</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MAX_PATH</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maximale Länge der Sturzbahn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K1</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Skalierung der Faltigkeit</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FOLD_WIN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Fenster der Faltigkeit [Zellen]</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P_MIN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Untergrenze des Wahrscheinlichkeitsterms [°]</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FOREST_LEN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Walddichte gemittelt über die ersten [m] der Sturzbahn</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STEEP_DEG</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Zusatzregel steiler Weg [°]</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CLIFF_DEG</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Absturzkante ab [°]</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60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NEAR_DIST</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t>
            </w:r>
            <w:r>
              <w:rPr/>
              <w:t>direkt neben dem Weg“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CHUNK_LEN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lange Wege teilen alle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TILE_SIZE</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Kachelgrösse für gemeinsames DEM-Lesen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Laufzeit-Protokoll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Pfad der CSV-Datei, leer = automatisch (siehe Kapitel 13)</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leer</w:t>
            </w:r>
          </w:p>
        </w:tc>
      </w:tr>
    </w:tbl>
    <w:p>
      <w:pPr>
        <w:pStyle w:val="Normal"/>
        <w:spacing w:before="0" w:after="80"/>
        <w:rPr/>
      </w:pPr>
      <w:r>
        <w:rPr/>
      </w:r>
      <w:r>
        <w:br w:type="page"/>
      </w:r>
    </w:p>
    <w:p>
      <w:pPr>
        <w:pStyle w:val="Heading1"/>
        <w:rPr/>
      </w:pPr>
      <w:bookmarkStart w:id="29" w:name="__RefHeading___Toc1218_784777474"/>
      <w:bookmarkEnd w:id="29"/>
      <w:r>
        <w:rPr/>
        <w:t>13  Laufzeit-Protokoll</w:t>
      </w:r>
    </w:p>
    <w:p>
      <w:pPr>
        <w:pStyle w:val="Normal"/>
        <w:spacing w:before="0" w:after="120"/>
        <w:rPr/>
      </w:pPr>
      <w:r>
        <w:rPr/>
        <w:t>Am Ende jedes Laufs schreibt das Skript eine Zusammenfassung ins Processing-Protokoll, zum Beispiel:</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Laufzeit: 46 min 32 s (Einlesen 42 s, Rechnen 2749 s), 67020 km Weg,</w:t>
            </w:r>
          </w:p>
          <w:p>
            <w:pPr>
              <w:pStyle w:val="Normal"/>
              <w:spacing w:before="0" w:after="0"/>
              <w:rPr/>
            </w:pPr>
            <w:r>
              <w:rPr>
                <w:rFonts w:eastAsia="Consolas" w:cs="Consolas" w:ascii="Consolas" w:hAnsi="Consolas"/>
                <w:sz w:val="18"/>
                <w:szCs w:val="18"/>
              </w:rPr>
              <w:t>24.0 km/s, 10 Thread(s) auf Apple M4</w:t>
            </w:r>
          </w:p>
        </w:tc>
      </w:tr>
    </w:tbl>
    <w:p>
      <w:pPr>
        <w:pStyle w:val="Normal"/>
        <w:spacing w:before="0" w:after="80"/>
        <w:rPr/>
      </w:pPr>
      <w:r>
        <w:rPr/>
      </w:r>
    </w:p>
    <w:p>
      <w:pPr>
        <w:pStyle w:val="Normal"/>
        <w:spacing w:before="0" w:after="120"/>
        <w:rPr/>
      </w:pPr>
      <w:r>
        <w:rPr/>
        <w:t xml:space="preserve">Zusätzlich hängt es eine Zeile an die Datei </w:t>
      </w:r>
      <w:r>
        <w:rPr>
          <w:rFonts w:eastAsia="Consolas" w:cs="Consolas" w:ascii="Consolas" w:hAnsi="Consolas"/>
          <w:color w:val="333333"/>
          <w:sz w:val="20"/>
          <w:szCs w:val="20"/>
        </w:rPr>
        <w:t>fall_exposure_laufzeiten.csv</w:t>
      </w:r>
      <w:r>
        <w:rPr/>
        <w:t xml:space="preserve"> an (Trennzeichen Semikolon, öffnet direkt in Excel). Wo die Datei liegt:</w:t>
      </w:r>
    </w:p>
    <w:tbl>
      <w:tblPr>
        <w:tblW w:w="9026" w:type="dxa"/>
        <w:jc w:val="left"/>
        <w:tblInd w:w="0" w:type="dxa"/>
        <w:tblLayout w:type="fixed"/>
        <w:tblCellMar>
          <w:top w:w="60" w:type="dxa"/>
          <w:left w:w="100" w:type="dxa"/>
          <w:bottom w:w="60" w:type="dxa"/>
          <w:right w:w="100" w:type="dxa"/>
        </w:tblCellMar>
      </w:tblPr>
      <w:tblGrid>
        <w:gridCol w:w="4513"/>
        <w:gridCol w:w="4512"/>
      </w:tblGrid>
      <w:tr>
        <w:trPr>
          <w:tblHeader w:val="true"/>
        </w:trPr>
        <w:tc>
          <w:tcPr>
            <w:tcW w:w="4513"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Situation</w:t>
            </w:r>
          </w:p>
        </w:tc>
        <w:tc>
          <w:tcPr>
            <w:tcW w:w="4512"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Ort der CSV</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Pfad im Parameter angegeben</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genau dort</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QGIS-Projekt gespeichert</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Ordner des Projekts</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kein Projekt, Ausgabe als Datei</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Ordner der Ausgabedatei</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sonst</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Benutzerordner</w:t>
            </w:r>
          </w:p>
        </w:tc>
      </w:tr>
    </w:tbl>
    <w:p>
      <w:pPr>
        <w:pStyle w:val="Normal"/>
        <w:spacing w:before="0" w:after="80"/>
        <w:rPr/>
      </w:pPr>
      <w:r>
        <w:rPr/>
      </w:r>
    </w:p>
    <w:p>
      <w:pPr>
        <w:pStyle w:val="Normal"/>
        <w:spacing w:before="0" w:after="120"/>
        <w:rPr/>
      </w:pPr>
      <w:r>
        <w:rPr/>
        <w:t xml:space="preserve">Die CSV enthält: Zeitpunkt, Rechnername, Betriebssystem, Prozessor, Kerne, Threads, abgebrochen ja/nein, Anzahl Wegstücke, Kacheln und Segmente, Weg-km, Zeit für Einlesen, Rechnen und gesamt, km/s, DEM, Waldraster, Eingabe, Ausgabe, Klassengrenzen und alle Parameter. Passwörter aus PostGIS-Verbindungen werden durch </w:t>
      </w:r>
      <w:r>
        <w:rPr>
          <w:rFonts w:eastAsia="Consolas" w:cs="Consolas" w:ascii="Consolas" w:hAnsi="Consolas"/>
          <w:color w:val="333333"/>
          <w:sz w:val="20"/>
          <w:szCs w:val="20"/>
        </w:rPr>
        <w:t>***</w:t>
      </w:r>
      <w:r>
        <w:rPr/>
        <w:t xml:space="preserve"> ersetzt.</w:t>
      </w:r>
      <w:r>
        <w:br w:type="page"/>
      </w:r>
    </w:p>
    <w:p>
      <w:pPr>
        <w:pStyle w:val="Heading1"/>
        <w:rPr/>
      </w:pPr>
      <w:bookmarkStart w:id="30" w:name="__RefHeading___Toc1220_784777474"/>
      <w:bookmarkEnd w:id="30"/>
      <w:r>
        <w:rPr/>
        <w:t>14  Leistung und Laufzeiten</w:t>
      </w:r>
    </w:p>
    <w:p>
      <w:pPr>
        <w:pStyle w:val="Heading2"/>
        <w:keepNext w:val="true"/>
        <w:rPr/>
      </w:pPr>
      <w:bookmarkStart w:id="31" w:name="__RefHeading___Toc1222_784777474"/>
      <w:bookmarkEnd w:id="31"/>
      <w:r>
        <w:rPr/>
        <w:t>14.1  Gemessene Laufzeiten</w:t>
      </w:r>
    </w:p>
    <w:p>
      <w:pPr>
        <w:pStyle w:val="Normal"/>
        <w:spacing w:before="0" w:after="120"/>
        <w:rPr/>
      </w:pPr>
      <w:r>
        <w:rPr/>
        <w:t>Werte aus dem Laufzeit-Protokoll, Schweiz, 2-m-DEM, mit Waldraster:</w:t>
      </w:r>
    </w:p>
    <w:tbl>
      <w:tblPr>
        <w:tblW w:w="9026" w:type="dxa"/>
        <w:jc w:val="left"/>
        <w:tblInd w:w="0" w:type="dxa"/>
        <w:tblLayout w:type="fixed"/>
        <w:tblCellMar>
          <w:top w:w="60" w:type="dxa"/>
          <w:left w:w="100" w:type="dxa"/>
          <w:bottom w:w="60" w:type="dxa"/>
          <w:right w:w="100" w:type="dxa"/>
        </w:tblCellMar>
      </w:tblPr>
      <w:tblGrid>
        <w:gridCol w:w="2100"/>
        <w:gridCol w:w="1000"/>
        <w:gridCol w:w="2300"/>
        <w:gridCol w:w="1299"/>
        <w:gridCol w:w="1251"/>
        <w:gridCol w:w="1075"/>
      </w:tblGrid>
      <w:tr>
        <w:trPr>
          <w:tblHeader w:val="true"/>
        </w:trPr>
        <w:tc>
          <w:tcPr>
            <w:tcW w:w="21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Rechner</w:t>
            </w:r>
          </w:p>
        </w:tc>
        <w:tc>
          <w:tcPr>
            <w:tcW w:w="10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Threads</w:t>
            </w:r>
          </w:p>
        </w:tc>
        <w:tc>
          <w:tcPr>
            <w:tcW w:w="23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Wegnetz</w:t>
            </w:r>
          </w:p>
        </w:tc>
        <w:tc>
          <w:tcPr>
            <w:tcW w:w="129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Ausgabe</w:t>
            </w:r>
          </w:p>
        </w:tc>
        <w:tc>
          <w:tcPr>
            <w:tcW w:w="1251"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Zeit</w:t>
            </w:r>
          </w:p>
        </w:tc>
        <w:tc>
          <w:tcPr>
            <w:tcW w:w="1075"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km/s</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AMD Ryzen 7 5800X</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8</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OSM sac_scale, 23 427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temporär</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40 min 26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9.7</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AMD Ryzen 7 5800X</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16</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OSM sac_scale, 23 427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temporär</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36 min 00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10.9</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Apple M4 (MacBook Air)</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OSM sac_scale, 23 427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GeoPackage</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19 min 00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20.6</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Apple M4 (MacBook Air)</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swissTLM3D, 67 020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temporär</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46 min 33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24.0</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Apple M4, gedrosselt</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swissTLM3D, 67 020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GeoPackage</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70 min 15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15.9</w:t>
            </w:r>
          </w:p>
        </w:tc>
      </w:tr>
    </w:tbl>
    <w:p>
      <w:pPr>
        <w:pStyle w:val="Normal"/>
        <w:spacing w:before="0" w:after="80"/>
        <w:rPr/>
      </w:pPr>
      <w:r>
        <w:rPr/>
      </w:r>
    </w:p>
    <w:p>
      <w:pPr>
        <w:pStyle w:val="ListParagraph"/>
        <w:numPr>
          <w:ilvl w:val="0"/>
          <w:numId w:val="1"/>
        </w:numPr>
        <w:spacing w:before="0" w:after="60"/>
        <w:rPr/>
      </w:pPr>
      <w:r>
        <w:rPr/>
        <w:t>Der M4 ist bei gleicher Aufgabe knapp doppelt so schnell wie der Ryzen 7 5800X.</w:t>
      </w:r>
    </w:p>
    <w:p>
      <w:pPr>
        <w:pStyle w:val="ListParagraph"/>
        <w:numPr>
          <w:ilvl w:val="0"/>
          <w:numId w:val="1"/>
        </w:numPr>
        <w:spacing w:before="0" w:after="60"/>
        <w:rPr/>
      </w:pPr>
      <w:r>
        <w:rPr/>
        <w:t>Beim Ryzen sind 16 Threads rund 11 % schneller als 8. Hyperthreading lohnt sich hier.</w:t>
      </w:r>
    </w:p>
    <w:p>
      <w:pPr>
        <w:pStyle w:val="ListParagraph"/>
        <w:numPr>
          <w:ilvl w:val="0"/>
          <w:numId w:val="1"/>
        </w:numPr>
        <w:spacing w:before="0" w:after="60"/>
        <w:rPr/>
      </w:pPr>
      <w:r>
        <w:rPr/>
        <w:t>Das Schreiben ins GeoPackage kostet bei 2.9 Millionen Segmenten nur etwa eine Minute. Der langsamere letzte Lauf war auf Wärmedrosselung zurückzuführen (siehe 14.2).</w:t>
      </w:r>
    </w:p>
    <w:p>
      <w:pPr>
        <w:pStyle w:val="Heading2"/>
        <w:keepNext w:val="true"/>
        <w:rPr/>
      </w:pPr>
      <w:bookmarkStart w:id="32" w:name="__RefHeading___Toc1224_784777474"/>
      <w:bookmarkEnd w:id="32"/>
      <w:r>
        <w:rPr/>
        <w:t>14.2  Wärmedrosselung bei lüfterlosen Geräten</w:t>
      </w:r>
    </w:p>
    <w:p>
      <w:pPr>
        <w:pStyle w:val="Normal"/>
        <w:spacing w:before="0" w:after="120"/>
        <w:rPr/>
      </w:pPr>
      <w:r>
        <w:rPr/>
        <w:t xml:space="preserve">Ein MacBook Air hat keinen Lüfter. Unter Volllast regelt es nach einigen Minuten den Takt herunter. Messung mit </w:t>
      </w:r>
      <w:r>
        <w:rPr>
          <w:rFonts w:eastAsia="Consolas" w:cs="Consolas" w:ascii="Consolas" w:hAnsi="Consolas"/>
          <w:color w:val="333333"/>
          <w:sz w:val="20"/>
          <w:szCs w:val="20"/>
        </w:rPr>
        <w:t>powermetrics</w:t>
      </w:r>
      <w:r>
        <w:rPr/>
        <w:t>:</w:t>
      </w:r>
    </w:p>
    <w:tbl>
      <w:tblPr>
        <w:tblW w:w="9026" w:type="dxa"/>
        <w:jc w:val="left"/>
        <w:tblInd w:w="0" w:type="dxa"/>
        <w:tblLayout w:type="fixed"/>
        <w:tblCellMar>
          <w:top w:w="60" w:type="dxa"/>
          <w:left w:w="100" w:type="dxa"/>
          <w:bottom w:w="60" w:type="dxa"/>
          <w:right w:w="100" w:type="dxa"/>
        </w:tblCellMar>
      </w:tblPr>
      <w:tblGrid>
        <w:gridCol w:w="3008"/>
        <w:gridCol w:w="3009"/>
        <w:gridCol w:w="3009"/>
      </w:tblGrid>
      <w:tr>
        <w:trPr>
          <w:tblHeader w:val="true"/>
        </w:trPr>
        <w:tc>
          <w:tcPr>
            <w:tcW w:w="3008"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r>
          </w:p>
        </w:tc>
        <w:tc>
          <w:tcPr>
            <w:tcW w:w="300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Drinnen</w:t>
            </w:r>
          </w:p>
        </w:tc>
        <w:tc>
          <w:tcPr>
            <w:tcW w:w="300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Draussen, 19 °C, auf Metallblech</w:t>
            </w:r>
          </w:p>
        </w:tc>
      </w:tr>
      <w:tr>
        <w:trPr/>
        <w:tc>
          <w:tcPr>
            <w:tcW w:w="3008"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Zustand</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Nominal → Moderate → Heavy</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durchgehend Nominal</w:t>
            </w:r>
          </w:p>
        </w:tc>
      </w:tr>
      <w:tr>
        <w:trPr/>
        <w:tc>
          <w:tcPr>
            <w:tcW w:w="3008"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Takt der P-Kerne unter Dauerlast</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sank auf 2359 MHz</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stabil 3100–3200 MHz</w:t>
            </w:r>
          </w:p>
        </w:tc>
      </w:tr>
      <w:tr>
        <w:trPr/>
        <w:tc>
          <w:tcPr>
            <w:tcW w:w="3008"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CPU-Leistung unter Dauerlast</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sank auf 7.2 W</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stabil 11.3–11.5 W</w:t>
            </w:r>
          </w:p>
        </w:tc>
      </w:tr>
    </w:tbl>
    <w:p>
      <w:pPr>
        <w:pStyle w:val="Normal"/>
        <w:spacing w:before="0" w:after="80"/>
        <w:rPr/>
      </w:pPr>
      <w:r>
        <w:rPr/>
      </w:r>
    </w:p>
    <w:p>
      <w:pPr>
        <w:pStyle w:val="Normal"/>
        <w:spacing w:before="0" w:after="120"/>
        <w:rPr/>
      </w:pPr>
      <w:r>
        <w:rPr/>
        <w:t>Überwachen lässt sich das mit:</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sudo powermetrics --samplers cpu_power,thermal -n 1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 grep -E "pressure level|HW active frequency|CPU Power"</w:t>
            </w:r>
          </w:p>
          <w:p>
            <w:pPr>
              <w:pStyle w:val="Normal"/>
              <w:spacing w:before="0" w:after="0"/>
              <w:rPr/>
            </w:pPr>
            <w:r>
              <w:rPr>
                <w:rFonts w:eastAsia="Consolas" w:cs="Consolas" w:ascii="Consolas" w:hAnsi="Consolas"/>
                <w:sz w:val="18"/>
                <w:szCs w:val="18"/>
              </w:rPr>
              <w:t>brew install macmon &amp;&amp; macmon      # Anzeige ohne sudo</w:t>
            </w:r>
          </w:p>
        </w:tc>
      </w:tr>
    </w:tbl>
    <w:p>
      <w:pPr>
        <w:pStyle w:val="Normal"/>
        <w:spacing w:before="0" w:after="80"/>
        <w:rPr/>
      </w:pPr>
      <w:r>
        <w:rPr/>
      </w:r>
    </w:p>
    <w:p>
      <w:pPr>
        <w:pStyle w:val="Heading2"/>
        <w:keepNext w:val="true"/>
        <w:rPr/>
      </w:pPr>
      <w:bookmarkStart w:id="33" w:name="__RefHeading___Toc1226_784777474"/>
      <w:bookmarkEnd w:id="33"/>
      <w:r>
        <w:rPr/>
        <w:t>14.3  Empfehlungen für lange Läufe</w:t>
      </w:r>
    </w:p>
    <w:p>
      <w:pPr>
        <w:pStyle w:val="ListParagraph"/>
        <w:numPr>
          <w:ilvl w:val="0"/>
          <w:numId w:val="1"/>
        </w:numPr>
        <w:spacing w:before="0" w:after="60"/>
        <w:rPr/>
      </w:pPr>
      <w:r>
        <w:rPr>
          <w:b/>
          <w:bCs/>
        </w:rPr>
        <w:t>Kühlung:</w:t>
      </w:r>
      <w:r>
        <w:rPr/>
        <w:t xml:space="preserve"> Kühlpad mit Lüfter, Metall- oder Steinunterlage, Deckel offen, nicht auf Stoff. Lange Läufe nicht direkt hintereinander starten.</w:t>
      </w:r>
    </w:p>
    <w:p>
      <w:pPr>
        <w:pStyle w:val="ListParagraph"/>
        <w:numPr>
          <w:ilvl w:val="0"/>
          <w:numId w:val="1"/>
        </w:numPr>
        <w:spacing w:before="0" w:after="60"/>
        <w:rPr/>
      </w:pPr>
      <w:r>
        <w:rPr>
          <w:b/>
          <w:bCs/>
        </w:rPr>
        <w:t>Wach halten (macOS):</w:t>
      </w:r>
      <w:r>
        <w:rPr/>
        <w:t xml:space="preserve"> </w:t>
      </w:r>
      <w:r>
        <w:rPr>
          <w:rFonts w:eastAsia="Consolas" w:cs="Consolas" w:ascii="Consolas" w:hAnsi="Consolas"/>
          <w:color w:val="333333"/>
          <w:sz w:val="20"/>
          <w:szCs w:val="20"/>
        </w:rPr>
        <w:t>caffeinate -dims</w:t>
      </w:r>
      <w:r>
        <w:rPr/>
        <w:t xml:space="preserve"> im Terminal, solange der Lauf dauert. Sonst kann macOS QGIS bei ausgeschaltetem Bildschirm drosseln (App Nap).</w:t>
      </w:r>
    </w:p>
    <w:p>
      <w:pPr>
        <w:pStyle w:val="ListParagraph"/>
        <w:numPr>
          <w:ilvl w:val="0"/>
          <w:numId w:val="1"/>
        </w:numPr>
        <w:spacing w:before="0" w:after="60"/>
        <w:rPr/>
      </w:pPr>
      <w:r>
        <w:rPr>
          <w:b/>
          <w:bCs/>
        </w:rPr>
        <w:t>Stromsparmodus</w:t>
      </w:r>
      <w:r>
        <w:rPr/>
        <w:t xml:space="preserve"> auf „Nie“ stellen. Am Netzteil und im Akkubetrieb ist die Leistung sonst gleich.</w:t>
      </w:r>
    </w:p>
    <w:p>
      <w:pPr>
        <w:pStyle w:val="ListParagraph"/>
        <w:numPr>
          <w:ilvl w:val="0"/>
          <w:numId w:val="1"/>
        </w:numPr>
        <w:spacing w:before="0" w:after="60"/>
        <w:rPr/>
      </w:pPr>
      <w:r>
        <w:rPr>
          <w:b/>
          <w:bCs/>
        </w:rPr>
        <w:t>Arbeitsspeicher:</w:t>
      </w:r>
      <w:r>
        <w:rPr/>
        <w:t xml:space="preserve"> Vor grossen Läufen QGIS neu starten bzw. alte temporäre Ergebnis-Layer entfernen und die Ausgabe direkt als GeoPackage schreiben. Swap verlangsamt den Lauf stark.</w:t>
      </w:r>
    </w:p>
    <w:p>
      <w:pPr>
        <w:pStyle w:val="ListParagraph"/>
        <w:numPr>
          <w:ilvl w:val="0"/>
          <w:numId w:val="1"/>
        </w:numPr>
        <w:spacing w:before="0" w:after="60"/>
        <w:rPr/>
      </w:pPr>
      <w:r>
        <w:rPr>
          <w:b/>
          <w:bCs/>
        </w:rPr>
        <w:t>Daten lokal:</w:t>
      </w:r>
      <w:r>
        <w:rPr/>
        <w:t xml:space="preserve"> DEM, Waldraster und Ausgabe auf einer lokalen SSD.</w:t>
      </w:r>
      <w:r>
        <w:br w:type="page"/>
      </w:r>
    </w:p>
    <w:p>
      <w:pPr>
        <w:pStyle w:val="Heading1"/>
        <w:rPr/>
      </w:pPr>
      <w:bookmarkStart w:id="34" w:name="__RefHeading___Toc1228_784777474"/>
      <w:bookmarkEnd w:id="34"/>
      <w:r>
        <w:rPr/>
        <w:t>15  Darstellung in QGIS und Lizmap</w:t>
      </w:r>
    </w:p>
    <w:p>
      <w:pPr>
        <w:pStyle w:val="Normal"/>
        <w:spacing w:before="0" w:after="120"/>
        <w:rPr/>
      </w:pPr>
      <w:r>
        <w:rPr/>
        <w:t xml:space="preserve">Für das Repository liegen QGIS-Stildateien bei (Ordner </w:t>
      </w:r>
      <w:r>
        <w:rPr>
          <w:rFonts w:eastAsia="Consolas" w:cs="Consolas" w:ascii="Consolas" w:hAnsi="Consolas"/>
          <w:color w:val="333333"/>
          <w:sz w:val="20"/>
          <w:szCs w:val="20"/>
        </w:rPr>
        <w:t>styles</w:t>
      </w:r>
      <w:r>
        <w:rPr/>
        <w:t>). Anwenden: Layer-Eigenschaften → Symbologie → Stil → Stil laden.</w:t>
      </w:r>
    </w:p>
    <w:tbl>
      <w:tblPr>
        <w:tblW w:w="9026" w:type="dxa"/>
        <w:jc w:val="left"/>
        <w:tblInd w:w="0" w:type="dxa"/>
        <w:tblLayout w:type="fixed"/>
        <w:tblCellMar>
          <w:top w:w="60" w:type="dxa"/>
          <w:left w:w="100" w:type="dxa"/>
          <w:bottom w:w="60" w:type="dxa"/>
          <w:right w:w="100" w:type="dxa"/>
        </w:tblCellMar>
      </w:tblPr>
      <w:tblGrid>
        <w:gridCol w:w="3799"/>
        <w:gridCol w:w="5226"/>
      </w:tblGrid>
      <w:tr>
        <w:trPr>
          <w:tblHeader w:val="true"/>
        </w:trPr>
        <w:tc>
          <w:tcPr>
            <w:tcW w:w="379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Datei</w:t>
            </w:r>
          </w:p>
        </w:tc>
        <w:tc>
          <w:tcPr>
            <w:tcW w:w="52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Zweck</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absturzrisiko_band.qml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Absturzrisiko als breites, halbtransparentes Band unter der Weglinie: Klasse 1 ohne Band, 2 hellorange, 3 rot, 4 magenta.</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absturzrisiko_skitourenguru_farben.qml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Absturzrisiko als Linie in Ampelfarben grün/gelb/orange/rot, für den direkten Vergleich mit Skitourenguru.</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absturzrisiko_skitourenguru_farben_mit_kante.qml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Wie oben, zusätzlich pinke Punktlinie bei </w:t>
            </w:r>
            <w:r>
              <w:rPr>
                <w:rFonts w:eastAsia="Consolas" w:cs="Consolas" w:ascii="Consolas" w:hAnsi="Consolas"/>
                <w:color w:val="333333"/>
                <w:sz w:val="20"/>
                <w:szCs w:val="20"/>
              </w:rPr>
              <w:t>immediate_drop</w:t>
            </w:r>
            <w:r>
              <w:rPr/>
              <w:t>.</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sac_scale_signalisation_lizmap.qml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OSM </w:t>
            </w:r>
            <w:r>
              <w:rPr>
                <w:rFonts w:eastAsia="Consolas" w:cs="Consolas" w:ascii="Consolas" w:hAnsi="Consolas"/>
                <w:color w:val="333333"/>
                <w:sz w:val="20"/>
                <w:szCs w:val="20"/>
              </w:rPr>
              <w:t>sac_scale</w:t>
            </w:r>
            <w:r>
              <w:rPr/>
              <w:t xml:space="preserve"> nach Schweizer Signalisation: T1 gelb, T2/T3 rot, T4/T5 blau, T6 magenta, ab T2 mit weissem Rand, T-Beschriftung mit weissem Hintergrund.</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swisstlm3d_wanderwege_signalisation.qml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swissTLM3D-Wanderwege (Feld </w:t>
            </w:r>
            <w:r>
              <w:rPr>
                <w:rFonts w:eastAsia="Consolas" w:cs="Consolas" w:ascii="Consolas" w:hAnsi="Consolas"/>
                <w:color w:val="333333"/>
                <w:sz w:val="20"/>
                <w:szCs w:val="20"/>
              </w:rPr>
              <w:t>wanderwege</w:t>
            </w:r>
            <w:r>
              <w:rPr/>
              <w:t>): Wanderweg gelb, Bergwanderweg rot, Alpinwanderweg blau, die beiden letzten mit weissem Rand. Statt einer Beschriftung stehen die Wegzeichen auf der Linie: gelbe Raute, weiss-rot-weisses und weiss-blau-weisses Fähnchen.</w:t>
            </w:r>
          </w:p>
        </w:tc>
      </w:tr>
    </w:tbl>
    <w:p>
      <w:pPr>
        <w:pStyle w:val="Normal"/>
        <w:spacing w:before="0" w:after="80"/>
        <w:rPr/>
      </w:pPr>
      <w:r>
        <w:rPr/>
      </w:r>
    </w:p>
    <w:p>
      <w:pPr>
        <w:pStyle w:val="Heading2"/>
        <w:keepNext w:val="true"/>
        <w:rPr/>
      </w:pPr>
      <w:bookmarkStart w:id="35" w:name="__RefHeading___Toc1230_784777474"/>
      <w:bookmarkEnd w:id="35"/>
      <w:r>
        <w:rPr/>
        <w:t>15.1  Kombinierte Karte</w:t>
      </w:r>
    </w:p>
    <w:p>
      <w:pPr>
        <w:pStyle w:val="Normal"/>
        <w:spacing w:before="0" w:after="120"/>
        <w:rPr/>
      </w:pPr>
      <w:r>
        <w:rPr/>
        <w:t xml:space="preserve">Für eine Karte mit Schwierigkeit </w:t>
      </w:r>
      <w:r>
        <w:rPr>
          <w:b/>
          <w:bCs/>
        </w:rPr>
        <w:t>und</w:t>
      </w:r>
      <w:r>
        <w:rPr/>
        <w:t xml:space="preserve"> Absturzrisiko liegt der Risiko-Layer mit </w:t>
      </w:r>
      <w:r>
        <w:rPr>
          <w:rFonts w:eastAsia="Consolas" w:cs="Consolas" w:ascii="Consolas" w:hAnsi="Consolas"/>
          <w:color w:val="333333"/>
          <w:sz w:val="20"/>
          <w:szCs w:val="20"/>
        </w:rPr>
        <w:t>absturzrisiko_band.qml</w:t>
      </w:r>
      <w:r>
        <w:rPr/>
        <w:t xml:space="preserve"> </w:t>
      </w:r>
      <w:r>
        <w:rPr>
          <w:b/>
          <w:bCs/>
        </w:rPr>
        <w:t>unter</w:t>
      </w:r>
      <w:r>
        <w:rPr/>
        <w:t xml:space="preserve"> dem Weg-Layer (</w:t>
      </w:r>
      <w:r>
        <w:rPr>
          <w:rFonts w:eastAsia="Consolas" w:cs="Consolas" w:ascii="Consolas" w:hAnsi="Consolas"/>
          <w:color w:val="333333"/>
          <w:sz w:val="20"/>
          <w:szCs w:val="20"/>
        </w:rPr>
        <w:t>sac_scale</w:t>
      </w:r>
      <w:r>
        <w:rPr/>
        <w:t xml:space="preserve"> oder swissTLM3D). Die Weglinie zeigt dann die Schwierigkeit, das Band darum die Absturzfolgen. Der weisse Rand trennt beides, sodass auch eine rote T2-Linie auf rotem Band lesbar bleibt.</w:t>
      </w:r>
    </w:p>
    <w:p>
      <w:pPr>
        <w:pStyle w:val="Normal"/>
        <w:spacing w:before="0" w:after="120"/>
        <w:rPr/>
      </w:pPr>
      <w:r>
        <w:rPr/>
        <w:t>Für „mässig“ ist bewusst Hellorange statt Gelb gewählt, sonst verschwindet ein gelber T1-Weg im Band. Für „sehr hoch“ ist Magenta gewählt: Orange und Rot waren auf dem Smartphone kaum zu unterscheiden, Magenta sticht dagegen auch klein heraus und entspricht der pinken Markierung der DIGIWAY Exposure Map.</w:t>
      </w:r>
    </w:p>
    <w:p>
      <w:pPr>
        <w:pStyle w:val="Normal"/>
        <w:pBdr>
          <w:left w:val="single" w:sz="18" w:space="8" w:color="E6550D"/>
        </w:pBdr>
        <w:shd w:val="clear" w:color="auto" w:fill="FFF4E5"/>
        <w:spacing w:before="80" w:after="120"/>
        <w:ind w:left="120"/>
        <w:rPr/>
      </w:pPr>
      <w:r>
        <w:rPr/>
        <w:t xml:space="preserve">Band und Linie decken sich nur, wenn beide aus </w:t>
      </w:r>
      <w:r>
        <w:rPr>
          <w:b/>
          <w:bCs/>
        </w:rPr>
        <w:t>demselben Wegnetz</w:t>
      </w:r>
      <w:r>
        <w:rPr/>
        <w:t xml:space="preserve"> stammen. Für eine Karte mit OSM-</w:t>
      </w:r>
      <w:r>
        <w:rPr>
          <w:rFonts w:eastAsia="Consolas" w:cs="Consolas" w:ascii="Consolas" w:hAnsi="Consolas"/>
          <w:color w:val="333333"/>
          <w:sz w:val="20"/>
          <w:szCs w:val="20"/>
        </w:rPr>
        <w:t>sac_scale</w:t>
      </w:r>
      <w:r>
        <w:rPr/>
        <w:t xml:space="preserve"> muss das Absturzrisiko also mit den OSM-Wegen als Eingabe gerechnet werden.</w:t>
      </w:r>
      <w:r>
        <w:br w:type="page"/>
      </w:r>
    </w:p>
    <w:p>
      <w:pPr>
        <w:pStyle w:val="Heading1"/>
        <w:rPr/>
      </w:pPr>
      <w:bookmarkStart w:id="36" w:name="__RefHeading___Toc1232_784777474"/>
      <w:bookmarkEnd w:id="36"/>
      <w:r>
        <w:rPr/>
        <w:t>16  Vergleich mit Skitourenguru</w:t>
      </w:r>
    </w:p>
    <w:p>
      <w:pPr>
        <w:pStyle w:val="Normal"/>
        <w:spacing w:before="0" w:after="120"/>
        <w:rPr/>
      </w:pPr>
      <w:r>
        <w:rPr/>
        <w:t>Skitourenguru zeigt auf skitourenguru.ch unter „Sommerrouten“ ein Absturzrisiko für OSM- und amtliche Wegnetze. Die Daten sind nicht zur Weitergabe freigegeben, verglichen wurde deshalb visuell an bekannten Stellen.</w:t>
      </w:r>
    </w:p>
    <w:p>
      <w:pPr>
        <w:pStyle w:val="Heading2"/>
        <w:keepNext w:val="true"/>
        <w:rPr/>
      </w:pPr>
      <w:bookmarkStart w:id="37" w:name="__RefHeading___Toc1234_784777474"/>
      <w:bookmarkEnd w:id="37"/>
      <w:r>
        <w:rPr/>
        <w:t>16.1  Brüggler (GL)</w:t>
      </w:r>
    </w:p>
    <w:tbl>
      <w:tblPr>
        <w:tblW w:w="9026" w:type="dxa"/>
        <w:jc w:val="left"/>
        <w:tblInd w:w="0" w:type="dxa"/>
        <w:tblLayout w:type="fixed"/>
        <w:tblCellMar>
          <w:top w:w="60" w:type="dxa"/>
          <w:left w:w="100" w:type="dxa"/>
          <w:bottom w:w="60" w:type="dxa"/>
          <w:right w:w="100" w:type="dxa"/>
        </w:tblCellMar>
      </w:tblPr>
      <w:tblGrid>
        <w:gridCol w:w="3199"/>
        <w:gridCol w:w="2900"/>
        <w:gridCol w:w="2927"/>
      </w:tblGrid>
      <w:tr>
        <w:trPr>
          <w:tblHeader w:val="true"/>
        </w:trPr>
        <w:tc>
          <w:tcPr>
            <w:tcW w:w="319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Abschnitt</w:t>
            </w:r>
          </w:p>
        </w:tc>
        <w:tc>
          <w:tcPr>
            <w:tcW w:w="29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Skitourenguru</w:t>
            </w:r>
          </w:p>
        </w:tc>
        <w:tc>
          <w:tcPr>
            <w:tcW w:w="2927"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Dieses Modell</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Grat westlich P. 1711</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sehr hoch</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sehr hoch, gegen 1711 mässig/gering</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Wisswand-Grat östlich P. 1776</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sehr hoch</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sehr hoch</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Weg 1711 → 1776 über die Wiese</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gering bis hoch gemischt</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gering bis sehr hoch gemischt</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Unterer Weg durch die Felsbänder (T4)</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überwiegend mässig</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überwiegend mässig, einzelne Stücke hoch</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Weg nach Süden in den Wintereggwald</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gering</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oben mässig, unten gering</w:t>
            </w:r>
          </w:p>
        </w:tc>
      </w:tr>
    </w:tbl>
    <w:p>
      <w:pPr>
        <w:pStyle w:val="Normal"/>
        <w:spacing w:before="0" w:after="80"/>
        <w:rPr/>
      </w:pPr>
      <w:r>
        <w:rPr/>
      </w:r>
    </w:p>
    <w:p>
      <w:pPr>
        <w:pStyle w:val="Normal"/>
        <w:spacing w:before="0" w:after="120"/>
        <w:rPr/>
      </w:pPr>
      <w:r>
        <w:rPr/>
        <w:t>Die grosse Linie stimmt überein: Grate über Felsbändern sind „sehr hoch“, der T4-Weg „mässig“, der Waldweg „gering“. Stellenweise liegt dieses Modell eine Klasse höher.</w:t>
      </w:r>
    </w:p>
    <w:p>
      <w:pPr>
        <w:pStyle w:val="Heading2"/>
        <w:keepNext w:val="true"/>
        <w:rPr/>
      </w:pPr>
      <w:bookmarkStart w:id="38" w:name="__RefHeading___Toc1236_784777474"/>
      <w:bookmarkEnd w:id="38"/>
      <w:r>
        <w:rPr/>
        <w:t>16.2  Glärnisch (GL)</w:t>
      </w:r>
    </w:p>
    <w:p>
      <w:pPr>
        <w:pStyle w:val="Normal"/>
        <w:spacing w:before="0" w:after="120"/>
        <w:rPr/>
      </w:pPr>
      <w:r>
        <w:rPr/>
        <w:t>Die T6-Grate am Ruchen und am Schwander Grat werden als „hoch“ bis „sehr hoch“ eingestuft, die T5-Routen über den Glärnischfirn als „gering“. Das zeigt, warum Schwierigkeit und Absturzfolgen getrennt betrachtet werden: Eine Gletscherroute ist technisch anspruchsvoll, aber wenig absturzgefährdet.</w:t>
      </w:r>
    </w:p>
    <w:p>
      <w:pPr>
        <w:pStyle w:val="Heading2"/>
        <w:keepNext w:val="true"/>
        <w:rPr/>
      </w:pPr>
      <w:bookmarkStart w:id="39" w:name="__RefHeading___Toc1238_784777474"/>
      <w:bookmarkEnd w:id="39"/>
      <w:r>
        <w:rPr/>
        <w:t>16.3  Beurteilung</w:t>
      </w:r>
    </w:p>
    <w:p>
      <w:pPr>
        <w:pStyle w:val="Normal"/>
        <w:spacing w:before="0" w:after="120"/>
        <w:rPr/>
      </w:pPr>
      <w:r>
        <w:rPr/>
        <w:t>Aus Ortskenntnis der Gebiete wurde entschieden, Modell und Klassengrenzen vorerst unverändert zu lassen.</w:t>
      </w:r>
      <w:r>
        <w:br w:type="page"/>
      </w:r>
    </w:p>
    <w:p>
      <w:pPr>
        <w:pStyle w:val="Heading1"/>
        <w:rPr/>
      </w:pPr>
      <w:bookmarkStart w:id="40" w:name="__RefHeading___Toc1240_784777474"/>
      <w:bookmarkEnd w:id="40"/>
      <w:r>
        <w:rPr/>
        <w:t>17  Tests</w:t>
      </w:r>
    </w:p>
    <w:p>
      <w:pPr>
        <w:pStyle w:val="ListParagraph"/>
        <w:numPr>
          <w:ilvl w:val="0"/>
          <w:numId w:val="1"/>
        </w:numPr>
        <w:spacing w:before="0" w:after="60"/>
        <w:rPr/>
      </w:pPr>
      <w:r>
        <w:rPr>
          <w:b/>
          <w:bCs/>
        </w:rPr>
        <w:t>Synthetisches Gelände:</w:t>
      </w:r>
      <w:r>
        <w:rPr/>
        <w:t xml:space="preserve"> Ebene, 35°- und 45°-Hang, 45°-Hang mit 100 % Wald, Felswand. Die Ergebnisse (0, 14, 28 m/s; Klassen 1, 2, 3, 3, 4) entsprechen der Handrechnung.</w:t>
      </w:r>
    </w:p>
    <w:p>
      <w:pPr>
        <w:pStyle w:val="ListParagraph"/>
        <w:numPr>
          <w:ilvl w:val="0"/>
          <w:numId w:val="1"/>
        </w:numPr>
        <w:spacing w:before="0" w:after="60"/>
        <w:rPr/>
      </w:pPr>
      <w:r>
        <w:rPr>
          <w:b/>
          <w:bCs/>
        </w:rPr>
        <w:t>Kacheln:</w:t>
      </w:r>
      <w:r>
        <w:rPr/>
        <w:t xml:space="preserve"> Eine grosse Kachel und 1-km-Kacheln liefern identische Klassen. Abweichungen gibt es nur am Rand des Datengebiets.</w:t>
      </w:r>
    </w:p>
    <w:p>
      <w:pPr>
        <w:pStyle w:val="ListParagraph"/>
        <w:numPr>
          <w:ilvl w:val="0"/>
          <w:numId w:val="1"/>
        </w:numPr>
        <w:spacing w:before="0" w:after="60"/>
        <w:rPr/>
      </w:pPr>
      <w:r>
        <w:rPr>
          <w:b/>
          <w:bCs/>
        </w:rPr>
        <w:t>Gegenüber v2:</w:t>
      </w:r>
      <w:r>
        <w:rPr/>
        <w:t xml:space="preserve"> 99.5 % der Segmente haben dieselbe Klasse. Die Unterschiede kommen von der Ausrichtung am DEM-Gitter.</w:t>
      </w:r>
    </w:p>
    <w:p>
      <w:pPr>
        <w:pStyle w:val="ListParagraph"/>
        <w:numPr>
          <w:ilvl w:val="0"/>
          <w:numId w:val="1"/>
        </w:numPr>
        <w:spacing w:before="0" w:after="60"/>
        <w:rPr/>
      </w:pPr>
      <w:r>
        <w:rPr>
          <w:b/>
          <w:bCs/>
        </w:rPr>
        <w:t>Ausgabe:</w:t>
      </w:r>
      <w:r>
        <w:rPr/>
        <w:t xml:space="preserve"> GeoPackage, temporärer Layer und PostGIS geprüft, auch mit Eingaben mit vorhandenem </w:t>
      </w:r>
      <w:r>
        <w:rPr>
          <w:rFonts w:eastAsia="Consolas" w:cs="Consolas" w:ascii="Consolas" w:hAnsi="Consolas"/>
          <w:color w:val="333333"/>
          <w:sz w:val="20"/>
          <w:szCs w:val="20"/>
        </w:rPr>
        <w:t>seg_id</w:t>
      </w:r>
      <w:r>
        <w:rPr/>
        <w:t>, UUID- und Datumsfeldern, alten Ergebnisfeldern und Feldnamen, die sich nur in der Gross- und Kleinschreibung unterscheiden.</w:t>
      </w:r>
    </w:p>
    <w:p>
      <w:pPr>
        <w:pStyle w:val="ListParagraph"/>
        <w:numPr>
          <w:ilvl w:val="0"/>
          <w:numId w:val="1"/>
        </w:numPr>
        <w:spacing w:before="0" w:after="60"/>
        <w:rPr/>
      </w:pPr>
      <w:r>
        <w:rPr>
          <w:b/>
          <w:bCs/>
        </w:rPr>
        <w:t>Echte Daten:</w:t>
      </w:r>
      <w:r>
        <w:rPr/>
        <w:t xml:space="preserve"> Schweiz mit swissTLM3D (67 020 km) und OSM </w:t>
      </w:r>
      <w:r>
        <w:rPr>
          <w:rFonts w:eastAsia="Consolas" w:cs="Consolas" w:ascii="Consolas" w:hAnsi="Consolas"/>
          <w:color w:val="333333"/>
          <w:sz w:val="20"/>
          <w:szCs w:val="20"/>
        </w:rPr>
        <w:t>sac_scale</w:t>
      </w:r>
      <w:r>
        <w:rPr/>
        <w:t xml:space="preserve"> (23 427 km) auf macOS und Windows.</w:t>
      </w:r>
      <w:r>
        <w:br w:type="page"/>
      </w:r>
    </w:p>
    <w:p>
      <w:pPr>
        <w:pStyle w:val="Heading1"/>
        <w:rPr/>
      </w:pPr>
      <w:bookmarkStart w:id="41" w:name="__RefHeading___Toc1242_784777474"/>
      <w:bookmarkEnd w:id="41"/>
      <w:r>
        <w:rPr/>
        <w:t>18  Grenzen des Modells</w:t>
      </w:r>
    </w:p>
    <w:p>
      <w:pPr>
        <w:pStyle w:val="ListParagraph"/>
        <w:numPr>
          <w:ilvl w:val="0"/>
          <w:numId w:val="1"/>
        </w:numPr>
        <w:spacing w:before="0" w:after="60"/>
        <w:rPr/>
      </w:pPr>
      <w:r>
        <w:rPr>
          <w:b/>
          <w:bCs/>
        </w:rPr>
        <w:t>Kalibrierung:</w:t>
      </w:r>
      <w:r>
        <w:rPr/>
        <w:t xml:space="preserve"> μ, drag_len, k1 und die Klassengrenzen sind begründete Startwerte. Sie sind nicht systematisch geeicht, nur an bekannten Gebieten und am Vergleich mit Skitourenguru plausibilisiert.</w:t>
      </w:r>
    </w:p>
    <w:p>
      <w:pPr>
        <w:pStyle w:val="ListParagraph"/>
        <w:numPr>
          <w:ilvl w:val="0"/>
          <w:numId w:val="1"/>
        </w:numPr>
        <w:spacing w:before="0" w:after="60"/>
        <w:rPr/>
      </w:pPr>
      <w:r>
        <w:rPr>
          <w:b/>
          <w:bCs/>
        </w:rPr>
        <w:t>Technische Schwierigkeit:</w:t>
      </w:r>
      <w:r>
        <w:rPr/>
        <w:t xml:space="preserve"> Kletterstellen (z.B. UIAA II–III) erkennt das Modell nicht. Dafür ist </w:t>
      </w:r>
      <w:r>
        <w:rPr>
          <w:rFonts w:eastAsia="Consolas" w:cs="Consolas" w:ascii="Consolas" w:hAnsi="Consolas"/>
          <w:color w:val="333333"/>
          <w:sz w:val="20"/>
          <w:szCs w:val="20"/>
        </w:rPr>
        <w:t>sac_scale</w:t>
      </w:r>
      <w:r>
        <w:rPr/>
        <w:t xml:space="preserve"> bzw. die Wegkategorie da.</w:t>
      </w:r>
    </w:p>
    <w:p>
      <w:pPr>
        <w:pStyle w:val="ListParagraph"/>
        <w:numPr>
          <w:ilvl w:val="0"/>
          <w:numId w:val="1"/>
        </w:numPr>
        <w:spacing w:before="0" w:after="60"/>
        <w:rPr/>
      </w:pPr>
      <w:r>
        <w:rPr>
          <w:b/>
          <w:bCs/>
        </w:rPr>
        <w:t>Gletscher:</w:t>
      </w:r>
      <w:r>
        <w:rPr/>
        <w:t xml:space="preserve"> Spalten, Eis und Firn kennt das Modell nicht. Gletscherrouten erscheinen oft als „gering“.</w:t>
      </w:r>
    </w:p>
    <w:p>
      <w:pPr>
        <w:pStyle w:val="ListParagraph"/>
        <w:numPr>
          <w:ilvl w:val="0"/>
          <w:numId w:val="1"/>
        </w:numPr>
        <w:spacing w:before="0" w:after="60"/>
        <w:rPr/>
      </w:pPr>
      <w:r>
        <w:rPr>
          <w:b/>
          <w:bCs/>
        </w:rPr>
        <w:t>Oberfläche:</w:t>
      </w:r>
      <w:r>
        <w:rPr/>
        <w:t xml:space="preserve"> Gras, Geröll und Fels gleiten unterschiedlich. Das Modell kennt nur ein μ.</w:t>
      </w:r>
    </w:p>
    <w:p>
      <w:pPr>
        <w:pStyle w:val="ListParagraph"/>
        <w:numPr>
          <w:ilvl w:val="0"/>
          <w:numId w:val="1"/>
        </w:numPr>
        <w:spacing w:before="0" w:after="60"/>
        <w:rPr/>
      </w:pPr>
      <w:r>
        <w:rPr>
          <w:b/>
          <w:bCs/>
        </w:rPr>
        <w:t>Sicherungen</w:t>
      </w:r>
      <w:r>
        <w:rPr/>
        <w:t xml:space="preserve"> wie Seile, Ketten oder Geländer kennt es nicht.</w:t>
      </w:r>
    </w:p>
    <w:p>
      <w:pPr>
        <w:pStyle w:val="ListParagraph"/>
        <w:numPr>
          <w:ilvl w:val="0"/>
          <w:numId w:val="1"/>
        </w:numPr>
        <w:spacing w:before="0" w:after="60"/>
        <w:rPr/>
      </w:pPr>
      <w:r>
        <w:rPr>
          <w:b/>
          <w:bCs/>
        </w:rPr>
        <w:t>Lagefehler</w:t>
      </w:r>
      <w:r>
        <w:rPr/>
        <w:t xml:space="preserve"> der Wege von mehreren Metern können den Startpunkt in die falsche Hangseite legen. OSM-Wege weichen stellenweise deutlich vom Weg in der Landeskarte ab.</w:t>
      </w:r>
    </w:p>
    <w:p>
      <w:pPr>
        <w:pStyle w:val="ListParagraph"/>
        <w:numPr>
          <w:ilvl w:val="0"/>
          <w:numId w:val="1"/>
        </w:numPr>
        <w:spacing w:before="0" w:after="60"/>
        <w:rPr/>
      </w:pPr>
      <w:r>
        <w:rPr>
          <w:b/>
          <w:bCs/>
        </w:rPr>
        <w:t>DEM-Auflösung:</w:t>
      </w:r>
      <w:r>
        <w:rPr/>
        <w:t xml:space="preserve"> Schmale Felsbänder unter etwa 2–4 m Höhe glättet das 2-m-Raster teilweise weg. Ein 0.5-m-DEM bringt keine Verbesserung, weil dann Wegböschungen und Lagefehler das Ergebnis verrauschen.</w:t>
      </w:r>
    </w:p>
    <w:p>
      <w:pPr>
        <w:pStyle w:val="ListParagraph"/>
        <w:numPr>
          <w:ilvl w:val="0"/>
          <w:numId w:val="1"/>
        </w:numPr>
        <w:spacing w:before="0" w:after="60"/>
        <w:rPr/>
      </w:pPr>
      <w:r>
        <w:rPr>
          <w:b/>
          <w:bCs/>
        </w:rPr>
        <w:t>Kommandozeilen-Version</w:t>
      </w:r>
      <w:r>
        <w:rPr/>
        <w:t xml:space="preserve"> </w:t>
      </w:r>
      <w:r>
        <w:rPr>
          <w:rFonts w:eastAsia="Consolas" w:cs="Consolas" w:ascii="Consolas" w:hAnsi="Consolas"/>
          <w:color w:val="333333"/>
          <w:sz w:val="20"/>
          <w:szCs w:val="20"/>
        </w:rPr>
        <w:t>fall_exposure.py</w:t>
      </w:r>
      <w:r>
        <w:rPr/>
        <w:t>: Sie enthält dasselbe Modell, aber noch ohne Kacheln. Ihre Ergebnisse können sich in Einzelfällen leicht unterscheiden.</w:t>
      </w:r>
    </w:p>
    <w:p>
      <w:pPr>
        <w:pStyle w:val="Normal"/>
        <w:pBdr>
          <w:left w:val="single" w:sz="18" w:space="8" w:color="E6550D"/>
        </w:pBdr>
        <w:shd w:val="clear" w:color="auto" w:fill="FFF4E5"/>
        <w:spacing w:before="80" w:after="120"/>
        <w:ind w:left="120"/>
        <w:rPr/>
      </w:pPr>
      <w:r>
        <w:rPr>
          <w:b/>
          <w:bCs/>
        </w:rPr>
        <w:t>Das Ergebnis ist ein Modell, die Berechnungen können Fehler enthalten. Es ersetzt keine Beurteilung im Gelände.</w:t>
      </w:r>
    </w:p>
    <w:p>
      <w:pPr>
        <w:pStyle w:val="Heading2"/>
        <w:keepNext w:val="true"/>
        <w:rPr/>
      </w:pPr>
      <w:bookmarkStart w:id="42" w:name="__RefHeading___Toc1244_784777474"/>
      <w:bookmarkEnd w:id="42"/>
      <w:r>
        <w:rPr/>
        <w:t>18.1  Quellen</w:t>
      </w:r>
    </w:p>
    <w:p>
      <w:pPr>
        <w:pStyle w:val="ListParagraph"/>
        <w:numPr>
          <w:ilvl w:val="0"/>
          <w:numId w:val="1"/>
        </w:numPr>
        <w:spacing w:before="0" w:after="60"/>
        <w:rPr/>
      </w:pPr>
      <w:r>
        <w:rPr/>
        <w:t>Skitourenguru Wiki, Artikel a0077: https://wiki.skitourenguru.com/de/articles/a0077.html</w:t>
      </w:r>
    </w:p>
    <w:p>
      <w:pPr>
        <w:pStyle w:val="ListParagraph"/>
        <w:numPr>
          <w:ilvl w:val="0"/>
          <w:numId w:val="1"/>
        </w:numPr>
        <w:spacing w:before="0" w:after="60"/>
        <w:rPr/>
      </w:pPr>
      <w:r>
        <w:rPr/>
        <w:t>DIGIWAY Exposure Map (Euregio Tirol – Südtirol – Trentino): https://www.europaregion.info/en/euregio/projekte/nachhaltigkeit/digiway-geodata-for-safety-in-the-mountains/exposure-map/</w:t>
      </w:r>
    </w:p>
    <w:p>
      <w:pPr>
        <w:pStyle w:val="ListParagraph"/>
        <w:numPr>
          <w:ilvl w:val="0"/>
          <w:numId w:val="1"/>
        </w:numPr>
        <w:spacing w:before="0" w:after="60"/>
        <w:rPr/>
      </w:pPr>
      <w:r>
        <w:rPr/>
        <w:t>OpenStreetMap Wiki, Key:sac_scale und Key:hiking_exposition: https://wiki.openstreetmap.org</w:t>
      </w:r>
    </w:p>
    <w:p>
      <w:pPr>
        <w:pStyle w:val="ListParagraph"/>
        <w:numPr>
          <w:ilvl w:val="0"/>
          <w:numId w:val="1"/>
        </w:numPr>
        <w:spacing w:before="0" w:after="60"/>
        <w:rPr/>
      </w:pPr>
      <w:r>
        <w:rPr/>
        <w:t>SAC-Wanderskala: https://www.sac-cas.ch</w:t>
      </w:r>
    </w:p>
    <w:p>
      <w:pPr>
        <w:pStyle w:val="ListParagraph"/>
        <w:numPr>
          <w:ilvl w:val="0"/>
          <w:numId w:val="1"/>
        </w:numPr>
        <w:spacing w:before="0" w:after="60"/>
        <w:rPr/>
      </w:pPr>
      <w:r>
        <w:rPr/>
        <w:t>Copernicus Land Monitoring Service, Tree Cover Density: https://land.copernicus.eu</w:t>
      </w:r>
    </w:p>
    <w:p>
      <w:pPr>
        <w:pStyle w:val="ListParagraph"/>
        <w:numPr>
          <w:ilvl w:val="0"/>
          <w:numId w:val="1"/>
        </w:numPr>
        <w:spacing w:before="0" w:after="60"/>
        <w:rPr/>
      </w:pPr>
      <w:r>
        <w:rPr/>
        <w:t>Sappington, Longshore &amp; Thompson (2007): Vector Ruggedness Measure, Journal of Wildlife Management 71(5).</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color w:val="808080"/>
        <w:sz w:val="18"/>
        <w:szCs w:val="18"/>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8"/>
        <w:szCs w:val="18"/>
      </w:rPr>
      <w:t xml:space="preserve">Seite </w:t>
    </w: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20</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 xml:space="preserve"> NUMPAGES </w:instrText>
    </w:r>
    <w:r>
      <w:rPr>
        <w:color w:val="808080"/>
        <w:sz w:val="18"/>
        <w:szCs w:val="18"/>
      </w:rPr>
      <w:fldChar w:fldCharType="separate"/>
    </w:r>
    <w:r>
      <w:rPr>
        <w:color w:val="808080"/>
        <w:sz w:val="18"/>
        <w:szCs w:val="18"/>
      </w:rPr>
      <w:t>20</w:t>
    </w:r>
    <w:r>
      <w:rPr>
        <w:color w:val="808080"/>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color w:val="808080"/>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08080"/>
        <w:sz w:val="18"/>
        <w:szCs w:val="18"/>
      </w:rPr>
      <w:t>Absturzrisiko Wanderwege – fall_exposure_qgis.py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0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60" w:after="160"/>
      <w:outlineLvl w:val="0"/>
    </w:pPr>
    <w:rPr>
      <w:rFonts w:ascii="Calibri" w:hAnsi="Calibri" w:eastAsia="Calibri" w:cs="Calibri"/>
      <w:b/>
      <w:bCs/>
      <w:color w:val="1F4E79"/>
      <w:sz w:val="32"/>
      <w:szCs w:val="32"/>
    </w:rPr>
  </w:style>
  <w:style w:type="paragraph" w:styleId="Heading2">
    <w:name w:val="Heading 2"/>
    <w:basedOn w:val="Heading"/>
    <w:qFormat/>
    <w:pPr>
      <w:spacing w:before="240" w:after="100"/>
      <w:outlineLvl w:val="1"/>
    </w:pPr>
    <w:rPr>
      <w:rFonts w:ascii="Calibri" w:hAnsi="Calibri" w:eastAsia="Calibri" w:cs="Calibri"/>
      <w:b/>
      <w:bCs/>
      <w:color w:val="2E75B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20</Pages>
  <Words>3950</Words>
  <Characters>23001</Characters>
  <CharactersWithSpaces>26710</CharactersWithSpaces>
  <Paragraphs>465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2026-10-12T10:08:39Z</dcterms:created>
  <dc:creator>BERGI IT Consulting</dc:creator>
  <dc:description/>
  <dc:language>en-US</dc:language>
  <cp:lastModifiedBy/>
  <dcterms:modified xsi:type="dcterms:W3CDTF">2026-10-12T12:08:42Z</dcterms:modified>
  <cp:revision>2</cp:revision>
  <dc:subject/>
  <dc:title>Absturzrisiko Wanderwege – Dokumentation</dc:title>
</cp:coreProperties>
</file>