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2">
      <w:pPr>
        <w:rPr>
          <w:color w:val="38761d"/>
          <w:sz w:val="60"/>
          <w:szCs w:val="60"/>
        </w:rPr>
      </w:pPr>
      <w:r w:rsidDel="00000000" w:rsidR="00000000" w:rsidRPr="00000000">
        <w:rPr>
          <w:rtl w:val="0"/>
        </w:rPr>
      </w:r>
    </w:p>
    <w:p w:rsidR="00000000" w:rsidDel="00000000" w:rsidP="00000000" w:rsidRDefault="00000000" w:rsidRPr="00000000" w14:paraId="00000003">
      <w:pPr>
        <w:rPr>
          <w:color w:val="073763"/>
          <w:sz w:val="60"/>
          <w:szCs w:val="60"/>
        </w:rPr>
      </w:pPr>
      <w:r w:rsidDel="00000000" w:rsidR="00000000" w:rsidRPr="00000000">
        <w:rPr>
          <w:rtl w:val="0"/>
        </w:rPr>
      </w:r>
    </w:p>
    <w:p w:rsidR="00000000" w:rsidDel="00000000" w:rsidP="00000000" w:rsidRDefault="00000000" w:rsidRPr="00000000" w14:paraId="00000004">
      <w:pPr>
        <w:jc w:val="center"/>
        <w:rPr>
          <w:color w:val="073763"/>
          <w:sz w:val="48"/>
          <w:szCs w:val="48"/>
        </w:rPr>
      </w:pPr>
      <w:r w:rsidDel="00000000" w:rsidR="00000000" w:rsidRPr="00000000">
        <w:rPr>
          <w:color w:val="073763"/>
          <w:sz w:val="48"/>
          <w:szCs w:val="48"/>
          <w:rtl w:val="0"/>
        </w:rPr>
        <w:t xml:space="preserve">Proposal to Provide</w:t>
      </w:r>
    </w:p>
    <w:p w:rsidR="00000000" w:rsidDel="00000000" w:rsidP="00000000" w:rsidRDefault="00000000" w:rsidRPr="00000000" w14:paraId="00000005">
      <w:pPr>
        <w:jc w:val="center"/>
        <w:rPr>
          <w:color w:val="073763"/>
          <w:sz w:val="48"/>
          <w:szCs w:val="48"/>
        </w:rPr>
      </w:pPr>
      <w:r w:rsidDel="00000000" w:rsidR="00000000" w:rsidRPr="00000000">
        <w:rPr>
          <w:color w:val="073763"/>
          <w:sz w:val="48"/>
          <w:szCs w:val="48"/>
          <w:rtl w:val="0"/>
        </w:rPr>
        <w:t xml:space="preserve">Bank Charter Advisory Services</w:t>
      </w:r>
    </w:p>
    <w:p w:rsidR="00000000" w:rsidDel="00000000" w:rsidP="00000000" w:rsidRDefault="00000000" w:rsidRPr="00000000" w14:paraId="00000006">
      <w:pPr>
        <w:pBdr>
          <w:top w:space="0" w:sz="0" w:val="nil"/>
          <w:left w:space="0" w:sz="0" w:val="nil"/>
          <w:bottom w:space="0" w:sz="0" w:val="nil"/>
          <w:right w:space="0" w:sz="0" w:val="nil"/>
          <w:between w:space="0" w:sz="0" w:val="nil"/>
        </w:pBdr>
        <w:jc w:val="center"/>
        <w:rPr>
          <w:color w:val="073763"/>
          <w:sz w:val="56"/>
          <w:szCs w:val="5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jc w:val="center"/>
        <w:rPr>
          <w:sz w:val="32"/>
          <w:szCs w:val="32"/>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2144530" cy="745774"/>
            <wp:effectExtent b="0" l="0" r="0" t="0"/>
            <wp:docPr id="211379453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144530" cy="745774"/>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rFonts w:ascii="Roboto" w:cs="Roboto" w:eastAsia="Roboto" w:hAnsi="Roboto"/>
          <w:b w:val="1"/>
          <w:bCs w:val="1"/>
        </w:rPr>
      </w:pPr>
      <w:r w:rsidDel="00000000" w:rsidR="00000000" w:rsidRPr="00000000">
        <w:rPr>
          <w:rFonts w:ascii="Roboto" w:cs="Roboto" w:eastAsia="Roboto" w:hAnsi="Roboto"/>
          <w:b w:val="1"/>
          <w:bCs w:val="1"/>
          <w:rtl w:val="0"/>
        </w:rPr>
        <w:t xml:space="preserve">FS Vector LLC</w:t>
      </w:r>
    </w:p>
    <w:p w:rsidR="00000000" w:rsidDel="00000000" w:rsidP="00000000" w:rsidRDefault="00000000" w:rsidRPr="00000000" w14:paraId="00000010">
      <w:pPr>
        <w:spacing w:after="0" w:line="240" w:lineRule="auto"/>
        <w:rPr>
          <w:rFonts w:ascii="Roboto" w:cs="Roboto" w:eastAsia="Roboto" w:hAnsi="Roboto"/>
          <w:b w:val="1"/>
          <w:bCs w:val="1"/>
        </w:rPr>
      </w:pPr>
      <w:r w:rsidDel="00000000" w:rsidR="00000000" w:rsidRPr="00000000">
        <w:rPr>
          <w:rFonts w:ascii="Roboto" w:cs="Roboto" w:eastAsia="Roboto" w:hAnsi="Roboto"/>
          <w:rtl w:val="0"/>
        </w:rPr>
        <w:t xml:space="preserve">1307 New York Avenue NW, 6</w:t>
      </w:r>
      <w:r w:rsidDel="00000000" w:rsidR="00000000" w:rsidRPr="00000000">
        <w:rPr>
          <w:rFonts w:ascii="Roboto" w:cs="Roboto" w:eastAsia="Roboto" w:hAnsi="Roboto"/>
          <w:vertAlign w:val="superscript"/>
          <w:rtl w:val="0"/>
        </w:rPr>
        <w:t xml:space="preserve">th</w:t>
      </w:r>
      <w:r w:rsidDel="00000000" w:rsidR="00000000" w:rsidRPr="00000000">
        <w:rPr>
          <w:rFonts w:ascii="Roboto" w:cs="Roboto" w:eastAsia="Roboto" w:hAnsi="Roboto"/>
          <w:rtl w:val="0"/>
        </w:rPr>
        <w:t xml:space="preserve"> Floor</w:t>
      </w:r>
      <w:r w:rsidDel="00000000" w:rsidR="00000000" w:rsidRPr="00000000">
        <w:rPr>
          <w:rtl w:val="0"/>
        </w:rPr>
      </w:r>
    </w:p>
    <w:p w:rsidR="00000000" w:rsidDel="00000000" w:rsidP="00000000" w:rsidRDefault="00000000" w:rsidRPr="00000000" w14:paraId="00000011">
      <w:pPr>
        <w:spacing w:after="0" w:line="240" w:lineRule="auto"/>
        <w:rPr>
          <w:rFonts w:ascii="Roboto" w:cs="Roboto" w:eastAsia="Roboto" w:hAnsi="Roboto"/>
        </w:rPr>
      </w:pPr>
      <w:r w:rsidDel="00000000" w:rsidR="00000000" w:rsidRPr="00000000">
        <w:rPr>
          <w:rFonts w:ascii="Roboto" w:cs="Roboto" w:eastAsia="Roboto" w:hAnsi="Roboto"/>
          <w:rtl w:val="0"/>
        </w:rPr>
        <w:t xml:space="preserve">Washington, DC 20005</w:t>
      </w:r>
    </w:p>
    <w:p w:rsidR="00000000" w:rsidDel="00000000" w:rsidP="00000000" w:rsidRDefault="00000000" w:rsidRPr="00000000" w14:paraId="00000012">
      <w:pPr>
        <w:spacing w:after="0" w:line="240" w:lineRule="auto"/>
        <w:rPr>
          <w:rFonts w:ascii="Roboto" w:cs="Roboto" w:eastAsia="Roboto" w:hAnsi="Roboto"/>
        </w:rPr>
      </w:pPr>
      <w:r w:rsidDel="00000000" w:rsidR="00000000" w:rsidRPr="00000000">
        <w:rPr>
          <w:rFonts w:ascii="Roboto" w:cs="Roboto" w:eastAsia="Roboto" w:hAnsi="Roboto"/>
          <w:rtl w:val="0"/>
        </w:rPr>
        <w:t xml:space="preserve">fsvector.com</w:t>
      </w:r>
    </w:p>
    <w:p w:rsidR="00000000" w:rsidDel="00000000" w:rsidP="00000000" w:rsidRDefault="00000000" w:rsidRPr="00000000" w14:paraId="00000013">
      <w:pPr>
        <w:rPr>
          <w:rFonts w:ascii="Roboto" w:cs="Roboto" w:eastAsia="Roboto" w:hAnsi="Roboto"/>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4">
      <w:pPr>
        <w:rPr>
          <w:sz w:val="36"/>
          <w:szCs w:val="36"/>
        </w:rPr>
      </w:pPr>
      <w:r w:rsidDel="00000000" w:rsidR="00000000" w:rsidRPr="00000000">
        <w:rPr>
          <w:sz w:val="36"/>
          <w:szCs w:val="36"/>
          <w:rtl w:val="0"/>
        </w:rPr>
        <w:t xml:space="preserve">Contents</w:t>
      </w:r>
    </w:p>
    <w:sdt>
      <w:sdtPr>
        <w:id w:val="189124965"/>
        <w:docPartObj>
          <w:docPartGallery w:val="Table of Contents"/>
          <w:docPartUnique w:val="1"/>
        </w:docPartObj>
      </w:sdtPr>
      <w:sdtContent>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12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fz8j88fvyeud">
            <w:r w:rsidDel="00000000" w:rsidR="00000000" w:rsidRPr="00000000">
              <w:rPr>
                <w:rFonts w:ascii="Roboto Light" w:cs="Roboto Light" w:eastAsia="Roboto Light" w:hAnsi="Roboto Light"/>
                <w:b w:val="1"/>
                <w:bCs w:val="1"/>
                <w:i w:val="0"/>
                <w:iCs w:val="0"/>
                <w:smallCaps w:val="1"/>
                <w:strike w:val="0"/>
                <w:color w:val="000000"/>
                <w:sz w:val="20"/>
                <w:szCs w:val="20"/>
                <w:u w:val="none"/>
                <w:shd w:fill="auto" w:val="clear"/>
                <w:vertAlign w:val="baseline"/>
                <w:rtl w:val="0"/>
              </w:rPr>
              <w:t xml:space="preserve">Engagement Background</w:t>
              <w:tab/>
              <w:t xml:space="preserve">2</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12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3ytkhrpox92">
            <w:r w:rsidDel="00000000" w:rsidR="00000000" w:rsidRPr="00000000">
              <w:rPr>
                <w:rFonts w:ascii="Roboto Light" w:cs="Roboto Light" w:eastAsia="Roboto Light" w:hAnsi="Roboto Light"/>
                <w:b w:val="1"/>
                <w:bCs w:val="1"/>
                <w:i w:val="0"/>
                <w:iCs w:val="0"/>
                <w:smallCaps w:val="1"/>
                <w:strike w:val="0"/>
                <w:color w:val="000000"/>
                <w:sz w:val="20"/>
                <w:szCs w:val="20"/>
                <w:u w:val="none"/>
                <w:shd w:fill="auto" w:val="clear"/>
                <w:vertAlign w:val="baseline"/>
                <w:rtl w:val="0"/>
              </w:rPr>
              <w:t xml:space="preserve">About FS Vector</w:t>
              <w:tab/>
              <w:t xml:space="preserve">2</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12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1h6roh9gfwf">
            <w:r w:rsidDel="00000000" w:rsidR="00000000" w:rsidRPr="00000000">
              <w:rPr>
                <w:rFonts w:ascii="Roboto Light" w:cs="Roboto Light" w:eastAsia="Roboto Light" w:hAnsi="Roboto Light"/>
                <w:b w:val="1"/>
                <w:bCs w:val="1"/>
                <w:i w:val="0"/>
                <w:iCs w:val="0"/>
                <w:smallCaps w:val="1"/>
                <w:strike w:val="0"/>
                <w:color w:val="000000"/>
                <w:sz w:val="20"/>
                <w:szCs w:val="20"/>
                <w:u w:val="none"/>
                <w:shd w:fill="auto" w:val="clear"/>
                <w:vertAlign w:val="baseline"/>
                <w:rtl w:val="0"/>
              </w:rPr>
              <w:t xml:space="preserve">Engagement Scope and Fees</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120" w:before="0" w:line="276" w:lineRule="auto"/>
            <w:ind w:left="2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pes25owvsah">
            <w:r w:rsidDel="00000000" w:rsidR="00000000" w:rsidRPr="00000000">
              <w:rPr>
                <w:rFonts w:ascii="Roboto Light" w:cs="Roboto Light" w:eastAsia="Roboto Light" w:hAnsi="Roboto Light"/>
                <w:b w:val="0"/>
                <w:bCs w:val="0"/>
                <w:i w:val="0"/>
                <w:iCs w:val="0"/>
                <w:smallCaps w:val="1"/>
                <w:strike w:val="0"/>
                <w:color w:val="000000"/>
                <w:sz w:val="20"/>
                <w:szCs w:val="20"/>
                <w:u w:val="none"/>
                <w:shd w:fill="auto" w:val="clear"/>
                <w:vertAlign w:val="baseline"/>
                <w:rtl w:val="0"/>
              </w:rPr>
              <w:t xml:space="preserve">1.</w:t>
            </w:r>
          </w:hyperlink>
          <w:hyperlink w:anchor="_heading=h.gpes25owvsa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_heading=h.gpes25owvsah \h </w:instrText>
            <w:fldChar w:fldCharType="separate"/>
          </w:r>
          <w:r w:rsidDel="00000000" w:rsidR="00000000" w:rsidRPr="00000000">
            <w:rPr>
              <w:rFonts w:ascii="Roboto Light" w:cs="Roboto Light" w:eastAsia="Roboto Light" w:hAnsi="Roboto Light"/>
              <w:b w:val="0"/>
              <w:bCs w:val="0"/>
              <w:i w:val="0"/>
              <w:iCs w:val="0"/>
              <w:smallCaps w:val="1"/>
              <w:strike w:val="0"/>
              <w:color w:val="000000"/>
              <w:sz w:val="20"/>
              <w:szCs w:val="20"/>
              <w:u w:val="none"/>
              <w:shd w:fill="auto" w:val="clear"/>
              <w:vertAlign w:val="baseline"/>
              <w:rtl w:val="0"/>
            </w:rPr>
            <w:t xml:space="preserve">Exploration, Analysis, and Planning</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120" w:before="0" w:line="276" w:lineRule="auto"/>
            <w:ind w:left="2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zk7m3cgrloc">
            <w:r w:rsidDel="00000000" w:rsidR="00000000" w:rsidRPr="00000000">
              <w:rPr>
                <w:rFonts w:ascii="Roboto Light" w:cs="Roboto Light" w:eastAsia="Roboto Light" w:hAnsi="Roboto Light"/>
                <w:b w:val="0"/>
                <w:bCs w:val="0"/>
                <w:i w:val="0"/>
                <w:iCs w:val="0"/>
                <w:smallCaps w:val="1"/>
                <w:strike w:val="0"/>
                <w:color w:val="000000"/>
                <w:sz w:val="20"/>
                <w:szCs w:val="20"/>
                <w:u w:val="none"/>
                <w:shd w:fill="auto" w:val="clear"/>
                <w:vertAlign w:val="baseline"/>
                <w:rtl w:val="0"/>
              </w:rPr>
              <w:t xml:space="preserve">2.</w:t>
            </w:r>
          </w:hyperlink>
          <w:hyperlink w:anchor="_heading=h.azk7m3cgrloc">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_heading=h.azk7m3cgrloc \h </w:instrText>
            <w:fldChar w:fldCharType="separate"/>
          </w:r>
          <w:r w:rsidDel="00000000" w:rsidR="00000000" w:rsidRPr="00000000">
            <w:rPr>
              <w:rFonts w:ascii="Roboto Light" w:cs="Roboto Light" w:eastAsia="Roboto Light" w:hAnsi="Roboto Light"/>
              <w:b w:val="0"/>
              <w:bCs w:val="0"/>
              <w:i w:val="0"/>
              <w:iCs w:val="0"/>
              <w:smallCaps w:val="1"/>
              <w:strike w:val="0"/>
              <w:color w:val="000000"/>
              <w:sz w:val="20"/>
              <w:szCs w:val="20"/>
              <w:u w:val="none"/>
              <w:shd w:fill="auto" w:val="clear"/>
              <w:vertAlign w:val="baseline"/>
              <w:rtl w:val="0"/>
            </w:rPr>
            <w:t xml:space="preserve">Pre-Filing Charter Application Support</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120" w:before="0" w:line="276" w:lineRule="auto"/>
            <w:ind w:left="2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19tjx7dn06r">
            <w:r w:rsidDel="00000000" w:rsidR="00000000" w:rsidRPr="00000000">
              <w:rPr>
                <w:rFonts w:ascii="Roboto Light" w:cs="Roboto Light" w:eastAsia="Roboto Light" w:hAnsi="Roboto Light"/>
                <w:b w:val="0"/>
                <w:bCs w:val="0"/>
                <w:i w:val="0"/>
                <w:iCs w:val="0"/>
                <w:smallCaps w:val="1"/>
                <w:strike w:val="0"/>
                <w:color w:val="000000"/>
                <w:sz w:val="20"/>
                <w:szCs w:val="20"/>
                <w:u w:val="none"/>
                <w:shd w:fill="auto" w:val="clear"/>
                <w:vertAlign w:val="baseline"/>
                <w:rtl w:val="0"/>
              </w:rPr>
              <w:t xml:space="preserve">3.</w:t>
            </w:r>
          </w:hyperlink>
          <w:hyperlink w:anchor="_heading=h.o19tjx7dn06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_heading=h.o19tjx7dn06r \h </w:instrText>
            <w:fldChar w:fldCharType="separate"/>
          </w:r>
          <w:r w:rsidDel="00000000" w:rsidR="00000000" w:rsidRPr="00000000">
            <w:rPr>
              <w:rFonts w:ascii="Roboto Light" w:cs="Roboto Light" w:eastAsia="Roboto Light" w:hAnsi="Roboto Light"/>
              <w:b w:val="0"/>
              <w:bCs w:val="0"/>
              <w:i w:val="0"/>
              <w:iCs w:val="0"/>
              <w:smallCaps w:val="1"/>
              <w:strike w:val="0"/>
              <w:color w:val="000000"/>
              <w:sz w:val="20"/>
              <w:szCs w:val="20"/>
              <w:u w:val="none"/>
              <w:shd w:fill="auto" w:val="clear"/>
              <w:vertAlign w:val="baseline"/>
              <w:rtl w:val="0"/>
            </w:rPr>
            <w:t xml:space="preserve">Post-Filing Charter Application Support</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12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y4bj0ypmk8e">
            <w:r w:rsidDel="00000000" w:rsidR="00000000" w:rsidRPr="00000000">
              <w:rPr>
                <w:rFonts w:ascii="Roboto Light" w:cs="Roboto Light" w:eastAsia="Roboto Light" w:hAnsi="Roboto Light"/>
                <w:b w:val="1"/>
                <w:bCs w:val="1"/>
                <w:i w:val="0"/>
                <w:iCs w:val="0"/>
                <w:smallCaps w:val="1"/>
                <w:strike w:val="0"/>
                <w:color w:val="000000"/>
                <w:sz w:val="20"/>
                <w:szCs w:val="20"/>
                <w:u w:val="none"/>
                <w:shd w:fill="auto" w:val="clear"/>
                <w:vertAlign w:val="baseline"/>
                <w:rtl w:val="0"/>
              </w:rPr>
              <w:t xml:space="preserve">External Counsel Considerations</w:t>
              <w:tab/>
              <w:t xml:space="preserve">7</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12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da2z59qu7f9">
            <w:r w:rsidDel="00000000" w:rsidR="00000000" w:rsidRPr="00000000">
              <w:rPr>
                <w:rFonts w:ascii="Roboto Light" w:cs="Roboto Light" w:eastAsia="Roboto Light" w:hAnsi="Roboto Light"/>
                <w:b w:val="1"/>
                <w:bCs w:val="1"/>
                <w:i w:val="0"/>
                <w:iCs w:val="0"/>
                <w:smallCaps w:val="1"/>
                <w:strike w:val="0"/>
                <w:color w:val="000000"/>
                <w:sz w:val="20"/>
                <w:szCs w:val="20"/>
                <w:u w:val="none"/>
                <w:shd w:fill="auto" w:val="clear"/>
                <w:vertAlign w:val="baseline"/>
                <w:rtl w:val="0"/>
              </w:rPr>
              <w:t xml:space="preserve">Core Team Personnel</w:t>
              <w:tab/>
              <w:t xml:space="preserve">8</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12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37s8gsrnsug">
            <w:r w:rsidDel="00000000" w:rsidR="00000000" w:rsidRPr="00000000">
              <w:rPr>
                <w:rFonts w:ascii="Roboto Light" w:cs="Roboto Light" w:eastAsia="Roboto Light" w:hAnsi="Roboto Light"/>
                <w:b w:val="1"/>
                <w:bCs w:val="1"/>
                <w:i w:val="0"/>
                <w:iCs w:val="0"/>
                <w:smallCaps w:val="1"/>
                <w:strike w:val="0"/>
                <w:color w:val="000000"/>
                <w:sz w:val="20"/>
                <w:szCs w:val="20"/>
                <w:u w:val="none"/>
                <w:shd w:fill="auto" w:val="clear"/>
                <w:vertAlign w:val="baseline"/>
                <w:rtl w:val="0"/>
              </w:rPr>
              <w:t xml:space="preserve">Summary of Team Credentials and Recent Experience</w:t>
              <w:tab/>
              <w:t xml:space="preserve">9</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12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ly7qlossl45">
            <w:r w:rsidDel="00000000" w:rsidR="00000000" w:rsidRPr="00000000">
              <w:rPr>
                <w:rFonts w:ascii="Roboto Light" w:cs="Roboto Light" w:eastAsia="Roboto Light" w:hAnsi="Roboto Light"/>
                <w:b w:val="1"/>
                <w:bCs w:val="1"/>
                <w:i w:val="0"/>
                <w:iCs w:val="0"/>
                <w:smallCaps w:val="1"/>
                <w:strike w:val="0"/>
                <w:color w:val="000000"/>
                <w:sz w:val="20"/>
                <w:szCs w:val="20"/>
                <w:u w:val="none"/>
                <w:shd w:fill="auto" w:val="clear"/>
                <w:vertAlign w:val="baseline"/>
                <w:rtl w:val="0"/>
              </w:rPr>
              <w:t xml:space="preserve">Sample Projects</w:t>
              <w:tab/>
              <w:t xml:space="preserve">10</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12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875yyq90sm2">
            <w:r w:rsidDel="00000000" w:rsidR="00000000" w:rsidRPr="00000000">
              <w:rPr>
                <w:rFonts w:ascii="Roboto Light" w:cs="Roboto Light" w:eastAsia="Roboto Light" w:hAnsi="Roboto Light"/>
                <w:b w:val="1"/>
                <w:bCs w:val="1"/>
                <w:i w:val="0"/>
                <w:iCs w:val="0"/>
                <w:smallCaps w:val="1"/>
                <w:strike w:val="0"/>
                <w:color w:val="000000"/>
                <w:sz w:val="20"/>
                <w:szCs w:val="20"/>
                <w:u w:val="none"/>
                <w:shd w:fill="auto" w:val="clear"/>
                <w:vertAlign w:val="baseline"/>
                <w:rtl w:val="0"/>
              </w:rPr>
              <w:t xml:space="preserve">Optional Services: Staffing and Recruiting</w:t>
              <w:tab/>
              <w:t xml:space="preserve">12</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12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d9mprrnq7m1">
            <w:r w:rsidDel="00000000" w:rsidR="00000000" w:rsidRPr="00000000">
              <w:rPr>
                <w:rFonts w:ascii="Roboto Light" w:cs="Roboto Light" w:eastAsia="Roboto Light" w:hAnsi="Roboto Light"/>
                <w:b w:val="1"/>
                <w:bCs w:val="1"/>
                <w:i w:val="0"/>
                <w:iCs w:val="0"/>
                <w:smallCaps w:val="1"/>
                <w:strike w:val="0"/>
                <w:color w:val="000000"/>
                <w:sz w:val="20"/>
                <w:szCs w:val="20"/>
                <w:u w:val="none"/>
                <w:shd w:fill="auto" w:val="clear"/>
                <w:vertAlign w:val="baseline"/>
                <w:rtl w:val="0"/>
              </w:rPr>
              <w:t xml:space="preserve">FS Vector Advisory Team</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jc w:val="left"/>
            <w:rPr>
              <w:rFonts w:ascii="Arial" w:cs="Arial" w:eastAsia="Arial" w:hAnsi="Arial"/>
              <w:b w:val="1"/>
              <w:bCs w:val="1"/>
              <w:color w:val="000000"/>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rFonts w:ascii="Roboto" w:cs="Roboto" w:eastAsia="Roboto" w:hAnsi="Roboto"/>
          <w:color w:val="000000"/>
          <w:sz w:val="28"/>
          <w:szCs w:val="28"/>
        </w:rPr>
      </w:pPr>
      <w:r w:rsidDel="00000000" w:rsidR="00000000" w:rsidRPr="00000000">
        <w:rPr>
          <w:rtl w:val="0"/>
        </w:rPr>
      </w:r>
    </w:p>
    <w:p w:rsidR="00000000" w:rsidDel="00000000" w:rsidP="00000000" w:rsidRDefault="00000000" w:rsidRPr="00000000" w14:paraId="00000023">
      <w:pPr>
        <w:tabs>
          <w:tab w:val="left" w:leader="none" w:pos="1200"/>
        </w:tabs>
        <w:rPr/>
      </w:pPr>
      <w:r w:rsidDel="00000000" w:rsidR="00000000" w:rsidRPr="00000000">
        <w:rPr>
          <w:rtl w:val="0"/>
        </w:rPr>
        <w:tab/>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tabs>
          <w:tab w:val="right" w:leader="none" w:pos="12000"/>
        </w:tabs>
        <w:spacing w:after="0" w:before="60" w:line="240" w:lineRule="auto"/>
        <w:jc w:val="left"/>
        <w:rPr>
          <w:rFonts w:ascii="Roboto" w:cs="Roboto" w:eastAsia="Roboto" w:hAnsi="Roboto"/>
          <w:smallCap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bookmarkStart w:colFirst="0" w:colLast="0" w:name="_heading=h.fz8j88fvyeud" w:id="0"/>
      <w:bookmarkEnd w:id="0"/>
      <w:r w:rsidDel="00000000" w:rsidR="00000000" w:rsidRPr="00000000">
        <w:rPr>
          <w:rtl w:val="0"/>
        </w:rPr>
        <w:t xml:space="preserve">Engagement Background</w:t>
      </w:r>
    </w:p>
    <w:p w:rsidR="00000000" w:rsidDel="00000000" w:rsidP="00000000" w:rsidRDefault="00000000" w:rsidRPr="00000000" w14:paraId="00000026">
      <w:pPr>
        <w:pBdr>
          <w:top w:space="0" w:sz="0" w:val="nil"/>
          <w:left w:space="0" w:sz="0" w:val="nil"/>
          <w:bottom w:space="0" w:sz="0" w:val="nil"/>
          <w:right w:space="0" w:sz="0" w:val="nil"/>
          <w:between w:space="0" w:sz="0" w:val="nil"/>
        </w:pBdr>
        <w:rPr/>
      </w:pPr>
      <w:r w:rsidDel="00000000" w:rsidR="00000000" w:rsidRPr="00000000">
        <w:rPr>
          <w:rtl w:val="0"/>
        </w:rPr>
        <w:t xml:space="preserve">Onyx is in the early stages of exploring a bank charter as a component of its US market strategy. FS Vector is pleased to present this proposal to support Onyx in this effort. </w:t>
      </w:r>
    </w:p>
    <w:p w:rsidR="00000000" w:rsidDel="00000000" w:rsidP="00000000" w:rsidRDefault="00000000" w:rsidRPr="00000000" w14:paraId="00000027">
      <w:pPr>
        <w:pBdr>
          <w:top w:space="0" w:sz="0" w:val="nil"/>
          <w:left w:space="0" w:sz="0" w:val="nil"/>
          <w:bottom w:space="0" w:sz="0" w:val="nil"/>
          <w:right w:space="0" w:sz="0" w:val="nil"/>
          <w:between w:space="0" w:sz="0" w:val="nil"/>
        </w:pBdr>
        <w:rPr/>
      </w:pPr>
      <w:r w:rsidDel="00000000" w:rsidR="00000000" w:rsidRPr="00000000">
        <w:rPr>
          <w:rtl w:val="0"/>
        </w:rPr>
        <w:t xml:space="preserve">The proposal is structured around three main phases, which broadly take place sequentially:</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Light" w:cs="Roboto Light" w:eastAsia="Roboto Light" w:hAnsi="Roboto Light"/>
          <w:b w:val="1"/>
          <w:bCs w:val="1"/>
          <w:i w:val="0"/>
          <w:iCs w:val="0"/>
          <w:smallCaps w:val="0"/>
          <w:strike w:val="0"/>
          <w:color w:val="000000"/>
          <w:sz w:val="24"/>
          <w:szCs w:val="24"/>
          <w:u w:val="none"/>
          <w:vertAlign w:val="baseline"/>
          <w:rtl w:val="0"/>
        </w:rPr>
        <w:t xml:space="preserve">Exploration, Analysis, and Planning</w:t>
      </w:r>
      <w:r w:rsidDel="00000000" w:rsidR="00000000" w:rsidRPr="00000000">
        <w:rPr>
          <w:rFonts w:ascii="Roboto Light" w:cs="Roboto Light" w:eastAsia="Roboto Light" w:hAnsi="Roboto Light"/>
          <w:b w:val="0"/>
          <w:bCs w:val="0"/>
          <w:i w:val="0"/>
          <w:iCs w:val="0"/>
          <w:smallCaps w:val="0"/>
          <w:strike w:val="0"/>
          <w:color w:val="000000"/>
          <w:sz w:val="24"/>
          <w:szCs w:val="24"/>
          <w:u w:val="none"/>
          <w:vertAlign w:val="baseline"/>
          <w:rtl w:val="0"/>
        </w:rPr>
        <w:t xml:space="preserve">: In this phase, we focus primarily on answering the question of whether a charter is appropriate and, if so, which charter or charters would be optimal given constraints such as businesses to support, capital requirements, and bank holding company (BHC) considerations. We weigh pros and cons and help leadership to make its go or no-go decision. </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Light" w:cs="Roboto Light" w:eastAsia="Roboto Light" w:hAnsi="Roboto Light"/>
          <w:b w:val="1"/>
          <w:bCs w:val="1"/>
          <w:i w:val="0"/>
          <w:iCs w:val="0"/>
          <w:smallCaps w:val="0"/>
          <w:strike w:val="0"/>
          <w:color w:val="000000"/>
          <w:sz w:val="24"/>
          <w:szCs w:val="24"/>
          <w:u w:val="none"/>
          <w:vertAlign w:val="baseline"/>
          <w:rtl w:val="0"/>
        </w:rPr>
        <w:t xml:space="preserve">Pre-Filing Charter Application Support</w:t>
      </w:r>
      <w:r w:rsidDel="00000000" w:rsidR="00000000" w:rsidRPr="00000000">
        <w:rPr>
          <w:rFonts w:ascii="Roboto Light" w:cs="Roboto Light" w:eastAsia="Roboto Light" w:hAnsi="Roboto Light"/>
          <w:b w:val="0"/>
          <w:bCs w:val="0"/>
          <w:i w:val="0"/>
          <w:iCs w:val="0"/>
          <w:smallCaps w:val="0"/>
          <w:strike w:val="0"/>
          <w:color w:val="000000"/>
          <w:sz w:val="24"/>
          <w:szCs w:val="24"/>
          <w:u w:val="none"/>
          <w:vertAlign w:val="baseline"/>
          <w:rtl w:val="0"/>
        </w:rPr>
        <w:t xml:space="preserve">: In this phase, we work with the client and its chosen external counsel in the development of the business plan and supporting artifacts such as compliance and risk management policies.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Roboto Light" w:cs="Roboto Light" w:eastAsia="Roboto Light" w:hAnsi="Roboto Light"/>
          <w:b w:val="1"/>
          <w:bCs w:val="1"/>
          <w:i w:val="0"/>
          <w:iCs w:val="0"/>
          <w:smallCaps w:val="0"/>
          <w:strike w:val="0"/>
          <w:color w:val="000000"/>
          <w:sz w:val="24"/>
          <w:szCs w:val="24"/>
          <w:u w:val="none"/>
          <w:vertAlign w:val="baseline"/>
          <w:rtl w:val="0"/>
        </w:rPr>
        <w:t xml:space="preserve">Post-Filing Charter Application Support</w:t>
      </w:r>
      <w:r w:rsidDel="00000000" w:rsidR="00000000" w:rsidRPr="00000000">
        <w:rPr>
          <w:rFonts w:ascii="Roboto Light" w:cs="Roboto Light" w:eastAsia="Roboto Light" w:hAnsi="Roboto Light"/>
          <w:b w:val="0"/>
          <w:bCs w:val="0"/>
          <w:i w:val="0"/>
          <w:iCs w:val="0"/>
          <w:smallCaps w:val="0"/>
          <w:strike w:val="0"/>
          <w:color w:val="000000"/>
          <w:sz w:val="24"/>
          <w:szCs w:val="24"/>
          <w:u w:val="none"/>
          <w:vertAlign w:val="baseline"/>
          <w:rtl w:val="0"/>
        </w:rPr>
        <w:t xml:space="preserve">: In this phase, we support </w:t>
      </w:r>
      <w:r w:rsidDel="00000000" w:rsidR="00000000" w:rsidRPr="00000000">
        <w:rPr>
          <w:rtl w:val="0"/>
        </w:rPr>
        <w:t xml:space="preserve">Onyx</w:t>
      </w:r>
      <w:r w:rsidDel="00000000" w:rsidR="00000000" w:rsidRPr="00000000">
        <w:rPr>
          <w:rFonts w:ascii="Roboto Light" w:cs="Roboto Light" w:eastAsia="Roboto Light" w:hAnsi="Roboto Light"/>
          <w:b w:val="0"/>
          <w:bCs w:val="0"/>
          <w:i w:val="0"/>
          <w:iCs w:val="0"/>
          <w:smallCaps w:val="0"/>
          <w:strike w:val="0"/>
          <w:color w:val="000000"/>
          <w:sz w:val="24"/>
          <w:szCs w:val="24"/>
          <w:u w:val="none"/>
          <w:vertAlign w:val="baseline"/>
          <w:rtl w:val="0"/>
        </w:rPr>
        <w:t xml:space="preserve"> in operationalizing the business plan and address requests and requirements made by regulators.</w:t>
      </w:r>
      <w:r w:rsidDel="00000000" w:rsidR="00000000" w:rsidRPr="00000000">
        <w:rPr>
          <w:rtl w:val="0"/>
        </w:rPr>
      </w:r>
    </w:p>
    <w:p w:rsidR="00000000" w:rsidDel="00000000" w:rsidP="00000000" w:rsidRDefault="00000000" w:rsidRPr="00000000" w14:paraId="0000002B">
      <w:pPr>
        <w:pStyle w:val="Heading1"/>
        <w:rPr/>
      </w:pPr>
      <w:bookmarkStart w:colFirst="0" w:colLast="0" w:name="_heading=h.b3ytkhrpox92" w:id="1"/>
      <w:bookmarkEnd w:id="1"/>
      <w:r w:rsidDel="00000000" w:rsidR="00000000" w:rsidRPr="00000000">
        <w:rPr>
          <w:rtl w:val="0"/>
        </w:rPr>
        <w:t xml:space="preserve">About FS Vector</w:t>
      </w:r>
    </w:p>
    <w:p w:rsidR="00000000" w:rsidDel="00000000" w:rsidP="00000000" w:rsidRDefault="00000000" w:rsidRPr="00000000" w14:paraId="0000002C">
      <w:pPr>
        <w:rPr/>
      </w:pPr>
      <w:r w:rsidDel="00000000" w:rsidR="00000000" w:rsidRPr="00000000">
        <w:rPr>
          <w:rtl w:val="0"/>
        </w:rPr>
        <w:t xml:space="preserve">FS Vector is the go-to advisory firm for organizations innovating in financial services. FS Vector understands the needs of early, growth-stage, and large innovative firms, their partners, and financial institution supervisors. Our team’s track record and skillset drive smart solutions and a practical approach to addressing novel issues and achieving positive outcomes for our clients. </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240" w:lineRule="auto"/>
        <w:jc w:val="cente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240" w:lineRule="auto"/>
        <w:jc w:val="center"/>
        <w:rPr/>
      </w:pPr>
      <w:r w:rsidDel="00000000" w:rsidR="00000000" w:rsidRPr="00000000">
        <w:rPr/>
        <w:drawing>
          <wp:inline distB="114300" distT="114300" distL="114300" distR="114300">
            <wp:extent cx="3214688" cy="328201"/>
            <wp:effectExtent b="0" l="0" r="0" t="0"/>
            <wp:docPr id="211379453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214688" cy="328201"/>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240" w:lineRule="auto"/>
        <w:jc w:val="center"/>
        <w:rPr>
          <w:i w:val="1"/>
          <w:iCs w:val="1"/>
        </w:rPr>
      </w:pPr>
      <w:r w:rsidDel="00000000" w:rsidR="00000000" w:rsidRPr="00000000">
        <w:rPr>
          <w:i w:val="1"/>
          <w:iCs w:val="1"/>
          <w:rtl w:val="0"/>
        </w:rPr>
        <w:t xml:space="preserve">The Firm for Innovative Financial Services</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240" w:lineRule="auto"/>
        <w:jc w:val="center"/>
        <w:rPr>
          <w:rFonts w:ascii="Georgia" w:cs="Georgia" w:eastAsia="Georgia" w:hAnsi="Georgia"/>
        </w:rPr>
      </w:pPr>
      <w:r w:rsidDel="00000000" w:rsidR="00000000" w:rsidRPr="00000000">
        <w:rPr>
          <w:rtl w:val="0"/>
        </w:rPr>
        <w:t xml:space="preserve">fsvector.com  </w:t>
      </w:r>
      <w:r w:rsidDel="00000000" w:rsidR="00000000" w:rsidRPr="00000000">
        <w:rPr>
          <w:rFonts w:ascii="Georgia" w:cs="Georgia" w:eastAsia="Georgia" w:hAnsi="Georgia"/>
          <w:rtl w:val="0"/>
        </w:rPr>
        <w:t xml:space="preserve">   </w:t>
      </w:r>
    </w:p>
    <w:p w:rsidR="00000000" w:rsidDel="00000000" w:rsidP="00000000" w:rsidRDefault="00000000" w:rsidRPr="00000000" w14:paraId="00000031">
      <w:pPr>
        <w:pStyle w:val="Heading1"/>
        <w:rPr/>
      </w:pPr>
      <w:bookmarkStart w:colFirst="0" w:colLast="0" w:name="_heading=h.wuku00ldffif" w:id="2"/>
      <w:bookmarkEnd w:id="2"/>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bookmarkStart w:colFirst="0" w:colLast="0" w:name="_heading=h.o1h6roh9gfwf" w:id="3"/>
      <w:bookmarkEnd w:id="3"/>
      <w:r w:rsidDel="00000000" w:rsidR="00000000" w:rsidRPr="00000000">
        <w:rPr>
          <w:rtl w:val="0"/>
        </w:rPr>
        <w:t xml:space="preserve">Engagement Scope and Fees</w:t>
      </w:r>
    </w:p>
    <w:p w:rsidR="00000000" w:rsidDel="00000000" w:rsidP="00000000" w:rsidRDefault="00000000" w:rsidRPr="00000000" w14:paraId="00000033">
      <w:pPr>
        <w:rPr/>
      </w:pPr>
      <w:r w:rsidDel="00000000" w:rsidR="00000000" w:rsidRPr="00000000">
        <w:rPr>
          <w:rtl w:val="0"/>
        </w:rPr>
        <w:t xml:space="preserve">FS Vector will structure its support for Onyx across the three phases described below. The phases described here constitute FS Vector’s recommended approach to pursuing a bank charter; however, each phase may be performed on a standalone basis. </w:t>
      </w:r>
    </w:p>
    <w:p w:rsidR="00000000" w:rsidDel="00000000" w:rsidP="00000000" w:rsidRDefault="00000000" w:rsidRPr="00000000" w14:paraId="00000034">
      <w:pPr>
        <w:pStyle w:val="Heading2"/>
        <w:numPr>
          <w:ilvl w:val="0"/>
          <w:numId w:val="10"/>
        </w:numPr>
        <w:ind w:left="720" w:hanging="360"/>
        <w:rPr/>
      </w:pPr>
      <w:bookmarkStart w:colFirst="0" w:colLast="0" w:name="_heading=h.gpes25owvsah" w:id="4"/>
      <w:bookmarkEnd w:id="4"/>
      <w:r w:rsidDel="00000000" w:rsidR="00000000" w:rsidRPr="00000000">
        <w:rPr>
          <w:rtl w:val="0"/>
        </w:rPr>
        <w:t xml:space="preserve">Exploration, Analysis, and Planning</w:t>
      </w:r>
    </w:p>
    <w:p w:rsidR="00000000" w:rsidDel="00000000" w:rsidP="00000000" w:rsidRDefault="00000000" w:rsidRPr="00000000" w14:paraId="00000035">
      <w:pPr>
        <w:rPr/>
      </w:pPr>
      <w:r w:rsidDel="00000000" w:rsidR="00000000" w:rsidRPr="00000000">
        <w:rPr>
          <w:rtl w:val="0"/>
        </w:rPr>
        <w:t xml:space="preserve">During this phase of the engagement, FS Vector will work with Onyx to construct and execute on a framework for analyzing the available chartering, licensing, and partnership options that may serve Onyx’s needs. At the end of this phase, Onyx will have in hand a documented rationale for the selected approach and an actionable strategy for next steps.</w:t>
      </w:r>
    </w:p>
    <w:p w:rsidR="00000000" w:rsidDel="00000000" w:rsidP="00000000" w:rsidRDefault="00000000" w:rsidRPr="00000000" w14:paraId="00000036">
      <w:pPr>
        <w:keepNext w:val="1"/>
        <w:rPr>
          <w:rFonts w:ascii="Roboto" w:cs="Roboto" w:eastAsia="Roboto" w:hAnsi="Roboto"/>
          <w:b w:val="1"/>
          <w:bCs w:val="1"/>
        </w:rPr>
      </w:pPr>
      <w:r w:rsidDel="00000000" w:rsidR="00000000" w:rsidRPr="00000000">
        <w:rPr>
          <w:rFonts w:ascii="Roboto" w:cs="Roboto" w:eastAsia="Roboto" w:hAnsi="Roboto"/>
          <w:b w:val="1"/>
          <w:bCs w:val="1"/>
          <w:rtl w:val="0"/>
        </w:rPr>
        <w:t xml:space="preserve">Key Deliverables, Activities, and Outcomes</w:t>
      </w:r>
    </w:p>
    <w:p w:rsidR="00000000" w:rsidDel="00000000" w:rsidP="00000000" w:rsidRDefault="00000000" w:rsidRPr="00000000" w14:paraId="00000037">
      <w:pPr>
        <w:ind w:left="720" w:firstLine="0"/>
        <w:rPr/>
      </w:pPr>
      <w:r w:rsidDel="00000000" w:rsidR="00000000" w:rsidRPr="00000000">
        <w:rPr>
          <w:rFonts w:ascii="Roboto" w:cs="Roboto" w:eastAsia="Roboto" w:hAnsi="Roboto"/>
          <w:b w:val="1"/>
          <w:bCs w:val="1"/>
          <w:rtl w:val="0"/>
        </w:rPr>
        <w:t xml:space="preserve">Choice-of-Charter Analysis</w:t>
      </w:r>
      <w:r w:rsidDel="00000000" w:rsidR="00000000" w:rsidRPr="00000000">
        <w:rPr>
          <w:rtl w:val="0"/>
        </w:rPr>
        <w:t xml:space="preserve">: Understand and analyze the key factors relevant to the decision of whether and how to pursue a charter. This includes the following factors in light of the primary business goals and constraints (e.g., must-have, nice-to-have, must-not-have, nice-not-to-have) and charter choices available:</w:t>
      </w:r>
    </w:p>
    <w:p w:rsidR="00000000" w:rsidDel="00000000" w:rsidP="00000000" w:rsidRDefault="00000000" w:rsidRPr="00000000" w14:paraId="00000038">
      <w:pPr>
        <w:numPr>
          <w:ilvl w:val="0"/>
          <w:numId w:val="8"/>
        </w:numPr>
        <w:spacing w:after="0" w:lineRule="auto"/>
        <w:ind w:left="1440" w:hanging="360"/>
        <w:rPr/>
      </w:pPr>
      <w:r w:rsidDel="00000000" w:rsidR="00000000" w:rsidRPr="00000000">
        <w:rPr>
          <w:rtl w:val="0"/>
        </w:rPr>
        <w:t xml:space="preserve">Capabilities provided by various charters and licensing options to offer products and services to various customer groups and markets, now and in the future;</w:t>
      </w:r>
    </w:p>
    <w:p w:rsidR="00000000" w:rsidDel="00000000" w:rsidP="00000000" w:rsidRDefault="00000000" w:rsidRPr="00000000" w14:paraId="00000039">
      <w:pPr>
        <w:numPr>
          <w:ilvl w:val="0"/>
          <w:numId w:val="8"/>
        </w:numPr>
        <w:spacing w:after="0" w:lineRule="auto"/>
        <w:ind w:left="1440" w:hanging="360"/>
        <w:rPr/>
      </w:pPr>
      <w:r w:rsidDel="00000000" w:rsidR="00000000" w:rsidRPr="00000000">
        <w:rPr>
          <w:rtl w:val="0"/>
        </w:rPr>
        <w:t xml:space="preserve">Direct regulation of the business to be operated in the new bank;</w:t>
      </w:r>
    </w:p>
    <w:p w:rsidR="00000000" w:rsidDel="00000000" w:rsidP="00000000" w:rsidRDefault="00000000" w:rsidRPr="00000000" w14:paraId="0000003A">
      <w:pPr>
        <w:numPr>
          <w:ilvl w:val="0"/>
          <w:numId w:val="8"/>
        </w:numPr>
        <w:spacing w:after="0" w:lineRule="auto"/>
        <w:ind w:left="1440" w:hanging="360"/>
        <w:rPr/>
      </w:pPr>
      <w:r w:rsidDel="00000000" w:rsidR="00000000" w:rsidRPr="00000000">
        <w:rPr>
          <w:rtl w:val="0"/>
        </w:rPr>
        <w:t xml:space="preserve">Direct and indirect regulation of other parts of Onyx’s organization;</w:t>
      </w:r>
    </w:p>
    <w:p w:rsidR="00000000" w:rsidDel="00000000" w:rsidP="00000000" w:rsidRDefault="00000000" w:rsidRPr="00000000" w14:paraId="0000003B">
      <w:pPr>
        <w:numPr>
          <w:ilvl w:val="0"/>
          <w:numId w:val="8"/>
        </w:numPr>
        <w:spacing w:after="0" w:lineRule="auto"/>
        <w:ind w:left="1440" w:hanging="360"/>
        <w:rPr/>
      </w:pPr>
      <w:r w:rsidDel="00000000" w:rsidR="00000000" w:rsidRPr="00000000">
        <w:rPr>
          <w:rtl w:val="0"/>
        </w:rPr>
        <w:t xml:space="preserve">The financial costs and timing of chartering and organizing the new bank;</w:t>
      </w:r>
    </w:p>
    <w:p w:rsidR="00000000" w:rsidDel="00000000" w:rsidP="00000000" w:rsidRDefault="00000000" w:rsidRPr="00000000" w14:paraId="0000003C">
      <w:pPr>
        <w:numPr>
          <w:ilvl w:val="0"/>
          <w:numId w:val="8"/>
        </w:numPr>
        <w:spacing w:after="0" w:lineRule="auto"/>
        <w:ind w:left="1440" w:hanging="360"/>
        <w:rPr/>
      </w:pPr>
      <w:r w:rsidDel="00000000" w:rsidR="00000000" w:rsidRPr="00000000">
        <w:rPr>
          <w:rtl w:val="0"/>
        </w:rPr>
        <w:t xml:space="preserve">The costs, timing, and challenges of meeting financial soundness, internal control, risk management, and compliance requirements;</w:t>
      </w:r>
    </w:p>
    <w:p w:rsidR="00000000" w:rsidDel="00000000" w:rsidP="00000000" w:rsidRDefault="00000000" w:rsidRPr="00000000" w14:paraId="0000003D">
      <w:pPr>
        <w:numPr>
          <w:ilvl w:val="0"/>
          <w:numId w:val="8"/>
        </w:numPr>
        <w:spacing w:after="0" w:lineRule="auto"/>
        <w:ind w:left="1440" w:hanging="360"/>
        <w:rPr/>
      </w:pPr>
      <w:r w:rsidDel="00000000" w:rsidR="00000000" w:rsidRPr="00000000">
        <w:rPr>
          <w:rtl w:val="0"/>
        </w:rPr>
        <w:t xml:space="preserve">Approval prospects;</w:t>
      </w:r>
    </w:p>
    <w:p w:rsidR="00000000" w:rsidDel="00000000" w:rsidP="00000000" w:rsidRDefault="00000000" w:rsidRPr="00000000" w14:paraId="0000003E">
      <w:pPr>
        <w:numPr>
          <w:ilvl w:val="0"/>
          <w:numId w:val="8"/>
        </w:numPr>
        <w:spacing w:after="0" w:lineRule="auto"/>
        <w:ind w:left="1440" w:hanging="360"/>
        <w:rPr/>
      </w:pPr>
      <w:r w:rsidDel="00000000" w:rsidR="00000000" w:rsidRPr="00000000">
        <w:rPr>
          <w:rtl w:val="0"/>
        </w:rPr>
        <w:t xml:space="preserve">The risks and benefits compared to strategic alternatives; </w:t>
      </w:r>
    </w:p>
    <w:p w:rsidR="00000000" w:rsidDel="00000000" w:rsidP="00000000" w:rsidRDefault="00000000" w:rsidRPr="00000000" w14:paraId="0000003F">
      <w:pPr>
        <w:numPr>
          <w:ilvl w:val="0"/>
          <w:numId w:val="8"/>
        </w:numPr>
        <w:spacing w:after="0" w:lineRule="auto"/>
        <w:ind w:left="1440" w:hanging="360"/>
        <w:rPr/>
      </w:pPr>
      <w:r w:rsidDel="00000000" w:rsidR="00000000" w:rsidRPr="00000000">
        <w:rPr>
          <w:rtl w:val="0"/>
        </w:rPr>
        <w:t xml:space="preserve">Potential impact on present and potential future shareholders, including information disclosure requirements and activity restrictions; and</w:t>
      </w:r>
    </w:p>
    <w:p w:rsidR="00000000" w:rsidDel="00000000" w:rsidP="00000000" w:rsidRDefault="00000000" w:rsidRPr="00000000" w14:paraId="00000040">
      <w:pPr>
        <w:numPr>
          <w:ilvl w:val="0"/>
          <w:numId w:val="8"/>
        </w:numPr>
        <w:ind w:left="1440" w:hanging="360"/>
        <w:rPr/>
      </w:pPr>
      <w:r w:rsidDel="00000000" w:rsidR="00000000" w:rsidRPr="00000000">
        <w:rPr>
          <w:rtl w:val="0"/>
        </w:rPr>
        <w:t xml:space="preserve">Other items deemed relevant to Onyx’s decision-making.</w:t>
      </w:r>
    </w:p>
    <w:p w:rsidR="00000000" w:rsidDel="00000000" w:rsidP="00000000" w:rsidRDefault="00000000" w:rsidRPr="00000000" w14:paraId="00000041">
      <w:pPr>
        <w:ind w:left="720" w:firstLine="0"/>
        <w:rPr/>
      </w:pPr>
      <w:r w:rsidDel="00000000" w:rsidR="00000000" w:rsidRPr="00000000">
        <w:rPr>
          <w:b w:val="1"/>
          <w:bCs w:val="1"/>
          <w:rtl w:val="0"/>
        </w:rPr>
        <w:t xml:space="preserve">New Bank Strategy:</w:t>
      </w:r>
      <w:r w:rsidDel="00000000" w:rsidR="00000000" w:rsidRPr="00000000">
        <w:rPr>
          <w:rtl w:val="0"/>
        </w:rPr>
        <w:t xml:space="preserve"> Develop a strategy, in the form of a presentation, outlining the general nature of the proposed bank to inform internal decision-making and exploratory discussions with the regulators. The new bank strategy typically addresses, in general terms, Onyx’s initial thinking on:</w:t>
      </w:r>
    </w:p>
    <w:p w:rsidR="00000000" w:rsidDel="00000000" w:rsidP="00000000" w:rsidRDefault="00000000" w:rsidRPr="00000000" w14:paraId="00000042">
      <w:pPr>
        <w:numPr>
          <w:ilvl w:val="0"/>
          <w:numId w:val="9"/>
        </w:numPr>
        <w:spacing w:after="0" w:lineRule="auto"/>
        <w:ind w:left="1440" w:hanging="360"/>
        <w:rPr/>
      </w:pPr>
      <w:r w:rsidDel="00000000" w:rsidR="00000000" w:rsidRPr="00000000">
        <w:rPr>
          <w:rtl w:val="0"/>
        </w:rPr>
        <w:t xml:space="preserve">The product offerings and operating model of the bank</w:t>
      </w:r>
    </w:p>
    <w:p w:rsidR="00000000" w:rsidDel="00000000" w:rsidP="00000000" w:rsidRDefault="00000000" w:rsidRPr="00000000" w14:paraId="00000043">
      <w:pPr>
        <w:numPr>
          <w:ilvl w:val="0"/>
          <w:numId w:val="9"/>
        </w:numPr>
        <w:spacing w:after="0" w:lineRule="auto"/>
        <w:ind w:left="1440" w:hanging="360"/>
        <w:rPr/>
      </w:pPr>
      <w:r w:rsidDel="00000000" w:rsidR="00000000" w:rsidRPr="00000000">
        <w:rPr>
          <w:rtl w:val="0"/>
        </w:rPr>
        <w:t xml:space="preserve">The market and customer segments the bank would serve</w:t>
      </w:r>
    </w:p>
    <w:p w:rsidR="00000000" w:rsidDel="00000000" w:rsidP="00000000" w:rsidRDefault="00000000" w:rsidRPr="00000000" w14:paraId="00000044">
      <w:pPr>
        <w:numPr>
          <w:ilvl w:val="0"/>
          <w:numId w:val="9"/>
        </w:numPr>
        <w:spacing w:after="0" w:lineRule="auto"/>
        <w:ind w:left="1440" w:hanging="360"/>
        <w:rPr/>
      </w:pPr>
      <w:r w:rsidDel="00000000" w:rsidR="00000000" w:rsidRPr="00000000">
        <w:rPr>
          <w:rtl w:val="0"/>
        </w:rPr>
        <w:t xml:space="preserve">The magnitude, mix, and growth rate of the bank’s assets, liabilities, capital, products, and services</w:t>
      </w:r>
    </w:p>
    <w:p w:rsidR="00000000" w:rsidDel="00000000" w:rsidP="00000000" w:rsidRDefault="00000000" w:rsidRPr="00000000" w14:paraId="00000045">
      <w:pPr>
        <w:numPr>
          <w:ilvl w:val="0"/>
          <w:numId w:val="9"/>
        </w:numPr>
        <w:spacing w:after="0" w:lineRule="auto"/>
        <w:ind w:left="1440" w:hanging="360"/>
        <w:rPr/>
      </w:pPr>
      <w:r w:rsidDel="00000000" w:rsidR="00000000" w:rsidRPr="00000000">
        <w:rPr>
          <w:rtl w:val="0"/>
        </w:rPr>
        <w:t xml:space="preserve">Legal and management organizational structure, including the bank’s relationships with affiliates</w:t>
      </w:r>
    </w:p>
    <w:p w:rsidR="00000000" w:rsidDel="00000000" w:rsidP="00000000" w:rsidRDefault="00000000" w:rsidRPr="00000000" w14:paraId="00000046">
      <w:pPr>
        <w:numPr>
          <w:ilvl w:val="0"/>
          <w:numId w:val="9"/>
        </w:numPr>
        <w:spacing w:after="0" w:lineRule="auto"/>
        <w:ind w:left="1440" w:hanging="360"/>
        <w:rPr/>
      </w:pPr>
      <w:r w:rsidDel="00000000" w:rsidR="00000000" w:rsidRPr="00000000">
        <w:rPr>
          <w:rtl w:val="0"/>
        </w:rPr>
        <w:t xml:space="preserve">The anticipated roles and qualifications of individuals to be named as the directors and key senior executive officers; and</w:t>
      </w:r>
    </w:p>
    <w:p w:rsidR="00000000" w:rsidDel="00000000" w:rsidP="00000000" w:rsidRDefault="00000000" w:rsidRPr="00000000" w14:paraId="00000047">
      <w:pPr>
        <w:numPr>
          <w:ilvl w:val="0"/>
          <w:numId w:val="9"/>
        </w:numPr>
        <w:ind w:left="1440" w:hanging="360"/>
        <w:rPr/>
      </w:pPr>
      <w:r w:rsidDel="00000000" w:rsidR="00000000" w:rsidRPr="00000000">
        <w:rPr>
          <w:rtl w:val="0"/>
        </w:rPr>
        <w:t xml:space="preserve">Any unusual or novel features of the strategy that might impact the prospects of the regulatory approval.</w:t>
      </w:r>
    </w:p>
    <w:p w:rsidR="00000000" w:rsidDel="00000000" w:rsidP="00000000" w:rsidRDefault="00000000" w:rsidRPr="00000000" w14:paraId="00000048">
      <w:pPr>
        <w:ind w:left="720" w:firstLine="0"/>
        <w:rPr/>
      </w:pPr>
      <w:r w:rsidDel="00000000" w:rsidR="00000000" w:rsidRPr="00000000">
        <w:rPr>
          <w:rtl w:val="0"/>
        </w:rPr>
        <w:t xml:space="preserve">The new bank strategy is generally supported by high-level </w:t>
      </w:r>
      <w:r w:rsidDel="00000000" w:rsidR="00000000" w:rsidRPr="00000000">
        <w:rPr>
          <w:i w:val="1"/>
          <w:iCs w:val="1"/>
          <w:rtl w:val="0"/>
        </w:rPr>
        <w:t xml:space="preserve">pro forma</w:t>
      </w:r>
      <w:r w:rsidDel="00000000" w:rsidR="00000000" w:rsidRPr="00000000">
        <w:rPr>
          <w:rtl w:val="0"/>
        </w:rPr>
        <w:t xml:space="preserve"> financial projections, which are typically less detailed and rigorously supported than projections submitted with an application, but are sufficiently robust to validate the viability of the proposed bank.</w:t>
      </w:r>
    </w:p>
    <w:p w:rsidR="00000000" w:rsidDel="00000000" w:rsidP="00000000" w:rsidRDefault="00000000" w:rsidRPr="00000000" w14:paraId="00000049">
      <w:pPr>
        <w:ind w:left="720" w:firstLine="0"/>
        <w:rPr/>
      </w:pPr>
      <w:r w:rsidDel="00000000" w:rsidR="00000000" w:rsidRPr="00000000">
        <w:rPr>
          <w:rtl w:val="0"/>
        </w:rPr>
        <w:t xml:space="preserve">To the extent that the new bank strategy implies the formation of a new bank holding company (“BHC”), we will also assist in developing strategies and presentations that specify relevant aspects of the BHC and non-bank affiliates of the BHC. </w:t>
      </w:r>
    </w:p>
    <w:p w:rsidR="00000000" w:rsidDel="00000000" w:rsidP="00000000" w:rsidRDefault="00000000" w:rsidRPr="00000000" w14:paraId="0000004A">
      <w:pPr>
        <w:ind w:left="720" w:firstLine="0"/>
        <w:rPr/>
      </w:pPr>
      <w:r w:rsidDel="00000000" w:rsidR="00000000" w:rsidRPr="00000000">
        <w:rPr>
          <w:rFonts w:ascii="Roboto" w:cs="Roboto" w:eastAsia="Roboto" w:hAnsi="Roboto"/>
          <w:b w:val="1"/>
          <w:bCs w:val="1"/>
          <w:rtl w:val="0"/>
        </w:rPr>
        <w:t xml:space="preserve">Exploratory Regulatory Discussions (if desired)</w:t>
      </w:r>
      <w:r w:rsidDel="00000000" w:rsidR="00000000" w:rsidRPr="00000000">
        <w:rPr>
          <w:rtl w:val="0"/>
        </w:rPr>
        <w:t xml:space="preserve">: Conduct initial, non-binding exploratory discussions with regulators to assess the potential viability of the application and identify any major issues and obstacles. This includes:</w:t>
      </w:r>
    </w:p>
    <w:p w:rsidR="00000000" w:rsidDel="00000000" w:rsidP="00000000" w:rsidRDefault="00000000" w:rsidRPr="00000000" w14:paraId="0000004B">
      <w:pPr>
        <w:numPr>
          <w:ilvl w:val="0"/>
          <w:numId w:val="1"/>
        </w:numPr>
        <w:ind w:left="1440" w:hanging="360"/>
        <w:rPr>
          <w:color w:val="000000"/>
        </w:rPr>
      </w:pPr>
      <w:r w:rsidDel="00000000" w:rsidR="00000000" w:rsidRPr="00000000">
        <w:rPr>
          <w:rtl w:val="0"/>
        </w:rPr>
        <w:t xml:space="preserve">Helping prepare Onyx for this exploratory discussion and attending the discussion alongside Onyx and outside counsel</w:t>
      </w:r>
      <w:r w:rsidDel="00000000" w:rsidR="00000000" w:rsidRPr="00000000">
        <w:rPr>
          <w:rtl w:val="0"/>
        </w:rPr>
      </w:r>
    </w:p>
    <w:p w:rsidR="00000000" w:rsidDel="00000000" w:rsidP="00000000" w:rsidRDefault="00000000" w:rsidRPr="00000000" w14:paraId="0000004C">
      <w:pPr>
        <w:numPr>
          <w:ilvl w:val="0"/>
          <w:numId w:val="1"/>
        </w:numPr>
        <w:ind w:left="1440" w:hanging="360"/>
        <w:rPr>
          <w:color w:val="000000"/>
        </w:rPr>
      </w:pPr>
      <w:r w:rsidDel="00000000" w:rsidR="00000000" w:rsidRPr="00000000">
        <w:rPr>
          <w:rtl w:val="0"/>
        </w:rPr>
        <w:t xml:space="preserve">Advising Onyx on the meaning and implication of questions and feedback provided by regulators and assisting with follow-up matters raised during the discussion</w:t>
      </w: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Fee and Timeline</w:t>
      </w:r>
    </w:p>
    <w:p w:rsidR="00000000" w:rsidDel="00000000" w:rsidP="00000000" w:rsidRDefault="00000000" w:rsidRPr="00000000" w14:paraId="0000004E">
      <w:pPr>
        <w:rPr>
          <w:b w:val="1"/>
          <w:bCs w:val="1"/>
        </w:rPr>
      </w:pPr>
      <w:r w:rsidDel="00000000" w:rsidR="00000000" w:rsidRPr="00000000">
        <w:rPr>
          <w:rtl w:val="0"/>
        </w:rPr>
        <w:t xml:space="preserve">For the services included in Phase 1, we propose a fee of </w:t>
      </w:r>
      <w:r w:rsidDel="00000000" w:rsidR="00000000" w:rsidRPr="00000000">
        <w:rPr>
          <w:b w:val="1"/>
          <w:bCs w:val="1"/>
          <w:rtl w:val="0"/>
        </w:rPr>
        <w:t xml:space="preserve">$60,000</w:t>
      </w:r>
      <w:r w:rsidDel="00000000" w:rsidR="00000000" w:rsidRPr="00000000">
        <w:rPr>
          <w:rtl w:val="0"/>
        </w:rPr>
        <w:t xml:space="preserve">. We anticipate that the deliverables, activities, and outcomes described in Phase 1 will be completed within </w:t>
      </w:r>
      <w:r w:rsidDel="00000000" w:rsidR="00000000" w:rsidRPr="00000000">
        <w:rPr>
          <w:b w:val="1"/>
          <w:bCs w:val="1"/>
          <w:rtl w:val="0"/>
        </w:rPr>
        <w:t xml:space="preserve">two </w:t>
      </w:r>
      <w:r w:rsidDel="00000000" w:rsidR="00000000" w:rsidRPr="00000000">
        <w:rPr>
          <w:rFonts w:ascii="Roboto" w:cs="Roboto" w:eastAsia="Roboto" w:hAnsi="Roboto"/>
          <w:rtl w:val="0"/>
        </w:rPr>
        <w:t xml:space="preserve">months</w:t>
      </w:r>
      <w:r w:rsidDel="00000000" w:rsidR="00000000" w:rsidRPr="00000000">
        <w:rPr>
          <w:rtl w:val="0"/>
        </w:rPr>
        <w:t xml:space="preserve"> and can be done more quickly depending on the range of considerations.</w:t>
      </w:r>
      <w:r w:rsidDel="00000000" w:rsidR="00000000" w:rsidRPr="00000000">
        <w:rPr>
          <w:b w:val="1"/>
          <w:bCs w:val="1"/>
          <w:rtl w:val="0"/>
        </w:rPr>
        <w:t xml:space="preserve"> </w:t>
      </w:r>
    </w:p>
    <w:p w:rsidR="00000000" w:rsidDel="00000000" w:rsidP="00000000" w:rsidRDefault="00000000" w:rsidRPr="00000000" w14:paraId="0000004F">
      <w:pPr>
        <w:rPr>
          <w:rFonts w:ascii="Roboto" w:cs="Roboto" w:eastAsia="Roboto" w:hAnsi="Roboto"/>
        </w:rPr>
      </w:pPr>
      <w:r w:rsidDel="00000000" w:rsidR="00000000" w:rsidRPr="00000000">
        <w:rPr>
          <w:rtl w:val="0"/>
        </w:rPr>
        <w:t xml:space="preserve">After the conclusion of Phase 1, we will be prepared to begin Phase 2, described below. If Onyx elects to delay the beginning of Phase 2 and would like our support in the interim, we would be happy to provide it. We suggest planning for such fees in the range of </w:t>
      </w:r>
      <w:r w:rsidDel="00000000" w:rsidR="00000000" w:rsidRPr="00000000">
        <w:rPr>
          <w:b w:val="1"/>
          <w:bCs w:val="1"/>
          <w:rtl w:val="0"/>
        </w:rPr>
        <w:t xml:space="preserve">$10,000 to $20,000 per month </w:t>
      </w:r>
      <w:r w:rsidDel="00000000" w:rsidR="00000000" w:rsidRPr="00000000">
        <w:rPr>
          <w:rtl w:val="0"/>
        </w:rPr>
        <w:t xml:space="preserve">depending on the anticipated level of support.</w:t>
      </w:r>
      <w:r w:rsidDel="00000000" w:rsidR="00000000" w:rsidRPr="00000000">
        <w:rPr>
          <w:rtl w:val="0"/>
        </w:rPr>
      </w:r>
    </w:p>
    <w:p w:rsidR="00000000" w:rsidDel="00000000" w:rsidP="00000000" w:rsidRDefault="00000000" w:rsidRPr="00000000" w14:paraId="00000050">
      <w:pPr>
        <w:pStyle w:val="Heading2"/>
        <w:numPr>
          <w:ilvl w:val="0"/>
          <w:numId w:val="10"/>
        </w:numPr>
        <w:ind w:left="720" w:hanging="360"/>
        <w:rPr/>
      </w:pPr>
      <w:bookmarkStart w:colFirst="0" w:colLast="0" w:name="_heading=h.azk7m3cgrloc" w:id="5"/>
      <w:bookmarkEnd w:id="5"/>
      <w:r w:rsidDel="00000000" w:rsidR="00000000" w:rsidRPr="00000000">
        <w:rPr>
          <w:rtl w:val="0"/>
        </w:rPr>
        <w:t xml:space="preserve">Pre-Filing Charter Application Support</w:t>
      </w:r>
    </w:p>
    <w:p w:rsidR="00000000" w:rsidDel="00000000" w:rsidP="00000000" w:rsidRDefault="00000000" w:rsidRPr="00000000" w14:paraId="00000051">
      <w:pPr>
        <w:rPr/>
      </w:pPr>
      <w:r w:rsidDel="00000000" w:rsidR="00000000" w:rsidRPr="00000000">
        <w:rPr>
          <w:rtl w:val="0"/>
        </w:rPr>
        <w:t xml:space="preserve">Upon your decision to proceed with the charter application, we would begin our Phase 2 work. During this phase, FS Vector will support Onyx in the development and refinement of the materials that will make up Onyx’s charter application submission to regulators. </w:t>
      </w:r>
    </w:p>
    <w:p w:rsidR="00000000" w:rsidDel="00000000" w:rsidP="00000000" w:rsidRDefault="00000000" w:rsidRPr="00000000" w14:paraId="00000052">
      <w:pPr>
        <w:keepNext w:val="1"/>
        <w:rPr>
          <w:rFonts w:ascii="Roboto" w:cs="Roboto" w:eastAsia="Roboto" w:hAnsi="Roboto"/>
          <w:b w:val="1"/>
          <w:bCs w:val="1"/>
        </w:rPr>
      </w:pPr>
      <w:r w:rsidDel="00000000" w:rsidR="00000000" w:rsidRPr="00000000">
        <w:rPr>
          <w:rFonts w:ascii="Roboto" w:cs="Roboto" w:eastAsia="Roboto" w:hAnsi="Roboto"/>
          <w:b w:val="1"/>
          <w:bCs w:val="1"/>
          <w:rtl w:val="0"/>
        </w:rPr>
        <w:t xml:space="preserve">Key Deliverables, Activities, and Outcomes</w:t>
      </w:r>
    </w:p>
    <w:p w:rsidR="00000000" w:rsidDel="00000000" w:rsidP="00000000" w:rsidRDefault="00000000" w:rsidRPr="00000000" w14:paraId="00000053">
      <w:pPr>
        <w:ind w:left="720" w:firstLine="0"/>
        <w:rPr/>
      </w:pPr>
      <w:r w:rsidDel="00000000" w:rsidR="00000000" w:rsidRPr="00000000">
        <w:rPr>
          <w:rFonts w:ascii="Roboto" w:cs="Roboto" w:eastAsia="Roboto" w:hAnsi="Roboto"/>
          <w:b w:val="1"/>
          <w:bCs w:val="1"/>
          <w:rtl w:val="0"/>
        </w:rPr>
        <w:t xml:space="preserve">Application Preparation, including Business Plan</w:t>
      </w:r>
      <w:r w:rsidDel="00000000" w:rsidR="00000000" w:rsidRPr="00000000">
        <w:rPr>
          <w:rtl w:val="0"/>
        </w:rPr>
        <w:t xml:space="preserve">: Develop key components of the charter application, most notably the Business Plan and financial projections which are generally the heart of the application</w:t>
      </w:r>
    </w:p>
    <w:p w:rsidR="00000000" w:rsidDel="00000000" w:rsidP="00000000" w:rsidRDefault="00000000" w:rsidRPr="00000000" w14:paraId="00000054">
      <w:pPr>
        <w:ind w:left="720" w:firstLine="0"/>
        <w:rPr/>
      </w:pPr>
      <w:r w:rsidDel="00000000" w:rsidR="00000000" w:rsidRPr="00000000">
        <w:rPr>
          <w:rFonts w:ascii="Roboto" w:cs="Roboto" w:eastAsia="Roboto" w:hAnsi="Roboto"/>
          <w:b w:val="1"/>
          <w:bCs w:val="1"/>
          <w:rtl w:val="0"/>
        </w:rPr>
        <w:t xml:space="preserve">Governance, Risk, and Compliance (“GRC”) Framework (Pre-Application)</w:t>
      </w:r>
      <w:r w:rsidDel="00000000" w:rsidR="00000000" w:rsidRPr="00000000">
        <w:rPr>
          <w:rtl w:val="0"/>
        </w:rPr>
        <w:t xml:space="preserve">: Develop key aspects of the proposed bank’s GRC framework in order to prepare the application submissions, including: </w:t>
      </w:r>
    </w:p>
    <w:p w:rsidR="00000000" w:rsidDel="00000000" w:rsidP="00000000" w:rsidRDefault="00000000" w:rsidRPr="00000000" w14:paraId="00000055">
      <w:pPr>
        <w:numPr>
          <w:ilvl w:val="0"/>
          <w:numId w:val="9"/>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rtl w:val="0"/>
        </w:rPr>
        <w:t xml:space="preserve">Board and management composition and sourcing</w:t>
      </w:r>
    </w:p>
    <w:p w:rsidR="00000000" w:rsidDel="00000000" w:rsidP="00000000" w:rsidRDefault="00000000" w:rsidRPr="00000000" w14:paraId="00000056">
      <w:pPr>
        <w:numPr>
          <w:ilvl w:val="0"/>
          <w:numId w:val="9"/>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rtl w:val="0"/>
        </w:rPr>
        <w:t xml:space="preserve">Board and management governance framework memorialized in charters for management and board committees</w:t>
      </w:r>
    </w:p>
    <w:p w:rsidR="00000000" w:rsidDel="00000000" w:rsidP="00000000" w:rsidRDefault="00000000" w:rsidRPr="00000000" w14:paraId="00000057">
      <w:pPr>
        <w:numPr>
          <w:ilvl w:val="0"/>
          <w:numId w:val="9"/>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rtl w:val="0"/>
        </w:rPr>
        <w:t xml:space="preserve">New or revised policies to be submitted with the application. Depending on the nature of the bank, such policies may include: </w:t>
      </w:r>
    </w:p>
    <w:p w:rsidR="00000000" w:rsidDel="00000000" w:rsidP="00000000" w:rsidRDefault="00000000" w:rsidRPr="00000000" w14:paraId="00000058">
      <w:pPr>
        <w:numPr>
          <w:ilvl w:val="1"/>
          <w:numId w:val="9"/>
        </w:numPr>
        <w:spacing w:after="0" w:lineRule="auto"/>
        <w:ind w:left="2160" w:hanging="360"/>
        <w:rPr/>
      </w:pPr>
      <w:r w:rsidDel="00000000" w:rsidR="00000000" w:rsidRPr="00000000">
        <w:rPr>
          <w:rtl w:val="0"/>
        </w:rPr>
        <w:t xml:space="preserve">Credit policies covering credit risk tolerance, underwriting processes, underwriting standards, portfolio management, loan review, allowance for loan and lease losses, appraisals, and asset disposition</w:t>
      </w:r>
    </w:p>
    <w:p w:rsidR="00000000" w:rsidDel="00000000" w:rsidP="00000000" w:rsidRDefault="00000000" w:rsidRPr="00000000" w14:paraId="00000059">
      <w:pPr>
        <w:numPr>
          <w:ilvl w:val="1"/>
          <w:numId w:val="9"/>
        </w:numPr>
        <w:spacing w:after="0" w:lineRule="auto"/>
        <w:ind w:left="2160" w:hanging="360"/>
        <w:rPr/>
      </w:pPr>
      <w:r w:rsidDel="00000000" w:rsidR="00000000" w:rsidRPr="00000000">
        <w:rPr>
          <w:rtl w:val="0"/>
        </w:rPr>
        <w:t xml:space="preserve">Financial management policies covering capital, dividends, asset-liability management, liquidity (including contingent funding), interest rate risk management, investment securities, etc.</w:t>
      </w:r>
    </w:p>
    <w:p w:rsidR="00000000" w:rsidDel="00000000" w:rsidP="00000000" w:rsidRDefault="00000000" w:rsidRPr="00000000" w14:paraId="0000005A">
      <w:pPr>
        <w:numPr>
          <w:ilvl w:val="1"/>
          <w:numId w:val="9"/>
        </w:numPr>
        <w:spacing w:after="0" w:lineRule="auto"/>
        <w:ind w:left="2160" w:hanging="360"/>
        <w:rPr/>
      </w:pPr>
      <w:r w:rsidDel="00000000" w:rsidR="00000000" w:rsidRPr="00000000">
        <w:rPr>
          <w:rtl w:val="0"/>
        </w:rPr>
        <w:t xml:space="preserve">Operating policies covering third party risk management, internal and external audit, information security, and business continuity</w:t>
      </w:r>
    </w:p>
    <w:p w:rsidR="00000000" w:rsidDel="00000000" w:rsidP="00000000" w:rsidRDefault="00000000" w:rsidRPr="00000000" w14:paraId="0000005B">
      <w:pPr>
        <w:numPr>
          <w:ilvl w:val="1"/>
          <w:numId w:val="9"/>
        </w:numPr>
        <w:ind w:left="2160" w:hanging="360"/>
        <w:rPr/>
      </w:pPr>
      <w:r w:rsidDel="00000000" w:rsidR="00000000" w:rsidRPr="00000000">
        <w:rPr>
          <w:rtl w:val="0"/>
        </w:rPr>
        <w:t xml:space="preserve">Compliance policies covering the compliance program, Bank Secrecy Act/Anti-Money-Laundering compliance, sanctions, transactions with affiliates, insider lending, ethical conduct, fair lending, consumer compliance, and securities activities</w:t>
      </w:r>
    </w:p>
    <w:p w:rsidR="00000000" w:rsidDel="00000000" w:rsidP="00000000" w:rsidRDefault="00000000" w:rsidRPr="00000000" w14:paraId="0000005C">
      <w:pPr>
        <w:ind w:left="720" w:firstLine="0"/>
        <w:rPr/>
      </w:pPr>
      <w:r w:rsidDel="00000000" w:rsidR="00000000" w:rsidRPr="00000000">
        <w:rPr>
          <w:rFonts w:ascii="Roboto" w:cs="Roboto" w:eastAsia="Roboto" w:hAnsi="Roboto"/>
          <w:b w:val="1"/>
          <w:bCs w:val="1"/>
          <w:rtl w:val="0"/>
        </w:rPr>
        <w:t xml:space="preserve">Pre-Filing Regulatory Discussions</w:t>
      </w:r>
      <w:r w:rsidDel="00000000" w:rsidR="00000000" w:rsidRPr="00000000">
        <w:rPr>
          <w:rtl w:val="0"/>
        </w:rPr>
        <w:t xml:space="preserve">: Prepare for and attend the pre-filing meeting(s) with regulators. Similar to the exploratory discussion, this involves helping prepare Onyx for pre-filing discussion, attending the discussions alongside Onyx and outside counsel, and advising Onyx on the meaning and implications questions and feedback provided by the regulators.</w:t>
      </w:r>
    </w:p>
    <w:p w:rsidR="00000000" w:rsidDel="00000000" w:rsidP="00000000" w:rsidRDefault="00000000" w:rsidRPr="00000000" w14:paraId="0000005D">
      <w:pPr>
        <w:ind w:left="720" w:firstLine="0"/>
        <w:rPr/>
      </w:pPr>
      <w:r w:rsidDel="00000000" w:rsidR="00000000" w:rsidRPr="00000000">
        <w:rPr>
          <w:rFonts w:ascii="Roboto" w:cs="Roboto" w:eastAsia="Roboto" w:hAnsi="Roboto"/>
          <w:b w:val="1"/>
          <w:bCs w:val="1"/>
          <w:rtl w:val="0"/>
        </w:rPr>
        <w:t xml:space="preserve">Pre-Filing Information Requests</w:t>
      </w:r>
      <w:r w:rsidDel="00000000" w:rsidR="00000000" w:rsidRPr="00000000">
        <w:rPr>
          <w:rtl w:val="0"/>
        </w:rPr>
        <w:t xml:space="preserve">: Respond to regulator(s)’s pre-filing requests for additional information.</w:t>
      </w:r>
    </w:p>
    <w:p w:rsidR="00000000" w:rsidDel="00000000" w:rsidP="00000000" w:rsidRDefault="00000000" w:rsidRPr="00000000" w14:paraId="0000005E">
      <w:pPr>
        <w:rPr>
          <w:b w:val="1"/>
          <w:bCs w:val="1"/>
        </w:rPr>
      </w:pPr>
      <w:r w:rsidDel="00000000" w:rsidR="00000000" w:rsidRPr="00000000">
        <w:rPr>
          <w:b w:val="1"/>
          <w:bCs w:val="1"/>
          <w:rtl w:val="0"/>
        </w:rPr>
        <w:t xml:space="preserve">Fee and Timeline</w:t>
      </w:r>
    </w:p>
    <w:p w:rsidR="00000000" w:rsidDel="00000000" w:rsidP="00000000" w:rsidRDefault="00000000" w:rsidRPr="00000000" w14:paraId="0000005F">
      <w:pPr>
        <w:rPr/>
      </w:pPr>
      <w:r w:rsidDel="00000000" w:rsidR="00000000" w:rsidRPr="00000000">
        <w:rPr>
          <w:rtl w:val="0"/>
        </w:rPr>
        <w:t xml:space="preserve">For the services included in Phase 2, we propose a fee of </w:t>
      </w:r>
      <w:r w:rsidDel="00000000" w:rsidR="00000000" w:rsidRPr="00000000">
        <w:rPr>
          <w:b w:val="1"/>
          <w:bCs w:val="1"/>
          <w:rtl w:val="0"/>
        </w:rPr>
        <w:t xml:space="preserve">$60,000 per month</w:t>
      </w:r>
      <w:r w:rsidDel="00000000" w:rsidR="00000000" w:rsidRPr="00000000">
        <w:rPr>
          <w:rtl w:val="0"/>
        </w:rPr>
        <w:t xml:space="preserve">. We anticipate that the deliverables, activities, and outcomes described in Phase 2 will be completed across a period of </w:t>
      </w:r>
      <w:r w:rsidDel="00000000" w:rsidR="00000000" w:rsidRPr="00000000">
        <w:rPr>
          <w:b w:val="1"/>
          <w:bCs w:val="1"/>
          <w:rtl w:val="0"/>
        </w:rPr>
        <w:t xml:space="preserve">6-8 months.</w:t>
      </w:r>
      <w:r w:rsidDel="00000000" w:rsidR="00000000" w:rsidRPr="00000000">
        <w:rPr>
          <w:rtl w:val="0"/>
        </w:rPr>
      </w:r>
    </w:p>
    <w:p w:rsidR="00000000" w:rsidDel="00000000" w:rsidP="00000000" w:rsidRDefault="00000000" w:rsidRPr="00000000" w14:paraId="00000060">
      <w:pPr>
        <w:pStyle w:val="Heading2"/>
        <w:numPr>
          <w:ilvl w:val="0"/>
          <w:numId w:val="10"/>
        </w:numPr>
        <w:ind w:left="720" w:hanging="360"/>
        <w:rPr/>
      </w:pPr>
      <w:bookmarkStart w:colFirst="0" w:colLast="0" w:name="_heading=h.o19tjx7dn06r" w:id="6"/>
      <w:bookmarkEnd w:id="6"/>
      <w:r w:rsidDel="00000000" w:rsidR="00000000" w:rsidRPr="00000000">
        <w:rPr>
          <w:rtl w:val="0"/>
        </w:rPr>
        <w:t xml:space="preserve">Post-Filing Charter Application Support</w:t>
      </w:r>
    </w:p>
    <w:p w:rsidR="00000000" w:rsidDel="00000000" w:rsidP="00000000" w:rsidRDefault="00000000" w:rsidRPr="00000000" w14:paraId="00000061">
      <w:pPr>
        <w:rPr/>
      </w:pPr>
      <w:r w:rsidDel="00000000" w:rsidR="00000000" w:rsidRPr="00000000">
        <w:rPr>
          <w:rtl w:val="0"/>
        </w:rPr>
        <w:t xml:space="preserve">During this phase of the engagement, FS Vector will support Onyx in operationalizing the business plan of the proposed bank. FS Vector will also provide continued support to address requests and requirements made by regulators.</w:t>
      </w:r>
    </w:p>
    <w:p w:rsidR="00000000" w:rsidDel="00000000" w:rsidP="00000000" w:rsidRDefault="00000000" w:rsidRPr="00000000" w14:paraId="00000062">
      <w:pPr>
        <w:keepNext w:val="1"/>
        <w:rPr>
          <w:rFonts w:ascii="Roboto" w:cs="Roboto" w:eastAsia="Roboto" w:hAnsi="Roboto"/>
          <w:b w:val="1"/>
          <w:bCs w:val="1"/>
        </w:rPr>
      </w:pPr>
      <w:r w:rsidDel="00000000" w:rsidR="00000000" w:rsidRPr="00000000">
        <w:rPr>
          <w:rFonts w:ascii="Roboto" w:cs="Roboto" w:eastAsia="Roboto" w:hAnsi="Roboto"/>
          <w:b w:val="1"/>
          <w:bCs w:val="1"/>
          <w:rtl w:val="0"/>
        </w:rPr>
        <w:t xml:space="preserve">Key Deliverables, Activities, and Outcomes</w:t>
      </w:r>
    </w:p>
    <w:p w:rsidR="00000000" w:rsidDel="00000000" w:rsidP="00000000" w:rsidRDefault="00000000" w:rsidRPr="00000000" w14:paraId="00000063">
      <w:pPr>
        <w:ind w:left="720" w:firstLine="0"/>
        <w:rPr/>
      </w:pPr>
      <w:r w:rsidDel="00000000" w:rsidR="00000000" w:rsidRPr="00000000">
        <w:rPr>
          <w:rFonts w:ascii="Roboto" w:cs="Roboto" w:eastAsia="Roboto" w:hAnsi="Roboto"/>
          <w:b w:val="1"/>
          <w:bCs w:val="1"/>
          <w:rtl w:val="0"/>
        </w:rPr>
        <w:t xml:space="preserve">Post-Filing Information Requests</w:t>
      </w:r>
      <w:r w:rsidDel="00000000" w:rsidR="00000000" w:rsidRPr="00000000">
        <w:rPr>
          <w:rtl w:val="0"/>
        </w:rPr>
        <w:t xml:space="preserve">: Respond to regulator(s)’s post-filing requests for additional information.</w:t>
      </w:r>
    </w:p>
    <w:p w:rsidR="00000000" w:rsidDel="00000000" w:rsidP="00000000" w:rsidRDefault="00000000" w:rsidRPr="00000000" w14:paraId="00000064">
      <w:pPr>
        <w:ind w:left="720" w:firstLine="0"/>
        <w:rPr>
          <w:i w:val="1"/>
          <w:iCs w:val="1"/>
        </w:rPr>
      </w:pPr>
      <w:r w:rsidDel="00000000" w:rsidR="00000000" w:rsidRPr="00000000">
        <w:rPr>
          <w:rFonts w:ascii="Roboto" w:cs="Roboto" w:eastAsia="Roboto" w:hAnsi="Roboto"/>
          <w:b w:val="1"/>
          <w:bCs w:val="1"/>
          <w:rtl w:val="0"/>
        </w:rPr>
        <w:t xml:space="preserve">GRC Framework (Post-Application)</w:t>
      </w:r>
      <w:r w:rsidDel="00000000" w:rsidR="00000000" w:rsidRPr="00000000">
        <w:rPr>
          <w:rtl w:val="0"/>
        </w:rPr>
        <w:t xml:space="preserve">: Develop the bank’s policies, procedures, and governance committee charters, to the extent not developed for the application. </w:t>
      </w:r>
      <w:r w:rsidDel="00000000" w:rsidR="00000000" w:rsidRPr="00000000">
        <w:rPr>
          <w:i w:val="1"/>
          <w:iCs w:val="1"/>
          <w:rtl w:val="0"/>
        </w:rPr>
        <w:t xml:space="preserve">(See GRC Framework (Pre-Application) above for additional details regarding the areas of coverage).</w:t>
      </w:r>
    </w:p>
    <w:p w:rsidR="00000000" w:rsidDel="00000000" w:rsidP="00000000" w:rsidRDefault="00000000" w:rsidRPr="00000000" w14:paraId="00000065">
      <w:pPr>
        <w:ind w:left="720" w:firstLine="0"/>
        <w:rPr/>
      </w:pPr>
      <w:r w:rsidDel="00000000" w:rsidR="00000000" w:rsidRPr="00000000">
        <w:rPr>
          <w:rFonts w:ascii="Roboto" w:cs="Roboto" w:eastAsia="Roboto" w:hAnsi="Roboto"/>
          <w:b w:val="1"/>
          <w:bCs w:val="1"/>
          <w:rtl w:val="0"/>
        </w:rPr>
        <w:t xml:space="preserve">Infrastructure</w:t>
      </w:r>
      <w:r w:rsidDel="00000000" w:rsidR="00000000" w:rsidRPr="00000000">
        <w:rPr>
          <w:rtl w:val="0"/>
        </w:rPr>
        <w:t xml:space="preserve">: Design and establish the operational and risk management infrastructure required to begin operating the new bank (e.g., evaluation and selection of vendors and tech solutions, development of staffing plans).</w:t>
      </w:r>
    </w:p>
    <w:p w:rsidR="00000000" w:rsidDel="00000000" w:rsidP="00000000" w:rsidRDefault="00000000" w:rsidRPr="00000000" w14:paraId="00000066">
      <w:pPr>
        <w:ind w:left="720" w:firstLine="0"/>
        <w:rPr/>
      </w:pPr>
      <w:r w:rsidDel="00000000" w:rsidR="00000000" w:rsidRPr="00000000">
        <w:rPr>
          <w:rFonts w:ascii="Roboto" w:cs="Roboto" w:eastAsia="Roboto" w:hAnsi="Roboto"/>
          <w:b w:val="1"/>
          <w:bCs w:val="1"/>
          <w:rtl w:val="0"/>
        </w:rPr>
        <w:t xml:space="preserve">Bank Migration</w:t>
      </w:r>
      <w:r w:rsidDel="00000000" w:rsidR="00000000" w:rsidRPr="00000000">
        <w:rPr>
          <w:rtl w:val="0"/>
        </w:rPr>
        <w:t xml:space="preserve">: For an application that involves the migration of existing employees, operations, and customer relationships from affiliated entities into the new bank, help plan and execute such migration by: </w:t>
      </w:r>
    </w:p>
    <w:p w:rsidR="00000000" w:rsidDel="00000000" w:rsidP="00000000" w:rsidRDefault="00000000" w:rsidRPr="00000000" w14:paraId="00000067">
      <w:pPr>
        <w:numPr>
          <w:ilvl w:val="0"/>
          <w:numId w:val="8"/>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rtl w:val="0"/>
        </w:rPr>
        <w:t xml:space="preserve">Advising on the design and execution of a migration plan that complies with regulatory requirements and expectations while minimizing negative financial, customer, and employee impacts</w:t>
      </w:r>
    </w:p>
    <w:p w:rsidR="00000000" w:rsidDel="00000000" w:rsidP="00000000" w:rsidRDefault="00000000" w:rsidRPr="00000000" w14:paraId="00000068">
      <w:pPr>
        <w:numPr>
          <w:ilvl w:val="0"/>
          <w:numId w:val="8"/>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rtl w:val="0"/>
        </w:rPr>
        <w:t xml:space="preserve">Performing gap analysis to define the gaps between Onyx’s existing governance, risk, and control processes and bank regulatory requirements and expectations with respect to the migrating activities</w:t>
      </w:r>
    </w:p>
    <w:p w:rsidR="00000000" w:rsidDel="00000000" w:rsidP="00000000" w:rsidRDefault="00000000" w:rsidRPr="00000000" w14:paraId="00000069">
      <w:pPr>
        <w:numPr>
          <w:ilvl w:val="0"/>
          <w:numId w:val="2"/>
        </w:numPr>
        <w:ind w:left="1440" w:hanging="360"/>
        <w:rPr/>
      </w:pPr>
      <w:r w:rsidDel="00000000" w:rsidR="00000000" w:rsidRPr="00000000">
        <w:rPr>
          <w:rtl w:val="0"/>
        </w:rPr>
        <w:t xml:space="preserve">Working with Onyx to plan and implement short-term and long-term remediation programs to address these gaps in a manner that reflects the concerns and priorities of the bank’s regulators</w:t>
      </w:r>
    </w:p>
    <w:p w:rsidR="00000000" w:rsidDel="00000000" w:rsidP="00000000" w:rsidRDefault="00000000" w:rsidRPr="00000000" w14:paraId="0000006A">
      <w:pPr>
        <w:ind w:left="720" w:firstLine="0"/>
        <w:rPr>
          <w:b w:val="1"/>
          <w:bCs w:val="1"/>
        </w:rPr>
      </w:pPr>
      <w:r w:rsidDel="00000000" w:rsidR="00000000" w:rsidRPr="00000000">
        <w:rPr>
          <w:rFonts w:ascii="Roboto" w:cs="Roboto" w:eastAsia="Roboto" w:hAnsi="Roboto"/>
          <w:b w:val="1"/>
          <w:bCs w:val="1"/>
          <w:rtl w:val="0"/>
        </w:rPr>
        <w:t xml:space="preserve">Field Investigation and Pre-Opening Exam</w:t>
      </w:r>
      <w:r w:rsidDel="00000000" w:rsidR="00000000" w:rsidRPr="00000000">
        <w:rPr>
          <w:rtl w:val="0"/>
        </w:rPr>
        <w:t xml:space="preserve">: Prepare for and pass the regulatory field investigation(s) (which occur after the filing of the application and serve to inform the regulators’ decision to grant preliminary condition approval) and pre-opening exam (which occur shortly before final approval and assess the bank’s readiness to open for business), through conducting mock  exams, gap analyses, or pre-opening dry-runs.</w:t>
      </w: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Fee and Timeline</w:t>
      </w:r>
    </w:p>
    <w:p w:rsidR="00000000" w:rsidDel="00000000" w:rsidP="00000000" w:rsidRDefault="00000000" w:rsidRPr="00000000" w14:paraId="0000006C">
      <w:pPr>
        <w:rPr/>
      </w:pPr>
      <w:r w:rsidDel="00000000" w:rsidR="00000000" w:rsidRPr="00000000">
        <w:rPr>
          <w:rtl w:val="0"/>
        </w:rPr>
        <w:t xml:space="preserve">For the services included in Phase 3, we recommend that you plan for FS Vector fees of </w:t>
      </w:r>
      <w:r w:rsidDel="00000000" w:rsidR="00000000" w:rsidRPr="00000000">
        <w:rPr>
          <w:b w:val="1"/>
          <w:bCs w:val="1"/>
          <w:rtl w:val="0"/>
        </w:rPr>
        <w:t xml:space="preserve">$60,000 </w:t>
      </w:r>
      <w:r w:rsidDel="00000000" w:rsidR="00000000" w:rsidRPr="00000000">
        <w:rPr>
          <w:rFonts w:ascii="Roboto" w:cs="Roboto" w:eastAsia="Roboto" w:hAnsi="Roboto"/>
          <w:rtl w:val="0"/>
        </w:rPr>
        <w:t xml:space="preserve">per month </w:t>
      </w:r>
      <w:r w:rsidDel="00000000" w:rsidR="00000000" w:rsidRPr="00000000">
        <w:rPr>
          <w:rtl w:val="0"/>
        </w:rPr>
        <w:t xml:space="preserve">over an anticipated 4-6 month period. These fees could be lower, depending on the extent and nature of support that needed from FS Vector. </w:t>
      </w:r>
    </w:p>
    <w:p w:rsidR="00000000" w:rsidDel="00000000" w:rsidP="00000000" w:rsidRDefault="00000000" w:rsidRPr="00000000" w14:paraId="0000006D">
      <w:pPr>
        <w:pStyle w:val="Heading1"/>
        <w:rPr/>
      </w:pPr>
      <w:bookmarkStart w:colFirst="0" w:colLast="0" w:name="_heading=h.gy4bj0ypmk8e" w:id="7"/>
      <w:bookmarkEnd w:id="7"/>
      <w:r w:rsidDel="00000000" w:rsidR="00000000" w:rsidRPr="00000000">
        <w:rPr>
          <w:rtl w:val="0"/>
        </w:rPr>
        <w:t xml:space="preserve">External Counsel Considerations</w:t>
      </w:r>
    </w:p>
    <w:p w:rsidR="00000000" w:rsidDel="00000000" w:rsidP="00000000" w:rsidRDefault="00000000" w:rsidRPr="00000000" w14:paraId="0000006E">
      <w:pPr>
        <w:rPr/>
      </w:pPr>
      <w:r w:rsidDel="00000000" w:rsidR="00000000" w:rsidRPr="00000000">
        <w:rPr>
          <w:rtl w:val="0"/>
        </w:rPr>
        <w:t xml:space="preserve">We have experience working with several of the highest-regarded law firms in the United States. Given your relationship with Paul Hastings, we would recommend initiating discussions with them. Chris Daniel and Larry Kaplan would be excellent. </w:t>
      </w:r>
    </w:p>
    <w:p w:rsidR="00000000" w:rsidDel="00000000" w:rsidP="00000000" w:rsidRDefault="00000000" w:rsidRPr="00000000" w14:paraId="0000006F">
      <w:pPr>
        <w:rPr/>
      </w:pPr>
      <w:r w:rsidDel="00000000" w:rsidR="00000000" w:rsidRPr="00000000">
        <w:rPr>
          <w:rtl w:val="0"/>
        </w:rPr>
        <w:t xml:space="preserve">A non-exhaustive set of additional firms and attorneys follows, for your consideration. We would be pleased to make introductions if helpful:</w:t>
      </w:r>
    </w:p>
    <w:p w:rsidR="00000000" w:rsidDel="00000000" w:rsidP="00000000" w:rsidRDefault="00000000" w:rsidRPr="00000000" w14:paraId="00000070">
      <w:pPr>
        <w:numPr>
          <w:ilvl w:val="0"/>
          <w:numId w:val="8"/>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rtl w:val="0"/>
        </w:rPr>
        <w:t xml:space="preserve">Alston &amp; Bird - Including Duncan Douglass and Barry Hester</w:t>
      </w:r>
    </w:p>
    <w:p w:rsidR="00000000" w:rsidDel="00000000" w:rsidP="00000000" w:rsidRDefault="00000000" w:rsidRPr="00000000" w14:paraId="00000071">
      <w:pPr>
        <w:numPr>
          <w:ilvl w:val="0"/>
          <w:numId w:val="8"/>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rtl w:val="0"/>
        </w:rPr>
        <w:t xml:space="preserve">Covington &amp; Burling - Including Michael Nonaka</w:t>
      </w:r>
    </w:p>
    <w:p w:rsidR="00000000" w:rsidDel="00000000" w:rsidP="00000000" w:rsidRDefault="00000000" w:rsidRPr="00000000" w14:paraId="00000072">
      <w:pPr>
        <w:numPr>
          <w:ilvl w:val="0"/>
          <w:numId w:val="8"/>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rtl w:val="0"/>
        </w:rPr>
        <w:t xml:space="preserve">Davis Polk - Including David Portilla</w:t>
      </w:r>
    </w:p>
    <w:p w:rsidR="00000000" w:rsidDel="00000000" w:rsidP="00000000" w:rsidRDefault="00000000" w:rsidRPr="00000000" w14:paraId="00000073">
      <w:pPr>
        <w:numPr>
          <w:ilvl w:val="0"/>
          <w:numId w:val="8"/>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rtl w:val="0"/>
        </w:rPr>
        <w:t xml:space="preserve">Davis Wright Tremaine - Including Max Bonici</w:t>
      </w:r>
    </w:p>
    <w:p w:rsidR="00000000" w:rsidDel="00000000" w:rsidP="00000000" w:rsidRDefault="00000000" w:rsidRPr="00000000" w14:paraId="00000074">
      <w:pPr>
        <w:numPr>
          <w:ilvl w:val="0"/>
          <w:numId w:val="8"/>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rtl w:val="0"/>
        </w:rPr>
        <w:t xml:space="preserve">DLA Piper - Including Jeffrey Hare</w:t>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rtl w:val="0"/>
        </w:rPr>
        <w:t xml:space="preserve">Gibson Dunn - Including Sara Weed and Jason Cabral</w:t>
      </w:r>
    </w:p>
    <w:p w:rsidR="00000000" w:rsidDel="00000000" w:rsidP="00000000" w:rsidRDefault="00000000" w:rsidRPr="00000000" w14:paraId="00000076">
      <w:pPr>
        <w:numPr>
          <w:ilvl w:val="0"/>
          <w:numId w:val="8"/>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rtl w:val="0"/>
        </w:rPr>
        <w:t xml:space="preserve">Skadden - Including Mark Chorazak</w:t>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rtl w:val="0"/>
        </w:rPr>
        <w:t xml:space="preserve">Sullivan &amp; Cromwell - Including Jared Fishman </w:t>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rtl w:val="0"/>
        </w:rPr>
        <w:t xml:space="preserve">WilmerHale - Including Julie Williams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rPr/>
      </w:pPr>
      <w:bookmarkStart w:colFirst="0" w:colLast="0" w:name="_heading=h.u14r4p7dldjx" w:id="8"/>
      <w:bookmarkEnd w:id="8"/>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rPr/>
      </w:pPr>
      <w:bookmarkStart w:colFirst="0" w:colLast="0" w:name="_heading=h.cda2z59qu7f9" w:id="9"/>
      <w:bookmarkEnd w:id="9"/>
      <w:r w:rsidDel="00000000" w:rsidR="00000000" w:rsidRPr="00000000">
        <w:rPr>
          <w:rtl w:val="0"/>
        </w:rPr>
        <w:t xml:space="preserve">Core Team Personnel</w:t>
      </w:r>
    </w:p>
    <w:p w:rsidR="00000000" w:rsidDel="00000000" w:rsidP="00000000" w:rsidRDefault="00000000" w:rsidRPr="00000000" w14:paraId="0000007C">
      <w:pPr>
        <w:rPr>
          <w:rFonts w:ascii="Roboto" w:cs="Roboto" w:eastAsia="Roboto" w:hAnsi="Roboto"/>
          <w:color w:val="3f8135"/>
          <w:sz w:val="28"/>
          <w:szCs w:val="28"/>
        </w:rPr>
      </w:pPr>
      <w:r w:rsidDel="00000000" w:rsidR="00000000" w:rsidRPr="00000000">
        <w:rPr>
          <w:rtl w:val="0"/>
        </w:rPr>
        <w:t xml:space="preserve">We summarize the engagement team as follows. Biographies for each person and the wider FS Vector Advisory Team are provided later in the document.</w:t>
      </w:r>
      <w:r w:rsidDel="00000000" w:rsidR="00000000" w:rsidRPr="00000000">
        <w:rPr>
          <w:rtl w:val="0"/>
        </w:rPr>
      </w:r>
    </w:p>
    <w:tbl>
      <w:tblPr>
        <w:tblStyle w:val="Table1"/>
        <w:tblW w:w="9360.0" w:type="dxa"/>
        <w:jc w:val="left"/>
        <w:tblLayout w:type="fixed"/>
        <w:tblLook w:val="0600"/>
      </w:tblPr>
      <w:tblGrid>
        <w:gridCol w:w="1590"/>
        <w:gridCol w:w="7770"/>
        <w:tblGridChange w:id="0">
          <w:tblGrid>
            <w:gridCol w:w="1590"/>
            <w:gridCol w:w="7770"/>
          </w:tblGrid>
        </w:tblGridChange>
      </w:tblGrid>
      <w:tr>
        <w:trPr>
          <w:cantSplit w:val="0"/>
          <w:trHeight w:val="1845"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7D">
            <w:pPr>
              <w:widowControl w:val="0"/>
              <w:jc w:val="center"/>
              <w:rPr>
                <w:rFonts w:ascii="Roboto" w:cs="Roboto" w:eastAsia="Roboto" w:hAnsi="Roboto"/>
                <w:color w:val="3f8135"/>
                <w:sz w:val="28"/>
                <w:szCs w:val="28"/>
              </w:rPr>
            </w:pPr>
            <w:r w:rsidDel="00000000" w:rsidR="00000000" w:rsidRPr="00000000">
              <w:rPr>
                <w:rFonts w:ascii="Roboto" w:cs="Roboto" w:eastAsia="Roboto" w:hAnsi="Roboto"/>
                <w:color w:val="3f8135"/>
                <w:sz w:val="28"/>
                <w:szCs w:val="28"/>
              </w:rPr>
              <w:drawing>
                <wp:inline distB="114300" distT="114300" distL="114300" distR="114300">
                  <wp:extent cx="914400" cy="906780"/>
                  <wp:effectExtent b="0" l="0" r="0" t="0"/>
                  <wp:docPr id="2113794536"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914400" cy="906780"/>
                          </a:xfrm>
                          <a:prstGeom prst="rect"/>
                          <a:ln/>
                        </pic:spPr>
                      </pic:pic>
                    </a:graphicData>
                  </a:graphic>
                </wp:inline>
              </w:drawing>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7E">
            <w:pPr>
              <w:spacing w:after="200" w:before="240" w:lineRule="auto"/>
              <w:rPr/>
            </w:pPr>
            <w:r w:rsidDel="00000000" w:rsidR="00000000" w:rsidRPr="00000000">
              <w:rPr>
                <w:b w:val="1"/>
                <w:bCs w:val="1"/>
                <w:color w:val="1f497d"/>
                <w:rtl w:val="0"/>
              </w:rPr>
              <w:t xml:space="preserve">Jasper Sneff Nanni, Managing Principal and Chartering Lead</w:t>
            </w:r>
            <w:r w:rsidDel="00000000" w:rsidR="00000000" w:rsidRPr="00000000">
              <w:rPr>
                <w:rtl w:val="0"/>
              </w:rPr>
            </w:r>
          </w:p>
          <w:p w:rsidR="00000000" w:rsidDel="00000000" w:rsidP="00000000" w:rsidRDefault="00000000" w:rsidRPr="00000000" w14:paraId="0000007F">
            <w:pPr>
              <w:numPr>
                <w:ilvl w:val="0"/>
                <w:numId w:val="6"/>
              </w:numPr>
              <w:spacing w:after="0" w:lineRule="auto"/>
              <w:ind w:left="720" w:hanging="360"/>
              <w:rPr/>
            </w:pPr>
            <w:bookmarkStart w:colFirst="0" w:colLast="0" w:name="_heading=h.58iwi2s45mhs" w:id="10"/>
            <w:bookmarkEnd w:id="10"/>
            <w:r w:rsidDel="00000000" w:rsidR="00000000" w:rsidRPr="00000000">
              <w:rPr>
                <w:rtl w:val="0"/>
              </w:rPr>
              <w:t xml:space="preserve">Jasper oversees FS Vector’s bank charter support services.</w:t>
            </w:r>
          </w:p>
          <w:p w:rsidR="00000000" w:rsidDel="00000000" w:rsidP="00000000" w:rsidRDefault="00000000" w:rsidRPr="00000000" w14:paraId="00000080">
            <w:pPr>
              <w:numPr>
                <w:ilvl w:val="0"/>
                <w:numId w:val="6"/>
              </w:numPr>
              <w:spacing w:after="200" w:lineRule="auto"/>
              <w:ind w:left="720" w:hanging="360"/>
              <w:rPr/>
            </w:pPr>
            <w:r w:rsidDel="00000000" w:rsidR="00000000" w:rsidRPr="00000000">
              <w:rPr>
                <w:rtl w:val="0"/>
              </w:rPr>
              <w:t xml:space="preserve">He will lead the engagement day-to-day, coordinating advice and artifact delivery toward project milestones.</w:t>
            </w:r>
          </w:p>
        </w:tc>
      </w:tr>
      <w:tr>
        <w:trPr>
          <w:cantSplit w:val="0"/>
          <w:trHeight w:val="204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81">
            <w:pPr>
              <w:widowControl w:val="0"/>
              <w:jc w:val="center"/>
              <w:rPr>
                <w:rFonts w:ascii="Roboto" w:cs="Roboto" w:eastAsia="Roboto" w:hAnsi="Roboto"/>
                <w:color w:val="3f8135"/>
                <w:sz w:val="28"/>
                <w:szCs w:val="28"/>
              </w:rPr>
            </w:pPr>
            <w:r w:rsidDel="00000000" w:rsidR="00000000" w:rsidRPr="00000000">
              <w:rPr>
                <w:rFonts w:ascii="Roboto" w:cs="Roboto" w:eastAsia="Roboto" w:hAnsi="Roboto"/>
                <w:color w:val="3f8135"/>
                <w:sz w:val="28"/>
                <w:szCs w:val="28"/>
              </w:rPr>
              <mc:AlternateContent>
                <mc:Choice Requires="wpg">
                  <w:drawing>
                    <wp:inline distB="114300" distT="114300" distL="114300" distR="114300">
                      <wp:extent cx="914400" cy="920115"/>
                      <wp:effectExtent b="0" l="0" r="0" t="0"/>
                      <wp:docPr id="2113794520" name=""/>
                      <a:graphic>
                        <a:graphicData uri="http://schemas.microsoft.com/office/word/2010/wordprocessingGroup">
                          <wpg:wgp>
                            <wpg:cNvGrpSpPr/>
                            <wpg:grpSpPr>
                              <a:xfrm>
                                <a:off x="4888800" y="3319925"/>
                                <a:ext cx="914400" cy="920115"/>
                                <a:chOff x="4888800" y="3319925"/>
                                <a:chExt cx="914400" cy="920150"/>
                              </a:xfrm>
                            </wpg:grpSpPr>
                            <wpg:grpSp>
                              <wpg:cNvGrpSpPr/>
                              <wpg:grpSpPr>
                                <a:xfrm>
                                  <a:off x="4888800" y="3319943"/>
                                  <a:ext cx="914400" cy="920115"/>
                                  <a:chOff x="4888800" y="3319925"/>
                                  <a:chExt cx="914400" cy="920150"/>
                                </a:xfrm>
                              </wpg:grpSpPr>
                              <wps:wsp>
                                <wps:cNvSpPr/>
                                <wps:cNvPr id="3" name="Shape 3"/>
                                <wps:spPr>
                                  <a:xfrm>
                                    <a:off x="4888800" y="3319925"/>
                                    <a:ext cx="914400" cy="92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319943"/>
                                    <a:ext cx="914400" cy="920115"/>
                                    <a:chOff x="4888800" y="3319925"/>
                                    <a:chExt cx="914400" cy="920150"/>
                                  </a:xfrm>
                                </wpg:grpSpPr>
                                <wps:wsp>
                                  <wps:cNvSpPr/>
                                  <wps:cNvPr id="23" name="Shape 23"/>
                                  <wps:spPr>
                                    <a:xfrm>
                                      <a:off x="4888800" y="3319925"/>
                                      <a:ext cx="914400" cy="92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319943"/>
                                      <a:ext cx="914400" cy="920115"/>
                                      <a:chOff x="4888800" y="3319925"/>
                                      <a:chExt cx="914400" cy="920150"/>
                                    </a:xfrm>
                                  </wpg:grpSpPr>
                                  <wps:wsp>
                                    <wps:cNvSpPr/>
                                    <wps:cNvPr id="25" name="Shape 25"/>
                                    <wps:spPr>
                                      <a:xfrm>
                                        <a:off x="4888800" y="3319925"/>
                                        <a:ext cx="914400" cy="92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319943"/>
                                        <a:ext cx="914400" cy="920115"/>
                                        <a:chOff x="4888800" y="3319925"/>
                                        <a:chExt cx="914400" cy="920150"/>
                                      </a:xfrm>
                                    </wpg:grpSpPr>
                                    <wps:wsp>
                                      <wps:cNvSpPr/>
                                      <wps:cNvPr id="27" name="Shape 27"/>
                                      <wps:spPr>
                                        <a:xfrm>
                                          <a:off x="4888800" y="3319925"/>
                                          <a:ext cx="914400" cy="92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319943"/>
                                          <a:ext cx="914400" cy="920115"/>
                                          <a:chOff x="4888800" y="3319925"/>
                                          <a:chExt cx="914400" cy="920150"/>
                                        </a:xfrm>
                                      </wpg:grpSpPr>
                                      <wps:wsp>
                                        <wps:cNvSpPr/>
                                        <wps:cNvPr id="29" name="Shape 29"/>
                                        <wps:spPr>
                                          <a:xfrm>
                                            <a:off x="4888800" y="3319925"/>
                                            <a:ext cx="914400" cy="92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319943"/>
                                            <a:ext cx="914400" cy="920115"/>
                                            <a:chOff x="4888800" y="3319925"/>
                                            <a:chExt cx="914400" cy="920150"/>
                                          </a:xfrm>
                                        </wpg:grpSpPr>
                                        <wps:wsp>
                                          <wps:cNvSpPr/>
                                          <wps:cNvPr id="31" name="Shape 31"/>
                                          <wps:spPr>
                                            <a:xfrm>
                                              <a:off x="4888800" y="3319925"/>
                                              <a:ext cx="914400" cy="92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319943"/>
                                              <a:ext cx="914400" cy="920115"/>
                                              <a:chOff x="4888800" y="3319925"/>
                                              <a:chExt cx="914400" cy="920150"/>
                                            </a:xfrm>
                                          </wpg:grpSpPr>
                                          <wps:wsp>
                                            <wps:cNvSpPr/>
                                            <wps:cNvPr id="33" name="Shape 33"/>
                                            <wps:spPr>
                                              <a:xfrm>
                                                <a:off x="4888800" y="3319925"/>
                                                <a:ext cx="914400" cy="92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319943"/>
                                                <a:ext cx="914400" cy="920115"/>
                                                <a:chOff x="4888800" y="3319925"/>
                                                <a:chExt cx="914400" cy="920150"/>
                                              </a:xfrm>
                                            </wpg:grpSpPr>
                                            <wps:wsp>
                                              <wps:cNvSpPr/>
                                              <wps:cNvPr id="35" name="Shape 35"/>
                                              <wps:spPr>
                                                <a:xfrm>
                                                  <a:off x="4888800" y="3319925"/>
                                                  <a:ext cx="914400" cy="92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319943"/>
                                                  <a:ext cx="914400" cy="920115"/>
                                                  <a:chOff x="152375" y="152400"/>
                                                  <a:chExt cx="6553225" cy="6553200"/>
                                                </a:xfrm>
                                              </wpg:grpSpPr>
                                              <wps:wsp>
                                                <wps:cNvSpPr/>
                                                <wps:cNvPr id="37" name="Shape 37"/>
                                                <wps:spPr>
                                                  <a:xfrm>
                                                    <a:off x="152375" y="152400"/>
                                                    <a:ext cx="6553225" cy="655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8" name="Shape 38"/>
                                                  <pic:cNvPicPr preferRelativeResize="0"/>
                                                </pic:nvPicPr>
                                                <pic:blipFill rotWithShape="1">
                                                  <a:blip r:embed="rId10">
                                                    <a:alphaModFix/>
                                                  </a:blip>
                                                  <a:srcRect b="0" l="0" r="0" t="0"/>
                                                  <a:stretch/>
                                                </pic:blipFill>
                                                <pic:spPr>
                                                  <a:xfrm>
                                                    <a:off x="152400" y="152400"/>
                                                    <a:ext cx="6553200" cy="6553200"/>
                                                  </a:xfrm>
                                                  <a:prstGeom prst="ellipse">
                                                    <a:avLst/>
                                                  </a:prstGeom>
                                                  <a:noFill/>
                                                  <a:ln>
                                                    <a:noFill/>
                                                  </a:ln>
                                                </pic:spPr>
                                              </pic:pic>
                                            </wpg:grpSp>
                                          </wpg:grpSp>
                                        </wpg:grpSp>
                                      </wpg:grpSp>
                                    </wpg:grpSp>
                                  </wpg:grpSp>
                                </wpg:grpSp>
                              </wpg:grpSp>
                            </wpg:grpSp>
                          </wpg:wgp>
                        </a:graphicData>
                      </a:graphic>
                    </wp:inline>
                  </w:drawing>
                </mc:Choice>
                <mc:Fallback>
                  <w:drawing>
                    <wp:inline distB="114300" distT="114300" distL="114300" distR="114300">
                      <wp:extent cx="914400" cy="920115"/>
                      <wp:effectExtent b="0" l="0" r="0" t="0"/>
                      <wp:docPr id="2113794520" name="image26.png"/>
                      <a:graphic>
                        <a:graphicData uri="http://schemas.openxmlformats.org/drawingml/2006/picture">
                          <pic:pic>
                            <pic:nvPicPr>
                              <pic:cNvPr id="0" name="image26.png"/>
                              <pic:cNvPicPr preferRelativeResize="0"/>
                            </pic:nvPicPr>
                            <pic:blipFill>
                              <a:blip r:embed="rId11"/>
                              <a:srcRect/>
                              <a:stretch>
                                <a:fillRect/>
                              </a:stretch>
                            </pic:blipFill>
                            <pic:spPr>
                              <a:xfrm>
                                <a:off x="0" y="0"/>
                                <a:ext cx="914400" cy="920115"/>
                              </a:xfrm>
                              <a:prstGeom prst="rect"/>
                              <a:ln/>
                            </pic:spPr>
                          </pic:pic>
                        </a:graphicData>
                      </a:graphic>
                    </wp:inline>
                  </w:drawing>
                </mc:Fallback>
              </mc:AlternateConten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82">
            <w:pPr>
              <w:spacing w:after="200" w:before="240" w:lineRule="auto"/>
              <w:rPr/>
            </w:pPr>
            <w:r w:rsidDel="00000000" w:rsidR="00000000" w:rsidRPr="00000000">
              <w:rPr>
                <w:b w:val="1"/>
                <w:bCs w:val="1"/>
                <w:color w:val="1f497d"/>
                <w:rtl w:val="0"/>
              </w:rPr>
              <w:t xml:space="preserve">Evey Guo, Principal</w:t>
            </w:r>
            <w:r w:rsidDel="00000000" w:rsidR="00000000" w:rsidRPr="00000000">
              <w:rPr>
                <w:rtl w:val="0"/>
              </w:rPr>
            </w:r>
          </w:p>
          <w:p w:rsidR="00000000" w:rsidDel="00000000" w:rsidP="00000000" w:rsidRDefault="00000000" w:rsidRPr="00000000" w14:paraId="00000083">
            <w:pPr>
              <w:numPr>
                <w:ilvl w:val="0"/>
                <w:numId w:val="6"/>
              </w:numPr>
              <w:spacing w:after="0" w:before="240" w:lineRule="auto"/>
              <w:ind w:left="720" w:hanging="360"/>
              <w:rPr>
                <w:i w:val="1"/>
                <w:iCs w:val="1"/>
              </w:rPr>
            </w:pPr>
            <w:r w:rsidDel="00000000" w:rsidR="00000000" w:rsidRPr="00000000">
              <w:rPr>
                <w:rtl w:val="0"/>
              </w:rPr>
              <w:t xml:space="preserve">Evey focuses her time on FS Vector bank and trust company charter applications.</w:t>
            </w:r>
            <w:r w:rsidDel="00000000" w:rsidR="00000000" w:rsidRPr="00000000">
              <w:rPr>
                <w:rtl w:val="0"/>
              </w:rPr>
            </w:r>
          </w:p>
          <w:p w:rsidR="00000000" w:rsidDel="00000000" w:rsidP="00000000" w:rsidRDefault="00000000" w:rsidRPr="00000000" w14:paraId="00000084">
            <w:pPr>
              <w:numPr>
                <w:ilvl w:val="0"/>
                <w:numId w:val="6"/>
              </w:numPr>
              <w:spacing w:after="200" w:lineRule="auto"/>
              <w:ind w:left="720" w:hanging="360"/>
              <w:rPr/>
            </w:pPr>
            <w:bookmarkStart w:colFirst="0" w:colLast="0" w:name="_heading=h.6jbktgma7af7" w:id="11"/>
            <w:bookmarkEnd w:id="11"/>
            <w:r w:rsidDel="00000000" w:rsidR="00000000" w:rsidRPr="00000000">
              <w:rPr>
                <w:rtl w:val="0"/>
              </w:rPr>
              <w:t xml:space="preserve">She provides subject matter expertise and drives delivery of business plan and charter application materials.</w:t>
            </w:r>
          </w:p>
        </w:tc>
      </w:tr>
      <w:tr>
        <w:trPr>
          <w:cantSplit w:val="0"/>
          <w:trHeight w:val="183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85">
            <w:pPr>
              <w:widowControl w:val="0"/>
              <w:jc w:val="center"/>
              <w:rPr>
                <w:rFonts w:ascii="Roboto" w:cs="Roboto" w:eastAsia="Roboto" w:hAnsi="Roboto"/>
                <w:color w:val="3f8135"/>
                <w:sz w:val="28"/>
                <w:szCs w:val="28"/>
              </w:rPr>
            </w:pPr>
            <w:r w:rsidDel="00000000" w:rsidR="00000000" w:rsidRPr="00000000">
              <w:rPr>
                <w:rFonts w:ascii="Roboto" w:cs="Roboto" w:eastAsia="Roboto" w:hAnsi="Roboto"/>
                <w:color w:val="3f8135"/>
                <w:sz w:val="28"/>
                <w:szCs w:val="28"/>
              </w:rPr>
              <w:drawing>
                <wp:inline distB="114300" distT="114300" distL="114300" distR="114300">
                  <wp:extent cx="876300" cy="876300"/>
                  <wp:effectExtent b="0" l="0" r="0" t="0"/>
                  <wp:docPr id="2113794538"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876300" cy="876300"/>
                          </a:xfrm>
                          <a:prstGeom prst="rect"/>
                          <a:ln/>
                        </pic:spPr>
                      </pic:pic>
                    </a:graphicData>
                  </a:graphic>
                </wp:inline>
              </w:drawing>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86">
            <w:pPr>
              <w:spacing w:before="240" w:lineRule="auto"/>
              <w:rPr/>
            </w:pPr>
            <w:r w:rsidDel="00000000" w:rsidR="00000000" w:rsidRPr="00000000">
              <w:rPr>
                <w:b w:val="1"/>
                <w:bCs w:val="1"/>
                <w:color w:val="1f497d"/>
                <w:rtl w:val="0"/>
              </w:rPr>
              <w:t xml:space="preserve">Trevor Tanifum, Managing Principal</w:t>
            </w:r>
            <w:r w:rsidDel="00000000" w:rsidR="00000000" w:rsidRPr="00000000">
              <w:rPr>
                <w:rtl w:val="0"/>
              </w:rPr>
            </w:r>
          </w:p>
          <w:p w:rsidR="00000000" w:rsidDel="00000000" w:rsidP="00000000" w:rsidRDefault="00000000" w:rsidRPr="00000000" w14:paraId="00000087">
            <w:pPr>
              <w:numPr>
                <w:ilvl w:val="0"/>
                <w:numId w:val="6"/>
              </w:numPr>
              <w:spacing w:after="0" w:lineRule="auto"/>
              <w:ind w:left="720" w:hanging="360"/>
              <w:rPr/>
            </w:pPr>
            <w:r w:rsidDel="00000000" w:rsidR="00000000" w:rsidRPr="00000000">
              <w:rPr>
                <w:rtl w:val="0"/>
              </w:rPr>
              <w:t xml:space="preserve">Trevor provides advice and guidance related to innovative and novel aspects of prospective charter applications and alternative go to market strategies.</w:t>
            </w:r>
          </w:p>
        </w:tc>
      </w:tr>
      <w:tr>
        <w:trPr>
          <w:cantSplit w:val="0"/>
          <w:trHeight w:val="2409"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88">
            <w:pPr>
              <w:widowControl w:val="0"/>
              <w:spacing w:after="0" w:lineRule="auto"/>
              <w:jc w:val="center"/>
              <w:rPr>
                <w:rFonts w:ascii="Roboto" w:cs="Roboto" w:eastAsia="Roboto" w:hAnsi="Roboto"/>
                <w:color w:val="3f8135"/>
                <w:sz w:val="28"/>
                <w:szCs w:val="28"/>
              </w:rPr>
            </w:pPr>
            <w:r w:rsidDel="00000000" w:rsidR="00000000" w:rsidRPr="00000000">
              <w:rPr>
                <w:rFonts w:ascii="Roboto" w:cs="Roboto" w:eastAsia="Roboto" w:hAnsi="Roboto"/>
                <w:color w:val="3f8135"/>
                <w:sz w:val="28"/>
                <w:szCs w:val="28"/>
              </w:rPr>
              <mc:AlternateContent>
                <mc:Choice Requires="wpg">
                  <w:drawing>
                    <wp:inline distB="114300" distT="114300" distL="114300" distR="114300">
                      <wp:extent cx="914400" cy="920115"/>
                      <wp:effectExtent b="0" l="0" r="0" t="0"/>
                      <wp:docPr id="2113794519" name=""/>
                      <a:graphic>
                        <a:graphicData uri="http://schemas.microsoft.com/office/word/2010/wordprocessingGroup">
                          <wpg:wgp>
                            <wpg:cNvGrpSpPr/>
                            <wpg:grpSpPr>
                              <a:xfrm>
                                <a:off x="4888800" y="3319925"/>
                                <a:ext cx="914400" cy="920115"/>
                                <a:chOff x="4888800" y="3319925"/>
                                <a:chExt cx="914400" cy="920150"/>
                              </a:xfrm>
                            </wpg:grpSpPr>
                            <wpg:grpSp>
                              <wpg:cNvGrpSpPr/>
                              <wpg:grpSpPr>
                                <a:xfrm>
                                  <a:off x="4888800" y="3319943"/>
                                  <a:ext cx="914400" cy="920115"/>
                                  <a:chOff x="4888800" y="3319925"/>
                                  <a:chExt cx="914400" cy="920150"/>
                                </a:xfrm>
                              </wpg:grpSpPr>
                              <wps:wsp>
                                <wps:cNvSpPr/>
                                <wps:cNvPr id="3" name="Shape 3"/>
                                <wps:spPr>
                                  <a:xfrm>
                                    <a:off x="4888800" y="3319925"/>
                                    <a:ext cx="914400" cy="92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319943"/>
                                    <a:ext cx="914400" cy="920115"/>
                                    <a:chOff x="4888800" y="3319925"/>
                                    <a:chExt cx="914400" cy="920150"/>
                                  </a:xfrm>
                                </wpg:grpSpPr>
                                <wps:wsp>
                                  <wps:cNvSpPr/>
                                  <wps:cNvPr id="5" name="Shape 5"/>
                                  <wps:spPr>
                                    <a:xfrm>
                                      <a:off x="4888800" y="3319925"/>
                                      <a:ext cx="914400" cy="92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319943"/>
                                      <a:ext cx="914400" cy="920115"/>
                                      <a:chOff x="4888800" y="3319925"/>
                                      <a:chExt cx="914400" cy="920150"/>
                                    </a:xfrm>
                                  </wpg:grpSpPr>
                                  <wps:wsp>
                                    <wps:cNvSpPr/>
                                    <wps:cNvPr id="7" name="Shape 7"/>
                                    <wps:spPr>
                                      <a:xfrm>
                                        <a:off x="4888800" y="3319925"/>
                                        <a:ext cx="914400" cy="92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319943"/>
                                        <a:ext cx="914400" cy="920115"/>
                                        <a:chOff x="4888800" y="3319925"/>
                                        <a:chExt cx="914400" cy="920150"/>
                                      </a:xfrm>
                                    </wpg:grpSpPr>
                                    <wps:wsp>
                                      <wps:cNvSpPr/>
                                      <wps:cNvPr id="9" name="Shape 9"/>
                                      <wps:spPr>
                                        <a:xfrm>
                                          <a:off x="4888800" y="3319925"/>
                                          <a:ext cx="914400" cy="92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319943"/>
                                          <a:ext cx="914400" cy="920115"/>
                                          <a:chOff x="4888800" y="3319925"/>
                                          <a:chExt cx="914400" cy="920150"/>
                                        </a:xfrm>
                                      </wpg:grpSpPr>
                                      <wps:wsp>
                                        <wps:cNvSpPr/>
                                        <wps:cNvPr id="11" name="Shape 11"/>
                                        <wps:spPr>
                                          <a:xfrm>
                                            <a:off x="4888800" y="3319925"/>
                                            <a:ext cx="914400" cy="92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319943"/>
                                            <a:ext cx="914400" cy="920115"/>
                                            <a:chOff x="4888800" y="3319925"/>
                                            <a:chExt cx="914400" cy="920150"/>
                                          </a:xfrm>
                                        </wpg:grpSpPr>
                                        <wps:wsp>
                                          <wps:cNvSpPr/>
                                          <wps:cNvPr id="13" name="Shape 13"/>
                                          <wps:spPr>
                                            <a:xfrm>
                                              <a:off x="4888800" y="3319925"/>
                                              <a:ext cx="914400" cy="92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319943"/>
                                              <a:ext cx="914400" cy="920115"/>
                                              <a:chOff x="4888800" y="3319925"/>
                                              <a:chExt cx="914400" cy="920150"/>
                                            </a:xfrm>
                                          </wpg:grpSpPr>
                                          <wps:wsp>
                                            <wps:cNvSpPr/>
                                            <wps:cNvPr id="15" name="Shape 15"/>
                                            <wps:spPr>
                                              <a:xfrm>
                                                <a:off x="4888800" y="3319925"/>
                                                <a:ext cx="914400" cy="92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319943"/>
                                                <a:ext cx="914400" cy="920115"/>
                                                <a:chOff x="4888800" y="3319925"/>
                                                <a:chExt cx="914400" cy="920150"/>
                                              </a:xfrm>
                                            </wpg:grpSpPr>
                                            <wps:wsp>
                                              <wps:cNvSpPr/>
                                              <wps:cNvPr id="17" name="Shape 17"/>
                                              <wps:spPr>
                                                <a:xfrm>
                                                  <a:off x="4888800" y="3319925"/>
                                                  <a:ext cx="914400" cy="92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319943"/>
                                                  <a:ext cx="914400" cy="920115"/>
                                                  <a:chOff x="152375" y="152400"/>
                                                  <a:chExt cx="6553225" cy="6553200"/>
                                                </a:xfrm>
                                              </wpg:grpSpPr>
                                              <wps:wsp>
                                                <wps:cNvSpPr/>
                                                <wps:cNvPr id="19" name="Shape 19"/>
                                                <wps:spPr>
                                                  <a:xfrm>
                                                    <a:off x="152375" y="152400"/>
                                                    <a:ext cx="6553225" cy="655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0" name="Shape 20"/>
                                                  <pic:cNvPicPr preferRelativeResize="0"/>
                                                </pic:nvPicPr>
                                                <pic:blipFill rotWithShape="1">
                                                  <a:blip r:embed="rId13">
                                                    <a:alphaModFix/>
                                                  </a:blip>
                                                  <a:srcRect b="0" l="0" r="0" t="0"/>
                                                  <a:stretch/>
                                                </pic:blipFill>
                                                <pic:spPr>
                                                  <a:xfrm>
                                                    <a:off x="152400" y="152400"/>
                                                    <a:ext cx="6553200" cy="6553200"/>
                                                  </a:xfrm>
                                                  <a:prstGeom prst="ellipse">
                                                    <a:avLst/>
                                                  </a:prstGeom>
                                                  <a:noFill/>
                                                  <a:ln>
                                                    <a:noFill/>
                                                  </a:ln>
                                                </pic:spPr>
                                              </pic:pic>
                                            </wpg:grpSp>
                                          </wpg:grpSp>
                                        </wpg:grpSp>
                                      </wpg:grpSp>
                                    </wpg:grpSp>
                                  </wpg:grpSp>
                                </wpg:grpSp>
                              </wpg:grpSp>
                            </wpg:grpSp>
                          </wpg:wgp>
                        </a:graphicData>
                      </a:graphic>
                    </wp:inline>
                  </w:drawing>
                </mc:Choice>
                <mc:Fallback>
                  <w:drawing>
                    <wp:inline distB="114300" distT="114300" distL="114300" distR="114300">
                      <wp:extent cx="914400" cy="920115"/>
                      <wp:effectExtent b="0" l="0" r="0" t="0"/>
                      <wp:docPr id="2113794519" name="image24.png"/>
                      <a:graphic>
                        <a:graphicData uri="http://schemas.openxmlformats.org/drawingml/2006/picture">
                          <pic:pic>
                            <pic:nvPicPr>
                              <pic:cNvPr id="0" name="image24.png"/>
                              <pic:cNvPicPr preferRelativeResize="0"/>
                            </pic:nvPicPr>
                            <pic:blipFill>
                              <a:blip r:embed="rId11"/>
                              <a:srcRect/>
                              <a:stretch>
                                <a:fillRect/>
                              </a:stretch>
                            </pic:blipFill>
                            <pic:spPr>
                              <a:xfrm>
                                <a:off x="0" y="0"/>
                                <a:ext cx="914400" cy="920115"/>
                              </a:xfrm>
                              <a:prstGeom prst="rect"/>
                              <a:ln/>
                            </pic:spPr>
                          </pic:pic>
                        </a:graphicData>
                      </a:graphic>
                    </wp:inline>
                  </w:drawing>
                </mc:Fallback>
              </mc:AlternateConten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89">
            <w:pPr>
              <w:spacing w:after="200" w:before="200" w:lineRule="auto"/>
              <w:rPr>
                <w:i w:val="1"/>
                <w:iCs w:val="1"/>
              </w:rPr>
            </w:pPr>
            <w:bookmarkStart w:colFirst="0" w:colLast="0" w:name="_heading=h.6ipjjef563v0" w:id="12"/>
            <w:bookmarkEnd w:id="12"/>
            <w:r w:rsidDel="00000000" w:rsidR="00000000" w:rsidRPr="00000000">
              <w:rPr>
                <w:b w:val="1"/>
                <w:bCs w:val="1"/>
                <w:color w:val="1f497d"/>
                <w:rtl w:val="0"/>
              </w:rPr>
              <w:t xml:space="preserve">Chris Sidler, Partner</w:t>
            </w:r>
            <w:r w:rsidDel="00000000" w:rsidR="00000000" w:rsidRPr="00000000">
              <w:rPr>
                <w:rtl w:val="0"/>
              </w:rPr>
            </w:r>
          </w:p>
          <w:p w:rsidR="00000000" w:rsidDel="00000000" w:rsidP="00000000" w:rsidRDefault="00000000" w:rsidRPr="00000000" w14:paraId="0000008A">
            <w:pPr>
              <w:numPr>
                <w:ilvl w:val="0"/>
                <w:numId w:val="6"/>
              </w:numPr>
              <w:spacing w:after="0" w:lineRule="auto"/>
              <w:ind w:left="720" w:hanging="360"/>
              <w:rPr/>
            </w:pPr>
            <w:r w:rsidDel="00000000" w:rsidR="00000000" w:rsidRPr="00000000">
              <w:rPr>
                <w:rtl w:val="0"/>
              </w:rPr>
              <w:t xml:space="preserve">As the lead partner on FS Vector advisory engagements, Chris provides ongoing advice and guidance to the project.</w:t>
            </w:r>
          </w:p>
          <w:p w:rsidR="00000000" w:rsidDel="00000000" w:rsidP="00000000" w:rsidRDefault="00000000" w:rsidRPr="00000000" w14:paraId="0000008B">
            <w:pPr>
              <w:numPr>
                <w:ilvl w:val="0"/>
                <w:numId w:val="6"/>
              </w:numPr>
              <w:spacing w:after="200" w:lineRule="auto"/>
              <w:ind w:left="720" w:hanging="360"/>
              <w:rPr/>
            </w:pPr>
            <w:r w:rsidDel="00000000" w:rsidR="00000000" w:rsidRPr="00000000">
              <w:rPr>
                <w:rtl w:val="0"/>
              </w:rPr>
              <w:t xml:space="preserve">In addition, he conducts quality assurance for deliverables and is a point of contact for client matters.</w:t>
            </w:r>
          </w:p>
        </w:tc>
      </w:tr>
    </w:tbl>
    <w:p w:rsidR="00000000" w:rsidDel="00000000" w:rsidP="00000000" w:rsidRDefault="00000000" w:rsidRPr="00000000" w14:paraId="0000008C">
      <w:pPr>
        <w:rPr>
          <w:b w:val="1"/>
          <w:bCs w:val="1"/>
          <w:color w:val="1f497d"/>
          <w:sz w:val="24"/>
          <w:szCs w:val="24"/>
        </w:rPr>
      </w:pPr>
      <w:r w:rsidDel="00000000" w:rsidR="00000000" w:rsidRPr="00000000">
        <w:rPr>
          <w:rFonts w:ascii="Roboto" w:cs="Roboto" w:eastAsia="Roboto" w:hAnsi="Roboto"/>
          <w:b w:val="1"/>
          <w:bCs w:val="1"/>
          <w:rtl w:val="0"/>
        </w:rPr>
        <w:t xml:space="preserve">Senior Advisors</w:t>
      </w:r>
      <w:r w:rsidDel="00000000" w:rsidR="00000000" w:rsidRPr="00000000">
        <w:rPr>
          <w:rtl w:val="0"/>
        </w:rPr>
        <w:t xml:space="preserve">: The core team is supported by the wider FS Vector team and our senior advisors. These include a former OCC Senior Deputy Comptroller, a Massachusetts Commissioner of Banks and chair of the Conference of State Banking Supervisors,, and a former Deputy Director of the Consumer Financial Protection Bureau. FS Vector’s senior advisors provide invaluable insights into regulatory processes and priorities and unparalleled expertise from careers in public service, banking, and fintech.</w:t>
      </w: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keepNext w:val="1"/>
        <w:keepLines w:val="1"/>
        <w:spacing w:after="200" w:line="240" w:lineRule="auto"/>
        <w:jc w:val="left"/>
        <w:rPr>
          <w:rFonts w:ascii="Calibri" w:cs="Calibri" w:eastAsia="Calibri" w:hAnsi="Calibri"/>
          <w:color w:val="2f5496"/>
          <w:sz w:val="32"/>
          <w:szCs w:val="32"/>
        </w:rPr>
      </w:pPr>
      <w:bookmarkStart w:colFirst="0" w:colLast="0" w:name="_heading=h.tly7qlossl45" w:id="13"/>
      <w:bookmarkEnd w:id="13"/>
      <w:r w:rsidDel="00000000" w:rsidR="00000000" w:rsidRPr="00000000">
        <w:rPr>
          <w:rtl w:val="0"/>
        </w:rPr>
        <w:t xml:space="preserve">Sample Projects</w:t>
      </w:r>
      <w:r w:rsidDel="00000000" w:rsidR="00000000" w:rsidRPr="00000000">
        <w:rPr>
          <w:rtl w:val="0"/>
        </w:rPr>
      </w:r>
    </w:p>
    <w:p w:rsidR="00000000" w:rsidDel="00000000" w:rsidP="00000000" w:rsidRDefault="00000000" w:rsidRPr="00000000" w14:paraId="0000008E">
      <w:pPr>
        <w:spacing w:after="200" w:lineRule="auto"/>
        <w:rPr/>
      </w:pPr>
      <w:r w:rsidDel="00000000" w:rsidR="00000000" w:rsidRPr="00000000">
        <w:rPr>
          <w:rtl w:val="0"/>
        </w:rPr>
        <w:t xml:space="preserve">FS Vector’s team has experience across full service national and state chartered banks and trust banks and companies, specialty state-chartered banks, and industrial loan companies.</w:t>
      </w:r>
    </w:p>
    <w:p w:rsidR="00000000" w:rsidDel="00000000" w:rsidP="00000000" w:rsidRDefault="00000000" w:rsidRPr="00000000" w14:paraId="0000008F">
      <w:pPr>
        <w:spacing w:after="0" w:lineRule="auto"/>
        <w:rPr/>
      </w:pPr>
      <w:r w:rsidDel="00000000" w:rsidR="00000000" w:rsidRPr="00000000">
        <w:rPr>
          <w:rtl w:val="0"/>
        </w:rPr>
        <w:t xml:space="preserve">Each charter engagement brings with it both commonalities and unique characteristics. In situations where these have been relatively slower to proceed, the reasons have been a combination of availability of key personnel on the client side, litigation activities, and/or regulatory enforcement actions that delayed the process. FS Vector’s model remains flexible to address such delays, focusing on areas where progress can be made, while allowing for critical path items to be unlocked in due course.</w:t>
      </w:r>
    </w:p>
    <w:p w:rsidR="00000000" w:rsidDel="00000000" w:rsidP="00000000" w:rsidRDefault="00000000" w:rsidRPr="00000000" w14:paraId="00000090">
      <w:pPr>
        <w:spacing w:after="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91">
      <w:pPr>
        <w:spacing w:after="0" w:line="240"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Choice of Charter Analyses</w:t>
      </w:r>
    </w:p>
    <w:p w:rsidR="00000000" w:rsidDel="00000000" w:rsidP="00000000" w:rsidRDefault="00000000" w:rsidRPr="00000000" w14:paraId="00000092">
      <w:pPr>
        <w:rPr/>
      </w:pPr>
      <w:r w:rsidDel="00000000" w:rsidR="00000000" w:rsidRPr="00000000">
        <w:rPr>
          <w:rtl w:val="0"/>
        </w:rPr>
        <w:t xml:space="preserve">FS Vector and our experts have performed many choice-of-charter analyses for domestic and international clients, including evaluating the available market entry options, considering the requirements and expectations of each as well as the intended banking activity (and permissible non-banking activity) afforded to each option. These include, among others:</w:t>
      </w:r>
    </w:p>
    <w:p w:rsidR="00000000" w:rsidDel="00000000" w:rsidP="00000000" w:rsidRDefault="00000000" w:rsidRPr="00000000" w14:paraId="00000093">
      <w:pPr>
        <w:numPr>
          <w:ilvl w:val="0"/>
          <w:numId w:val="5"/>
        </w:numPr>
        <w:spacing w:after="0" w:lineRule="auto"/>
        <w:ind w:left="720" w:hanging="360"/>
        <w:rPr>
          <w:color w:val="000000"/>
        </w:rPr>
      </w:pPr>
      <w:r w:rsidDel="00000000" w:rsidR="00000000" w:rsidRPr="00000000">
        <w:rPr>
          <w:rtl w:val="0"/>
        </w:rPr>
        <w:t xml:space="preserve">A U.S. fintech in the payroll-deductible loan space - owned by a Brazilian financial institution (non-QFBO due to high commercial activity in Brazil) - on evaluating and pursuing viable bank charter options in the United States</w:t>
      </w:r>
      <w:r w:rsidDel="00000000" w:rsidR="00000000" w:rsidRPr="00000000">
        <w:rPr>
          <w:rtl w:val="0"/>
        </w:rPr>
      </w:r>
    </w:p>
    <w:p w:rsidR="00000000" w:rsidDel="00000000" w:rsidP="00000000" w:rsidRDefault="00000000" w:rsidRPr="00000000" w14:paraId="00000094">
      <w:pPr>
        <w:numPr>
          <w:ilvl w:val="0"/>
          <w:numId w:val="5"/>
        </w:numPr>
        <w:ind w:left="720" w:hanging="360"/>
        <w:rPr>
          <w:color w:val="000000"/>
        </w:rPr>
      </w:pPr>
      <w:r w:rsidDel="00000000" w:rsidR="00000000" w:rsidRPr="00000000">
        <w:rPr>
          <w:rtl w:val="0"/>
        </w:rPr>
        <w:t xml:space="preserve">A payment processing fintech with dual headquarters in Israel and the United States, conducting U.S. charter option analysis</w:t>
      </w:r>
      <w:r w:rsidDel="00000000" w:rsidR="00000000" w:rsidRPr="00000000">
        <w:rPr>
          <w:rtl w:val="0"/>
        </w:rPr>
      </w:r>
    </w:p>
    <w:p w:rsidR="00000000" w:rsidDel="00000000" w:rsidP="00000000" w:rsidRDefault="00000000" w:rsidRPr="00000000" w14:paraId="00000095">
      <w:pPr>
        <w:spacing w:after="0" w:line="240"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Connecticut Innovation Banks</w:t>
      </w:r>
    </w:p>
    <w:p w:rsidR="00000000" w:rsidDel="00000000" w:rsidP="00000000" w:rsidRDefault="00000000" w:rsidRPr="00000000" w14:paraId="00000096">
      <w:pPr>
        <w:rPr/>
      </w:pPr>
      <w:r w:rsidDel="00000000" w:rsidR="00000000" w:rsidRPr="00000000">
        <w:rPr>
          <w:rtl w:val="0"/>
        </w:rPr>
        <w:t xml:space="preserve">FS Vector performed feasibility studies and independent financial forecasts of Innovation Bank Charter applicants on behalf of the Connecticut Department of Banking’s de novo state bank charter process, including public testimony summarizing our work and recommendations. Engagements included successful applications submitted by: </w:t>
      </w:r>
    </w:p>
    <w:p w:rsidR="00000000" w:rsidDel="00000000" w:rsidP="00000000" w:rsidRDefault="00000000" w:rsidRPr="00000000" w14:paraId="00000097">
      <w:pPr>
        <w:numPr>
          <w:ilvl w:val="0"/>
          <w:numId w:val="7"/>
        </w:numPr>
        <w:spacing w:after="0" w:lineRule="auto"/>
        <w:ind w:left="720" w:hanging="360"/>
        <w:rPr>
          <w:color w:val="000000"/>
        </w:rPr>
      </w:pPr>
      <w:r w:rsidDel="00000000" w:rsidR="00000000" w:rsidRPr="00000000">
        <w:rPr>
          <w:rtl w:val="0"/>
        </w:rPr>
        <w:t xml:space="preserve">Banking Circle</w:t>
      </w:r>
      <w:r w:rsidDel="00000000" w:rsidR="00000000" w:rsidRPr="00000000">
        <w:rPr>
          <w:rtl w:val="0"/>
        </w:rPr>
      </w:r>
    </w:p>
    <w:p w:rsidR="00000000" w:rsidDel="00000000" w:rsidP="00000000" w:rsidRDefault="00000000" w:rsidRPr="00000000" w14:paraId="00000098">
      <w:pPr>
        <w:numPr>
          <w:ilvl w:val="0"/>
          <w:numId w:val="7"/>
        </w:numPr>
        <w:spacing w:after="0" w:lineRule="auto"/>
        <w:ind w:left="720" w:hanging="360"/>
        <w:rPr>
          <w:color w:val="000000"/>
        </w:rPr>
      </w:pPr>
      <w:r w:rsidDel="00000000" w:rsidR="00000000" w:rsidRPr="00000000">
        <w:rPr>
          <w:rtl w:val="0"/>
        </w:rPr>
        <w:t xml:space="preserve">Currency Reserve (now Numisma Bank)</w:t>
      </w:r>
      <w:r w:rsidDel="00000000" w:rsidR="00000000" w:rsidRPr="00000000">
        <w:rPr>
          <w:rtl w:val="0"/>
        </w:rPr>
      </w:r>
    </w:p>
    <w:p w:rsidR="00000000" w:rsidDel="00000000" w:rsidP="00000000" w:rsidRDefault="00000000" w:rsidRPr="00000000" w14:paraId="00000099">
      <w:pPr>
        <w:numPr>
          <w:ilvl w:val="0"/>
          <w:numId w:val="7"/>
        </w:numPr>
        <w:ind w:left="720" w:hanging="360"/>
        <w:rPr>
          <w:color w:val="000000"/>
        </w:rPr>
      </w:pPr>
      <w:r w:rsidDel="00000000" w:rsidR="00000000" w:rsidRPr="00000000">
        <w:rPr>
          <w:rtl w:val="0"/>
        </w:rPr>
        <w:t xml:space="preserve">Moneycorp</w:t>
      </w:r>
      <w:r w:rsidDel="00000000" w:rsidR="00000000" w:rsidRPr="00000000">
        <w:rPr>
          <w:rtl w:val="0"/>
        </w:rPr>
      </w:r>
    </w:p>
    <w:p w:rsidR="00000000" w:rsidDel="00000000" w:rsidP="00000000" w:rsidRDefault="00000000" w:rsidRPr="00000000" w14:paraId="0000009A">
      <w:pPr>
        <w:keepNext w:val="1"/>
        <w:spacing w:after="0" w:line="240"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Connecticut Department of Banking</w:t>
      </w:r>
    </w:p>
    <w:p w:rsidR="00000000" w:rsidDel="00000000" w:rsidP="00000000" w:rsidRDefault="00000000" w:rsidRPr="00000000" w14:paraId="0000009B">
      <w:pPr>
        <w:rPr>
          <w:rFonts w:ascii="Calibri" w:cs="Calibri" w:eastAsia="Calibri" w:hAnsi="Calibri"/>
        </w:rPr>
      </w:pPr>
      <w:r w:rsidDel="00000000" w:rsidR="00000000" w:rsidRPr="00000000">
        <w:rPr>
          <w:rtl w:val="0"/>
        </w:rPr>
        <w:t xml:space="preserve">FS Vector developed the state’s examination manual, call reports, receivership procedures, and examiner training for the supervision of Innovation Banks involved in Merchant Acquiring activities.</w:t>
      </w:r>
      <w:r w:rsidDel="00000000" w:rsidR="00000000" w:rsidRPr="00000000">
        <w:rPr>
          <w:rtl w:val="0"/>
        </w:rPr>
      </w:r>
    </w:p>
    <w:p w:rsidR="00000000" w:rsidDel="00000000" w:rsidP="00000000" w:rsidRDefault="00000000" w:rsidRPr="00000000" w14:paraId="0000009C">
      <w:pPr>
        <w:spacing w:after="0" w:line="240"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Georgia Merchant Acquirer Limited Purpose Bank</w:t>
      </w:r>
    </w:p>
    <w:p w:rsidR="00000000" w:rsidDel="00000000" w:rsidP="00000000" w:rsidRDefault="00000000" w:rsidRPr="00000000" w14:paraId="0000009D">
      <w:pPr>
        <w:rPr>
          <w:rFonts w:ascii="Calibri" w:cs="Calibri" w:eastAsia="Calibri" w:hAnsi="Calibri"/>
        </w:rPr>
      </w:pPr>
      <w:r w:rsidDel="00000000" w:rsidR="00000000" w:rsidRPr="00000000">
        <w:rPr>
          <w:rtl w:val="0"/>
        </w:rPr>
        <w:t xml:space="preserve">FS Vector supported the development of the compliance and enterprise risk management program for a large payment processor in support of its approved MALPB charter application. We also support a card network in the design and implementation of its MALPB-oversight program; the card networks form an essential part of the functioning MALPB regime.</w:t>
      </w:r>
      <w:r w:rsidDel="00000000" w:rsidR="00000000" w:rsidRPr="00000000">
        <w:rPr>
          <w:rtl w:val="0"/>
        </w:rPr>
      </w:r>
    </w:p>
    <w:p w:rsidR="00000000" w:rsidDel="00000000" w:rsidP="00000000" w:rsidRDefault="00000000" w:rsidRPr="00000000" w14:paraId="0000009E">
      <w:pPr>
        <w:spacing w:after="0" w:line="240"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Industrial Loan Companies</w:t>
      </w:r>
    </w:p>
    <w:p w:rsidR="00000000" w:rsidDel="00000000" w:rsidP="00000000" w:rsidRDefault="00000000" w:rsidRPr="00000000" w14:paraId="0000009F">
      <w:pPr>
        <w:rPr>
          <w:rFonts w:ascii="Calibri" w:cs="Calibri" w:eastAsia="Calibri" w:hAnsi="Calibri"/>
        </w:rPr>
      </w:pPr>
      <w:r w:rsidDel="00000000" w:rsidR="00000000" w:rsidRPr="00000000">
        <w:rPr>
          <w:rtl w:val="0"/>
        </w:rPr>
        <w:t xml:space="preserve">FS Vector is performing ongoing work preparing key elements of the application for a Utah industrial bank charter for a large consumer neobank. This has included drafting of the application business plan, development of core risk management and compliance policies, and support for other application elements such as the proposed bank’s plan for Community Reinvestment Act compliance.</w:t>
      </w:r>
      <w:r w:rsidDel="00000000" w:rsidR="00000000" w:rsidRPr="00000000">
        <w:rPr>
          <w:rtl w:val="0"/>
        </w:rPr>
      </w:r>
    </w:p>
    <w:p w:rsidR="00000000" w:rsidDel="00000000" w:rsidP="00000000" w:rsidRDefault="00000000" w:rsidRPr="00000000" w14:paraId="000000A0">
      <w:pPr>
        <w:spacing w:after="0" w:line="240"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State Trust Companies</w:t>
      </w:r>
    </w:p>
    <w:p w:rsidR="00000000" w:rsidDel="00000000" w:rsidP="00000000" w:rsidRDefault="00000000" w:rsidRPr="00000000" w14:paraId="000000A1">
      <w:pPr>
        <w:rPr/>
      </w:pPr>
      <w:r w:rsidDel="00000000" w:rsidR="00000000" w:rsidRPr="00000000">
        <w:rPr>
          <w:rtl w:val="0"/>
        </w:rPr>
        <w:t xml:space="preserve">FS Vector helped a conditionally approved North Carolina chartered trust company with its organizational efforts, including the development and operationalization of various risk management and compliance programs to satisfy pre-opening conditions. </w:t>
      </w:r>
    </w:p>
    <w:p w:rsidR="00000000" w:rsidDel="00000000" w:rsidP="00000000" w:rsidRDefault="00000000" w:rsidRPr="00000000" w14:paraId="000000A2">
      <w:pPr>
        <w:keepNext w:val="1"/>
        <w:spacing w:after="0" w:line="240"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National Banks</w:t>
      </w:r>
    </w:p>
    <w:p w:rsidR="00000000" w:rsidDel="00000000" w:rsidP="00000000" w:rsidRDefault="00000000" w:rsidRPr="00000000" w14:paraId="000000A3">
      <w:pPr>
        <w:rPr/>
      </w:pPr>
      <w:r w:rsidDel="00000000" w:rsidR="00000000" w:rsidRPr="00000000">
        <w:rPr>
          <w:rtl w:val="0"/>
        </w:rPr>
        <w:t xml:space="preserve">An FS Vector expert supported a payroll processing company in evaluating and pursuing a national trust bank charter, including the preparation of a strategic charter option analysis, development of an introductory meeting presentation for exploratory discussions with the OCC, and drafting of core application components such as the business plan, key risk management and compliance policies, and financial projections. </w:t>
      </w:r>
    </w:p>
    <w:p w:rsidR="00000000" w:rsidDel="00000000" w:rsidP="00000000" w:rsidRDefault="00000000" w:rsidRPr="00000000" w14:paraId="000000A4">
      <w:pPr>
        <w:rPr/>
      </w:pPr>
      <w:r w:rsidDel="00000000" w:rsidR="00000000" w:rsidRPr="00000000">
        <w:rPr>
          <w:rtl w:val="0"/>
        </w:rPr>
        <w:t xml:space="preserve">An FS Vector expert supported a South Dakota trust company’s conversion to an OCC-chartered national trust bank to support its digital assets offerings. </w:t>
      </w:r>
    </w:p>
    <w:p w:rsidR="00000000" w:rsidDel="00000000" w:rsidP="00000000" w:rsidRDefault="00000000" w:rsidRPr="00000000" w14:paraId="000000A5">
      <w:pPr>
        <w:rPr>
          <w:rFonts w:ascii="Calibri" w:cs="Calibri" w:eastAsia="Calibri" w:hAnsi="Calibri"/>
        </w:rPr>
      </w:pPr>
      <w:r w:rsidDel="00000000" w:rsidR="00000000" w:rsidRPr="00000000">
        <w:rPr>
          <w:rtl w:val="0"/>
        </w:rPr>
        <w:t xml:space="preserve">FS Vector developed a successful application to the OCC for a substantial change in assets on behalf of a national bank after new owners shifted strategic focus to fintech banking.</w:t>
      </w:r>
      <w:r w:rsidDel="00000000" w:rsidR="00000000" w:rsidRPr="00000000">
        <w:rPr>
          <w:rtl w:val="0"/>
        </w:rPr>
      </w:r>
    </w:p>
    <w:p w:rsidR="00000000" w:rsidDel="00000000" w:rsidP="00000000" w:rsidRDefault="00000000" w:rsidRPr="00000000" w14:paraId="000000A6">
      <w:pPr>
        <w:keepNext w:val="1"/>
        <w:spacing w:after="0" w:line="240" w:lineRule="auto"/>
        <w:jc w:val="left"/>
        <w:rPr/>
      </w:pPr>
      <w:r w:rsidDel="00000000" w:rsidR="00000000" w:rsidRPr="00000000">
        <w:rPr>
          <w:rFonts w:ascii="Calibri" w:cs="Calibri" w:eastAsia="Calibri" w:hAnsi="Calibri"/>
          <w:b w:val="1"/>
          <w:bCs w:val="1"/>
          <w:rtl w:val="0"/>
        </w:rPr>
        <w:t xml:space="preserve">Wyoming Special Purpose Depository Institutions</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FS Vector assisted a Wyoming SPDI bank in the development of its risk and compliance management program, including policies and procedures covering, among others, BSA/AML, information security, third party risk management, marketing, audit, training, regulatory change management, and issue management.</w:t>
      </w:r>
    </w:p>
    <w:p w:rsidR="00000000" w:rsidDel="00000000" w:rsidP="00000000" w:rsidRDefault="00000000" w:rsidRPr="00000000" w14:paraId="000000A8">
      <w:pPr>
        <w:spacing w:after="0" w:lineRule="auto"/>
        <w:rPr/>
      </w:pPr>
      <w:r w:rsidDel="00000000" w:rsidR="00000000" w:rsidRPr="00000000">
        <w:rPr>
          <w:rFonts w:ascii="Calibri" w:cs="Calibri" w:eastAsia="Calibri" w:hAnsi="Calibri"/>
          <w:b w:val="1"/>
          <w:bCs w:val="1"/>
          <w:rtl w:val="0"/>
        </w:rPr>
        <w:t xml:space="preserve">State Money Transmission Licenses</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FS Vector’s dedicated licensing team has been instrumental in acquiring and maintaining thousands of state money transmission licenses, including Bitlicenses. This includes through the provision of FS Vector’s Approved™ licensing software platform, which was acquired as part of FS Vector’s acquisition of Orrick’s Approved affiliate. </w:t>
      </w:r>
    </w:p>
    <w:p w:rsidR="00000000" w:rsidDel="00000000" w:rsidP="00000000" w:rsidRDefault="00000000" w:rsidRPr="00000000" w14:paraId="000000AA">
      <w:pPr>
        <w:pStyle w:val="Heading1"/>
        <w:spacing w:after="120" w:before="200" w:lineRule="auto"/>
        <w:rPr>
          <w:rFonts w:ascii="Times New Roman" w:cs="Times New Roman" w:eastAsia="Times New Roman" w:hAnsi="Times New Roman"/>
        </w:rPr>
      </w:pPr>
      <w:bookmarkStart w:colFirst="0" w:colLast="0" w:name="_heading=h.h875yyq90sm2" w:id="14"/>
      <w:bookmarkEnd w:id="14"/>
      <w:r w:rsidDel="00000000" w:rsidR="00000000" w:rsidRPr="00000000">
        <w:rPr>
          <w:rtl w:val="0"/>
        </w:rPr>
        <w:t xml:space="preserve">Optional Services: Staffing and Recruiting</w:t>
      </w:r>
      <w:r w:rsidDel="00000000" w:rsidR="00000000" w:rsidRPr="00000000">
        <w:rPr>
          <w:rtl w:val="0"/>
        </w:rPr>
      </w:r>
    </w:p>
    <w:p w:rsidR="00000000" w:rsidDel="00000000" w:rsidP="00000000" w:rsidRDefault="00000000" w:rsidRPr="00000000" w14:paraId="000000AB">
      <w:pPr>
        <w:spacing w:after="240" w:lineRule="auto"/>
        <w:rPr>
          <w:rFonts w:ascii="Times New Roman" w:cs="Times New Roman" w:eastAsia="Times New Roman" w:hAnsi="Times New Roman"/>
        </w:rPr>
      </w:pPr>
      <w:r w:rsidDel="00000000" w:rsidR="00000000" w:rsidRPr="00000000">
        <w:rPr>
          <w:rtl w:val="0"/>
        </w:rPr>
        <w:t xml:space="preserve">From C-suite to operations, we find highly qualified candidates that can seamlessly integrate into our clients’ teams on a full-time, interim, or fractional basis. Working closely with your FS Vector advisors, our talent specialists will craft tailored job descriptions, set qualifications, define compensation targets, and source and vet recruits prior to passing them to your leadership for interviews. Examples of roles that we recruit for include:</w:t>
      </w:r>
      <w:r w:rsidDel="00000000" w:rsidR="00000000" w:rsidRPr="00000000">
        <w:rPr>
          <w:rtl w:val="0"/>
        </w:rPr>
      </w:r>
    </w:p>
    <w:p w:rsidR="00000000" w:rsidDel="00000000" w:rsidP="00000000" w:rsidRDefault="00000000" w:rsidRPr="00000000" w14:paraId="000000AC">
      <w:pPr>
        <w:widowControl w:val="0"/>
        <w:numPr>
          <w:ilvl w:val="0"/>
          <w:numId w:val="4"/>
        </w:numPr>
        <w:spacing w:after="0" w:lineRule="auto"/>
        <w:ind w:left="720" w:hanging="360"/>
        <w:jc w:val="left"/>
        <w:rPr>
          <w:color w:val="000000"/>
        </w:rPr>
      </w:pPr>
      <w:r w:rsidDel="00000000" w:rsidR="00000000" w:rsidRPr="00000000">
        <w:rPr>
          <w:rtl w:val="0"/>
        </w:rPr>
        <w:t xml:space="preserve">Chief Compliance Officer or Head of Compliance</w:t>
      </w:r>
      <w:r w:rsidDel="00000000" w:rsidR="00000000" w:rsidRPr="00000000">
        <w:rPr>
          <w:rtl w:val="0"/>
        </w:rPr>
      </w:r>
    </w:p>
    <w:p w:rsidR="00000000" w:rsidDel="00000000" w:rsidP="00000000" w:rsidRDefault="00000000" w:rsidRPr="00000000" w14:paraId="000000AD">
      <w:pPr>
        <w:widowControl w:val="0"/>
        <w:numPr>
          <w:ilvl w:val="0"/>
          <w:numId w:val="4"/>
        </w:numPr>
        <w:spacing w:after="0" w:lineRule="auto"/>
        <w:ind w:left="720" w:hanging="360"/>
        <w:jc w:val="left"/>
        <w:rPr>
          <w:color w:val="000000"/>
        </w:rPr>
      </w:pPr>
      <w:r w:rsidDel="00000000" w:rsidR="00000000" w:rsidRPr="00000000">
        <w:rPr>
          <w:rtl w:val="0"/>
        </w:rPr>
        <w:t xml:space="preserve">Chief Risk or Credit Officer</w:t>
      </w:r>
      <w:r w:rsidDel="00000000" w:rsidR="00000000" w:rsidRPr="00000000">
        <w:rPr>
          <w:rtl w:val="0"/>
        </w:rPr>
      </w:r>
    </w:p>
    <w:p w:rsidR="00000000" w:rsidDel="00000000" w:rsidP="00000000" w:rsidRDefault="00000000" w:rsidRPr="00000000" w14:paraId="000000AE">
      <w:pPr>
        <w:widowControl w:val="0"/>
        <w:numPr>
          <w:ilvl w:val="0"/>
          <w:numId w:val="4"/>
        </w:numPr>
        <w:spacing w:after="0" w:lineRule="auto"/>
        <w:ind w:left="720" w:hanging="360"/>
        <w:jc w:val="left"/>
        <w:rPr>
          <w:color w:val="000000"/>
        </w:rPr>
      </w:pPr>
      <w:r w:rsidDel="00000000" w:rsidR="00000000" w:rsidRPr="00000000">
        <w:rPr>
          <w:rtl w:val="0"/>
        </w:rPr>
        <w:t xml:space="preserve">General Counsel or Regulatory Counsel</w:t>
      </w:r>
      <w:r w:rsidDel="00000000" w:rsidR="00000000" w:rsidRPr="00000000">
        <w:rPr>
          <w:rtl w:val="0"/>
        </w:rPr>
      </w:r>
    </w:p>
    <w:p w:rsidR="00000000" w:rsidDel="00000000" w:rsidP="00000000" w:rsidRDefault="00000000" w:rsidRPr="00000000" w14:paraId="000000AF">
      <w:pPr>
        <w:widowControl w:val="0"/>
        <w:numPr>
          <w:ilvl w:val="0"/>
          <w:numId w:val="4"/>
        </w:numPr>
        <w:spacing w:after="0" w:lineRule="auto"/>
        <w:ind w:left="720" w:hanging="360"/>
        <w:jc w:val="left"/>
        <w:rPr>
          <w:color w:val="000000"/>
        </w:rPr>
      </w:pPr>
      <w:r w:rsidDel="00000000" w:rsidR="00000000" w:rsidRPr="00000000">
        <w:rPr>
          <w:rtl w:val="0"/>
        </w:rPr>
        <w:t xml:space="preserve">Bank Secrecy Act Officers</w:t>
      </w:r>
      <w:r w:rsidDel="00000000" w:rsidR="00000000" w:rsidRPr="00000000">
        <w:rPr>
          <w:rtl w:val="0"/>
        </w:rPr>
      </w:r>
    </w:p>
    <w:p w:rsidR="00000000" w:rsidDel="00000000" w:rsidP="00000000" w:rsidRDefault="00000000" w:rsidRPr="00000000" w14:paraId="000000B0">
      <w:pPr>
        <w:widowControl w:val="0"/>
        <w:numPr>
          <w:ilvl w:val="0"/>
          <w:numId w:val="4"/>
        </w:numPr>
        <w:spacing w:after="0" w:lineRule="auto"/>
        <w:ind w:left="720" w:hanging="360"/>
        <w:jc w:val="left"/>
        <w:rPr>
          <w:color w:val="000000"/>
        </w:rPr>
      </w:pPr>
      <w:r w:rsidDel="00000000" w:rsidR="00000000" w:rsidRPr="00000000">
        <w:rPr>
          <w:rtl w:val="0"/>
        </w:rPr>
        <w:t xml:space="preserve">Know Your Customer and Fraud Analysts</w:t>
      </w:r>
      <w:r w:rsidDel="00000000" w:rsidR="00000000" w:rsidRPr="00000000">
        <w:rPr>
          <w:rtl w:val="0"/>
        </w:rPr>
      </w:r>
    </w:p>
    <w:p w:rsidR="00000000" w:rsidDel="00000000" w:rsidP="00000000" w:rsidRDefault="00000000" w:rsidRPr="00000000" w14:paraId="000000B1">
      <w:pPr>
        <w:widowControl w:val="0"/>
        <w:numPr>
          <w:ilvl w:val="0"/>
          <w:numId w:val="4"/>
        </w:numPr>
        <w:spacing w:after="0" w:lineRule="auto"/>
        <w:ind w:left="720" w:hanging="360"/>
        <w:jc w:val="left"/>
        <w:rPr>
          <w:color w:val="000000"/>
        </w:rPr>
      </w:pPr>
      <w:r w:rsidDel="00000000" w:rsidR="00000000" w:rsidRPr="00000000">
        <w:rPr>
          <w:rtl w:val="0"/>
        </w:rPr>
        <w:t xml:space="preserve">AML Alert Analysts and Investigators</w:t>
      </w:r>
      <w:r w:rsidDel="00000000" w:rsidR="00000000" w:rsidRPr="00000000">
        <w:rPr>
          <w:rtl w:val="0"/>
        </w:rPr>
      </w:r>
    </w:p>
    <w:p w:rsidR="00000000" w:rsidDel="00000000" w:rsidP="00000000" w:rsidRDefault="00000000" w:rsidRPr="00000000" w14:paraId="000000B2">
      <w:pPr>
        <w:widowControl w:val="0"/>
        <w:numPr>
          <w:ilvl w:val="0"/>
          <w:numId w:val="4"/>
        </w:numPr>
        <w:spacing w:after="0" w:lineRule="auto"/>
        <w:ind w:left="720" w:hanging="360"/>
        <w:jc w:val="left"/>
        <w:rPr>
          <w:color w:val="000000"/>
        </w:rPr>
      </w:pPr>
      <w:r w:rsidDel="00000000" w:rsidR="00000000" w:rsidRPr="00000000">
        <w:rPr>
          <w:rtl w:val="0"/>
        </w:rPr>
        <w:t xml:space="preserve">Compliance Analysts</w:t>
      </w:r>
      <w:r w:rsidDel="00000000" w:rsidR="00000000" w:rsidRPr="00000000">
        <w:rPr>
          <w:rtl w:val="0"/>
        </w:rPr>
      </w:r>
    </w:p>
    <w:p w:rsidR="00000000" w:rsidDel="00000000" w:rsidP="00000000" w:rsidRDefault="00000000" w:rsidRPr="00000000" w14:paraId="000000B3">
      <w:pPr>
        <w:widowControl w:val="0"/>
        <w:numPr>
          <w:ilvl w:val="0"/>
          <w:numId w:val="4"/>
        </w:numPr>
        <w:spacing w:after="0" w:lineRule="auto"/>
        <w:ind w:left="720" w:hanging="360"/>
        <w:jc w:val="left"/>
        <w:rPr>
          <w:color w:val="000000"/>
        </w:rPr>
      </w:pPr>
      <w:r w:rsidDel="00000000" w:rsidR="00000000" w:rsidRPr="00000000">
        <w:rPr>
          <w:rtl w:val="0"/>
        </w:rPr>
        <w:t xml:space="preserve">Software Engineers</w:t>
      </w:r>
      <w:r w:rsidDel="00000000" w:rsidR="00000000" w:rsidRPr="00000000">
        <w:rPr>
          <w:rtl w:val="0"/>
        </w:rPr>
      </w:r>
    </w:p>
    <w:p w:rsidR="00000000" w:rsidDel="00000000" w:rsidP="00000000" w:rsidRDefault="00000000" w:rsidRPr="00000000" w14:paraId="000000B4">
      <w:pPr>
        <w:widowControl w:val="0"/>
        <w:numPr>
          <w:ilvl w:val="0"/>
          <w:numId w:val="4"/>
        </w:numPr>
        <w:spacing w:after="200" w:lineRule="auto"/>
        <w:ind w:left="720" w:hanging="360"/>
        <w:jc w:val="left"/>
        <w:rPr>
          <w:color w:val="000000"/>
        </w:rPr>
      </w:pPr>
      <w:r w:rsidDel="00000000" w:rsidR="00000000" w:rsidRPr="00000000">
        <w:rPr>
          <w:rtl w:val="0"/>
        </w:rPr>
        <w:t xml:space="preserve">Product Managers</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Our fees for recruiting full time employees are 25% of the employee’s first year base salary including a $5,000 recruiting initiation fee to support each role. We do not require exclusivity and fees are contingency/success-fee based. Interim and fractional resources are invoiced on an hourly basis at rates agreed between FS Vector and Onyx. </w:t>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rPr/>
      </w:pPr>
      <w:bookmarkStart w:colFirst="0" w:colLast="0" w:name="_heading=h.vd9mprrnq7m1" w:id="15"/>
      <w:bookmarkEnd w:id="15"/>
      <w:r w:rsidDel="00000000" w:rsidR="00000000" w:rsidRPr="00000000">
        <w:rPr>
          <w:rtl w:val="0"/>
        </w:rPr>
        <w:t xml:space="preserve">FS Vector Advisory Team</w:t>
      </w:r>
    </w:p>
    <w:p w:rsidR="00000000" w:rsidDel="00000000" w:rsidP="00000000" w:rsidRDefault="00000000" w:rsidRPr="00000000" w14:paraId="000000B8">
      <w:pPr>
        <w:keepNext w:val="1"/>
        <w:rPr>
          <w:rFonts w:ascii="Roboto" w:cs="Roboto" w:eastAsia="Roboto" w:hAnsi="Roboto"/>
          <w:color w:val="3f8135"/>
          <w:sz w:val="28"/>
          <w:szCs w:val="28"/>
        </w:rPr>
      </w:pPr>
      <w:r w:rsidDel="00000000" w:rsidR="00000000" w:rsidRPr="00000000">
        <w:rPr>
          <w:rFonts w:ascii="Roboto" w:cs="Roboto" w:eastAsia="Roboto" w:hAnsi="Roboto"/>
          <w:color w:val="3f8135"/>
          <w:sz w:val="28"/>
          <w:szCs w:val="28"/>
          <w:rtl w:val="0"/>
        </w:rPr>
        <w:t xml:space="preserve">Senior Leadership</w:t>
      </w:r>
    </w:p>
    <w:p w:rsidR="00000000" w:rsidDel="00000000" w:rsidP="00000000" w:rsidRDefault="00000000" w:rsidRPr="00000000" w14:paraId="000000B9">
      <w:pPr>
        <w:keepNext w:val="1"/>
        <w:spacing w:after="0" w:before="20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Chris Sidler</w:t>
      </w:r>
    </w:p>
    <w:p w:rsidR="00000000" w:rsidDel="00000000" w:rsidP="00000000" w:rsidRDefault="00000000" w:rsidRPr="00000000" w14:paraId="000000BA">
      <w:pPr>
        <w:rPr>
          <w:rFonts w:ascii="Roboto" w:cs="Roboto" w:eastAsia="Roboto" w:hAnsi="Roboto"/>
          <w:b w:val="1"/>
          <w:bCs w:val="1"/>
        </w:rPr>
      </w:pPr>
      <w:r w:rsidDel="00000000" w:rsidR="00000000" w:rsidRPr="00000000">
        <w:rPr>
          <w:rFonts w:ascii="Roboto" w:cs="Roboto" w:eastAsia="Roboto" w:hAnsi="Roboto"/>
          <w:b w:val="1"/>
          <w:bCs w:val="1"/>
          <w:sz w:val="20"/>
          <w:szCs w:val="20"/>
          <w:rtl w:val="0"/>
        </w:rPr>
        <w:t xml:space="preserve">Partner, Advisory</w:t>
      </w:r>
      <w:r w:rsidDel="00000000" w:rsidR="00000000" w:rsidRPr="00000000">
        <w:rPr>
          <w:rtl w:val="0"/>
        </w:rPr>
      </w:r>
    </w:p>
    <w:p w:rsidR="00000000" w:rsidDel="00000000" w:rsidP="00000000" w:rsidRDefault="00000000" w:rsidRPr="00000000" w14:paraId="000000BB">
      <w:pPr>
        <w:spacing w:line="27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Chris advises financial services firms and their partners, focusing on regulatory compliance, risk management, and product development. He has helped dozens of firms by constructing operating models for effective governance, assessing risks and controls, and designing processes that integrate emerging technologies and advanced analytics, with a particular expertise in anti-money laundering (AML) and economic sanctions.</w:t>
      </w:r>
      <w:r w:rsidDel="00000000" w:rsidR="00000000" w:rsidRPr="00000000">
        <w:drawing>
          <wp:anchor allowOverlap="1" behindDoc="0" distB="0" distT="0" distL="114300" distR="114300" hidden="0" layoutInCell="1" locked="0" relativeHeight="0" simplePos="0">
            <wp:simplePos x="0" y="0"/>
            <wp:positionH relativeFrom="column">
              <wp:posOffset>-4752</wp:posOffset>
            </wp:positionH>
            <wp:positionV relativeFrom="paragraph">
              <wp:posOffset>12153</wp:posOffset>
            </wp:positionV>
            <wp:extent cx="1107440" cy="1097280"/>
            <wp:effectExtent b="0" l="0" r="0" t="0"/>
            <wp:wrapSquare wrapText="bothSides" distB="0" distT="0" distL="114300" distR="114300"/>
            <wp:docPr descr="A person in a suit smiling&#10;&#10;Description automatically generated with low confidence" id="2113794539" name="image18.jpg"/>
            <a:graphic>
              <a:graphicData uri="http://schemas.openxmlformats.org/drawingml/2006/picture">
                <pic:pic>
                  <pic:nvPicPr>
                    <pic:cNvPr descr="A person in a suit smiling&#10;&#10;Description automatically generated with low confidence" id="0" name="image18.jpg"/>
                    <pic:cNvPicPr preferRelativeResize="0"/>
                  </pic:nvPicPr>
                  <pic:blipFill>
                    <a:blip r:embed="rId14"/>
                    <a:srcRect b="0" l="0" r="0" t="0"/>
                    <a:stretch>
                      <a:fillRect/>
                    </a:stretch>
                  </pic:blipFill>
                  <pic:spPr>
                    <a:xfrm>
                      <a:off x="0" y="0"/>
                      <a:ext cx="1107440" cy="1097280"/>
                    </a:xfrm>
                    <a:prstGeom prst="rect"/>
                    <a:ln/>
                  </pic:spPr>
                </pic:pic>
              </a:graphicData>
            </a:graphic>
          </wp:anchor>
        </w:drawing>
      </w:r>
    </w:p>
    <w:p w:rsidR="00000000" w:rsidDel="00000000" w:rsidP="00000000" w:rsidRDefault="00000000" w:rsidRPr="00000000" w14:paraId="000000B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Chris was most recently a managing director at Berkeley Research Group following over thirteen years at Promontory Financial Group in the United Kingdom and the United States, where he co-led the Americas financial crime compliance practice and helped to build and operate the firm’s regtech and managed service affiliates. Prior to consulting, he worked with the United Nations in Tanzania through the UN Association in Canada.</w:t>
      </w:r>
    </w:p>
    <w:p w:rsidR="00000000" w:rsidDel="00000000" w:rsidP="00000000" w:rsidRDefault="00000000" w:rsidRPr="00000000" w14:paraId="000000B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He holds a M.Sc. from The London School of Economics and Political Science.</w:t>
      </w:r>
    </w:p>
    <w:p w:rsidR="00000000" w:rsidDel="00000000" w:rsidP="00000000" w:rsidRDefault="00000000" w:rsidRPr="00000000" w14:paraId="000000BE">
      <w:pPr>
        <w:keepNext w:val="1"/>
        <w:spacing w:after="0" w:before="20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Emily Goodman</w:t>
      </w:r>
    </w:p>
    <w:p w:rsidR="00000000" w:rsidDel="00000000" w:rsidP="00000000" w:rsidRDefault="00000000" w:rsidRPr="00000000" w14:paraId="000000BF">
      <w:pP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Partner, Licensing</w:t>
      </w:r>
      <w:r w:rsidDel="00000000" w:rsidR="00000000" w:rsidRPr="00000000">
        <w:drawing>
          <wp:anchor allowOverlap="1" behindDoc="0" distB="114300" distT="114300" distL="114300" distR="114300" hidden="0" layoutInCell="1" locked="0" relativeHeight="0" simplePos="0">
            <wp:simplePos x="0" y="0"/>
            <wp:positionH relativeFrom="column">
              <wp:posOffset>-38093</wp:posOffset>
            </wp:positionH>
            <wp:positionV relativeFrom="paragraph">
              <wp:posOffset>285750</wp:posOffset>
            </wp:positionV>
            <wp:extent cx="1182821" cy="1165167"/>
            <wp:effectExtent b="0" l="0" r="0" t="0"/>
            <wp:wrapSquare wrapText="bothSides" distB="114300" distT="114300" distL="114300" distR="114300"/>
            <wp:docPr id="2113794543"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1182821" cy="1165167"/>
                    </a:xfrm>
                    <a:prstGeom prst="rect"/>
                    <a:ln/>
                  </pic:spPr>
                </pic:pic>
              </a:graphicData>
            </a:graphic>
          </wp:anchor>
        </w:drawing>
      </w:r>
    </w:p>
    <w:p w:rsidR="00000000" w:rsidDel="00000000" w:rsidP="00000000" w:rsidRDefault="00000000" w:rsidRPr="00000000" w14:paraId="000000C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Emily leads FS Vector’s Licensing practice, a core offering with our Advisory team.  She serves as a strategic advisor to licensing clients, with expertise in license and charter strategy, acquisition, maintenance, product development, compliance, operations, examinations, assessments / audits, marketing, regulatory relations, M&amp;A and investments, changes of control, partnerships and agency structures, and fraud/risk.  The types of state licenses and charters that Emily supports include: state money transmission, B2B finance, lending, brokering, collections and digital assets.</w:t>
      </w:r>
    </w:p>
    <w:p w:rsidR="00000000" w:rsidDel="00000000" w:rsidP="00000000" w:rsidRDefault="00000000" w:rsidRPr="00000000" w14:paraId="000000C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Prior to joining FS Vector, Emily was Chief Legal Officer of HQ Digital, an early-stage digital multi-family office serving digital asset entrepreneurs and investors, as well as Lead Product &amp; Regulatory Counsel at Brex.  Before that, Emily spent a decade at American Express, where she was Vice President &amp; Senior Counsel supporting the Digital Labs business unit.  She started her career in the Financial Institutions &amp; Payments group at Schulte, Roth &amp; Zabel.</w:t>
      </w:r>
    </w:p>
    <w:p w:rsidR="00000000" w:rsidDel="00000000" w:rsidP="00000000" w:rsidRDefault="00000000" w:rsidRPr="00000000" w14:paraId="000000C2">
      <w:pP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Emily earned a J.D. from Fordham University School of Law.</w:t>
      </w:r>
      <w:r w:rsidDel="00000000" w:rsidR="00000000" w:rsidRPr="00000000">
        <w:rPr>
          <w:rtl w:val="0"/>
        </w:rPr>
      </w:r>
    </w:p>
    <w:p w:rsidR="00000000" w:rsidDel="00000000" w:rsidP="00000000" w:rsidRDefault="00000000" w:rsidRPr="00000000" w14:paraId="000000C3">
      <w:pPr>
        <w:spacing w:after="0" w:lineRule="auto"/>
        <w:rPr>
          <w:rFonts w:ascii="Roboto" w:cs="Roboto" w:eastAsia="Roboto" w:hAnsi="Roboto"/>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C4">
      <w:pPr>
        <w:spacing w:after="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Ashwin Vasan</w:t>
      </w:r>
    </w:p>
    <w:p w:rsidR="00000000" w:rsidDel="00000000" w:rsidP="00000000" w:rsidRDefault="00000000" w:rsidRPr="00000000" w14:paraId="000000C5">
      <w:pP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Partner, Government Relations</w:t>
      </w:r>
      <w:r w:rsidDel="00000000" w:rsidR="00000000" w:rsidRPr="00000000">
        <w:drawing>
          <wp:anchor allowOverlap="1" behindDoc="0" distB="114300" distT="114300" distL="114300" distR="114300" hidden="0" layoutInCell="1" locked="0" relativeHeight="0" simplePos="0">
            <wp:simplePos x="0" y="0"/>
            <wp:positionH relativeFrom="column">
              <wp:posOffset>4773</wp:posOffset>
            </wp:positionH>
            <wp:positionV relativeFrom="paragraph">
              <wp:posOffset>276225</wp:posOffset>
            </wp:positionV>
            <wp:extent cx="1097280" cy="1108253"/>
            <wp:effectExtent b="0" l="0" r="0" t="0"/>
            <wp:wrapSquare wrapText="bothSides" distB="114300" distT="114300" distL="114300" distR="114300"/>
            <wp:docPr id="2113794542"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1097280" cy="1108253"/>
                    </a:xfrm>
                    <a:prstGeom prst="rect"/>
                    <a:ln/>
                  </pic:spPr>
                </pic:pic>
              </a:graphicData>
            </a:graphic>
          </wp:anchor>
        </w:drawing>
      </w:r>
    </w:p>
    <w:p w:rsidR="00000000" w:rsidDel="00000000" w:rsidP="00000000" w:rsidRDefault="00000000" w:rsidRPr="00000000" w14:paraId="000000C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Ashwin was most recently Associate Director of Research, Monitoring and Regulations at the Consumer Financial Protection Bureau (CFPB). He oversaw a team that led the bulk of the CFPB’s policy development work (research, reports, and regulations) and served as an advisor to Director Rohit Chopra. In addition to his time at the CFPB, he was formerly at Capital One and McKinsey &amp; Company.</w:t>
      </w:r>
    </w:p>
    <w:p w:rsidR="00000000" w:rsidDel="00000000" w:rsidP="00000000" w:rsidRDefault="00000000" w:rsidRPr="00000000" w14:paraId="000000C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In his role as Senior Advisor at FSV, Mr. Vasan advises FSV clients on a wide variety of business strategy and regulatory matters.</w:t>
      </w:r>
    </w:p>
    <w:p w:rsidR="00000000" w:rsidDel="00000000" w:rsidP="00000000" w:rsidRDefault="00000000" w:rsidRPr="00000000" w14:paraId="000000C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Ashwin earned a J.D. from Harvard Law School.</w:t>
      </w:r>
    </w:p>
    <w:p w:rsidR="00000000" w:rsidDel="00000000" w:rsidP="00000000" w:rsidRDefault="00000000" w:rsidRPr="00000000" w14:paraId="000000C9">
      <w:pPr>
        <w:keepNext w:val="1"/>
        <w:spacing w:after="0" w:before="20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David Cotney</w:t>
      </w:r>
    </w:p>
    <w:p w:rsidR="00000000" w:rsidDel="00000000" w:rsidP="00000000" w:rsidRDefault="00000000" w:rsidRPr="00000000" w14:paraId="000000CA">
      <w:pPr>
        <w:keepNext w:val="1"/>
        <w:spacing w:after="6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Senior Advisor</w:t>
      </w:r>
      <w:r w:rsidDel="00000000" w:rsidR="00000000" w:rsidRPr="00000000">
        <w:drawing>
          <wp:anchor allowOverlap="1" behindDoc="0" distB="0" distT="0" distL="114300" distR="114300" hidden="0" layoutInCell="1" locked="0" relativeHeight="0" simplePos="0">
            <wp:simplePos x="0" y="0"/>
            <wp:positionH relativeFrom="column">
              <wp:posOffset>4773</wp:posOffset>
            </wp:positionH>
            <wp:positionV relativeFrom="paragraph">
              <wp:posOffset>179088</wp:posOffset>
            </wp:positionV>
            <wp:extent cx="1083945" cy="1097280"/>
            <wp:effectExtent b="0" l="0" r="0" t="0"/>
            <wp:wrapSquare wrapText="bothSides" distB="0" distT="0" distL="114300" distR="114300"/>
            <wp:docPr id="2113794522" name="image3.jpg"/>
            <a:graphic>
              <a:graphicData uri="http://schemas.openxmlformats.org/drawingml/2006/picture">
                <pic:pic>
                  <pic:nvPicPr>
                    <pic:cNvPr id="0" name="image3.jpg"/>
                    <pic:cNvPicPr preferRelativeResize="0"/>
                  </pic:nvPicPr>
                  <pic:blipFill>
                    <a:blip r:embed="rId17"/>
                    <a:srcRect b="0" l="607" r="607" t="0"/>
                    <a:stretch>
                      <a:fillRect/>
                    </a:stretch>
                  </pic:blipFill>
                  <pic:spPr>
                    <a:xfrm>
                      <a:off x="0" y="0"/>
                      <a:ext cx="1083945" cy="1097280"/>
                    </a:xfrm>
                    <a:prstGeom prst="rect"/>
                    <a:ln/>
                  </pic:spPr>
                </pic:pic>
              </a:graphicData>
            </a:graphic>
          </wp:anchor>
        </w:drawing>
      </w:r>
    </w:p>
    <w:p w:rsidR="00000000" w:rsidDel="00000000" w:rsidP="00000000" w:rsidRDefault="00000000" w:rsidRPr="00000000" w14:paraId="000000C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David brings extensive regulatory experience to FS Vector and its clients. Previously, David was appointed as the Massachusetts Commissioner of Banks from 2010 to 2016 where he supervised all State-chartered banks and credit unions and State-licensed financial services providers. David began his regulatory career as a bank examiner with the Division of Banks in 1990.</w:t>
      </w:r>
    </w:p>
    <w:p w:rsidR="00000000" w:rsidDel="00000000" w:rsidP="00000000" w:rsidRDefault="00000000" w:rsidRPr="00000000" w14:paraId="000000C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2015 to 2016, David was appointed to serve as chairman of the Board of Directors of the Conference of State Bank Supervisors (CSBS). Additionally, from 2014 to 2015, David served as chairman of the CSBS Emerging Payments &amp; Innovation Task Force which developed a Framework for the Regulation of Virtual Currency. In November 2013, David became the first State or federal financial regulator to testify before Congress on the subject of bitcoin and cryptocurrency. In 2017, David testified before the California Treasurer’s Cannabis Banking Working Group on the topic of a state-owned bank.</w:t>
      </w:r>
    </w:p>
    <w:p w:rsidR="00000000" w:rsidDel="00000000" w:rsidP="00000000" w:rsidRDefault="00000000" w:rsidRPr="00000000" w14:paraId="000000C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2013 to 2015, David served as chairman of the State Liaison Committee (SLC) of the Federal Financial Institutions Examination Council (FFIEC). David was also the first State member to serve as chairman of the FFIEC’s Task Force on Consumer Compliance.</w:t>
      </w:r>
    </w:p>
    <w:p w:rsidR="00000000" w:rsidDel="00000000" w:rsidP="00000000" w:rsidRDefault="00000000" w:rsidRPr="00000000" w14:paraId="000000C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David also serves as a member of the board of directors at Cross River Bank and as a member of the board of advisors for the Association for Data and Cyber Governance. </w:t>
      </w:r>
    </w:p>
    <w:p w:rsidR="00000000" w:rsidDel="00000000" w:rsidP="00000000" w:rsidRDefault="00000000" w:rsidRPr="00000000" w14:paraId="000000C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David earned a B.A. from Tufts University, an M.B.A. from Boston University, and an M.P.A. from the Harvard Kennedy School.</w:t>
      </w:r>
    </w:p>
    <w:p w:rsidR="00000000" w:rsidDel="00000000" w:rsidP="00000000" w:rsidRDefault="00000000" w:rsidRPr="00000000" w14:paraId="000000D0">
      <w:pPr>
        <w:keepNext w:val="1"/>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D1">
      <w:pPr>
        <w:keepNext w:val="1"/>
        <w:spacing w:after="0" w:lineRule="auto"/>
        <w:rPr>
          <w:rFonts w:ascii="Roboto" w:cs="Roboto" w:eastAsia="Roboto" w:hAnsi="Roboto"/>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D2">
      <w:pPr>
        <w:keepNext w:val="1"/>
        <w:spacing w:after="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John Beccia III</w:t>
      </w:r>
    </w:p>
    <w:p w:rsidR="00000000" w:rsidDel="00000000" w:rsidP="00000000" w:rsidRDefault="00000000" w:rsidRPr="00000000" w14:paraId="000000D3">
      <w:pP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Co-founder and Chair</w:t>
      </w:r>
    </w:p>
    <w:p w:rsidR="00000000" w:rsidDel="00000000" w:rsidP="00000000" w:rsidRDefault="00000000" w:rsidRPr="00000000" w14:paraId="000000D4">
      <w:pPr>
        <w:spacing w:line="275" w:lineRule="auto"/>
        <w:rPr>
          <w:rFonts w:ascii="Roboto" w:cs="Roboto" w:eastAsia="Roboto" w:hAnsi="Roboto"/>
          <w:sz w:val="20"/>
          <w:szCs w:val="20"/>
        </w:rPr>
      </w:pPr>
      <w:r w:rsidDel="00000000" w:rsidR="00000000" w:rsidRPr="00000000">
        <w:rPr>
          <w:rFonts w:ascii="Roboto" w:cs="Roboto" w:eastAsia="Roboto" w:hAnsi="Roboto"/>
          <w:sz w:val="20"/>
          <w:szCs w:val="20"/>
        </w:rPr>
        <w:drawing>
          <wp:anchor allowOverlap="1" behindDoc="0" distB="0" distT="0" distL="114300" distR="114300" hidden="0" layoutInCell="1" locked="0" relativeHeight="0" simplePos="0">
            <wp:simplePos x="0" y="0"/>
            <wp:positionH relativeFrom="margin">
              <wp:posOffset>4762</wp:posOffset>
            </wp:positionH>
            <wp:positionV relativeFrom="margin">
              <wp:posOffset>442595</wp:posOffset>
            </wp:positionV>
            <wp:extent cx="1097280" cy="1110615"/>
            <wp:effectExtent b="0" l="0" r="0" t="0"/>
            <wp:wrapSquare wrapText="bothSides" distB="0" distT="0" distL="114300" distR="114300"/>
            <wp:docPr descr="A person smiling for the camera&#10;&#10;Description automatically generated with medium confidence" id="2113794521" name="image7.png"/>
            <a:graphic>
              <a:graphicData uri="http://schemas.openxmlformats.org/drawingml/2006/picture">
                <pic:pic>
                  <pic:nvPicPr>
                    <pic:cNvPr descr="A person smiling for the camera&#10;&#10;Description automatically generated with medium confidence" id="0" name="image7.png"/>
                    <pic:cNvPicPr preferRelativeResize="0"/>
                  </pic:nvPicPr>
                  <pic:blipFill>
                    <a:blip r:embed="rId18"/>
                    <a:srcRect b="0" l="0" r="0" t="0"/>
                    <a:stretch>
                      <a:fillRect/>
                    </a:stretch>
                  </pic:blipFill>
                  <pic:spPr>
                    <a:xfrm>
                      <a:off x="0" y="0"/>
                      <a:ext cx="1097280" cy="1110615"/>
                    </a:xfrm>
                    <a:prstGeom prst="rect"/>
                    <a:ln/>
                  </pic:spPr>
                </pic:pic>
              </a:graphicData>
            </a:graphic>
          </wp:anchor>
        </w:drawing>
      </w:r>
      <w:r w:rsidDel="00000000" w:rsidR="00000000" w:rsidRPr="00000000">
        <w:rPr>
          <w:rFonts w:ascii="Roboto" w:cs="Roboto" w:eastAsia="Roboto" w:hAnsi="Roboto"/>
          <w:sz w:val="20"/>
          <w:szCs w:val="20"/>
          <w:rtl w:val="0"/>
        </w:rPr>
        <w:t xml:space="preserve">John provides a wide range of regulatory and compliance solutions for financial services, fintech, and cryptocurrency firms. He was most recently General Counsel and Chief Compliance Officer of Circle Internet Financial, Inc., a global crypto finance company that is seeking to help change the global economy. </w:t>
      </w:r>
    </w:p>
    <w:p w:rsidR="00000000" w:rsidDel="00000000" w:rsidP="00000000" w:rsidRDefault="00000000" w:rsidRPr="00000000" w14:paraId="000000D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John previously served as Senior Vice President and Deputy General Counsel for Boston Private Financial Holdings, Inc., a publicly traded bank holding company. He was also Assistant General Counsel for Investors Bank &amp; Trust Company and Chief Regulatory Counsel and Research Director for The Financial Services Roundtable.</w:t>
      </w:r>
    </w:p>
    <w:p w:rsidR="00000000" w:rsidDel="00000000" w:rsidP="00000000" w:rsidRDefault="00000000" w:rsidRPr="00000000" w14:paraId="000000D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John earned a J.D. from Roger Williams University School of Law.</w:t>
      </w:r>
    </w:p>
    <w:p w:rsidR="00000000" w:rsidDel="00000000" w:rsidP="00000000" w:rsidRDefault="00000000" w:rsidRPr="00000000" w14:paraId="000000D7">
      <w:pPr>
        <w:keepNext w:val="1"/>
        <w:spacing w:after="0" w:before="20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Raj Date</w:t>
      </w:r>
    </w:p>
    <w:p w:rsidR="00000000" w:rsidDel="00000000" w:rsidP="00000000" w:rsidRDefault="00000000" w:rsidRPr="00000000" w14:paraId="000000D8">
      <w:pPr>
        <w:keepNext w:val="1"/>
        <w:spacing w:after="6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Co-founder and Senior Advisor</w:t>
      </w:r>
      <w:r w:rsidDel="00000000" w:rsidR="00000000" w:rsidRPr="00000000">
        <w:drawing>
          <wp:anchor allowOverlap="1" behindDoc="0" distB="0" distT="0" distL="114300" distR="114300" hidden="0" layoutInCell="1" locked="0" relativeHeight="0" simplePos="0">
            <wp:simplePos x="0" y="0"/>
            <wp:positionH relativeFrom="column">
              <wp:posOffset>4773</wp:posOffset>
            </wp:positionH>
            <wp:positionV relativeFrom="paragraph">
              <wp:posOffset>193247</wp:posOffset>
            </wp:positionV>
            <wp:extent cx="1083945" cy="1097280"/>
            <wp:effectExtent b="0" l="0" r="0" t="0"/>
            <wp:wrapSquare wrapText="bothSides" distB="0" distT="0" distL="114300" distR="114300"/>
            <wp:docPr descr="A person in a suit&#10;&#10;Description automatically generated with low confidence" id="2113794523" name="image5.png"/>
            <a:graphic>
              <a:graphicData uri="http://schemas.openxmlformats.org/drawingml/2006/picture">
                <pic:pic>
                  <pic:nvPicPr>
                    <pic:cNvPr descr="A person in a suit&#10;&#10;Description automatically generated with low confidence" id="0" name="image5.png"/>
                    <pic:cNvPicPr preferRelativeResize="0"/>
                  </pic:nvPicPr>
                  <pic:blipFill>
                    <a:blip r:embed="rId19"/>
                    <a:srcRect b="0" l="0" r="0" t="0"/>
                    <a:stretch>
                      <a:fillRect/>
                    </a:stretch>
                  </pic:blipFill>
                  <pic:spPr>
                    <a:xfrm>
                      <a:off x="0" y="0"/>
                      <a:ext cx="1083945" cy="1097280"/>
                    </a:xfrm>
                    <a:prstGeom prst="rect"/>
                    <a:ln/>
                  </pic:spPr>
                </pic:pic>
              </a:graphicData>
            </a:graphic>
          </wp:anchor>
        </w:drawing>
      </w:r>
    </w:p>
    <w:p w:rsidR="00000000" w:rsidDel="00000000" w:rsidP="00000000" w:rsidRDefault="00000000" w:rsidRPr="00000000" w14:paraId="000000D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Raj is a co-founder of FS Vector and works with clients in financial services and financial technology. Raj serves as Director for a number of innovative firms in financial services: Prosper, the marketplace lender; Green Dot, the bank holding company; Circle, the digital asset firm; Grasshopper, a de novo bank; College Ave, a private student lender; and Megalith, a fintech-focused SPAC.</w:t>
      </w:r>
    </w:p>
    <w:p w:rsidR="00000000" w:rsidDel="00000000" w:rsidP="00000000" w:rsidRDefault="00000000" w:rsidRPr="00000000" w14:paraId="000000D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Raj is the Managing Partner of Fenway Summer, an advisory and investment firm. Previously, Raj was the first-ever Deputy Director of the U.S. Consumer Financial Protection Bureau (CFPB). Before his time in public policy, Raj was a Managing Director in the Financial Institutions Group at Deutsche Bank Securities, where he led the firm’s investment banking coverage for the largest U.S.-based banks and thrifts. </w:t>
      </w:r>
    </w:p>
    <w:p w:rsidR="00000000" w:rsidDel="00000000" w:rsidP="00000000" w:rsidRDefault="00000000" w:rsidRPr="00000000" w14:paraId="000000DB">
      <w:pPr>
        <w:rPr>
          <w:rFonts w:ascii="Roboto" w:cs="Roboto" w:eastAsia="Roboto" w:hAnsi="Roboto"/>
          <w:color w:val="3f8135"/>
          <w:sz w:val="28"/>
          <w:szCs w:val="28"/>
        </w:rPr>
      </w:pPr>
      <w:r w:rsidDel="00000000" w:rsidR="00000000" w:rsidRPr="00000000">
        <w:rPr>
          <w:rFonts w:ascii="Roboto" w:cs="Roboto" w:eastAsia="Roboto" w:hAnsi="Roboto"/>
          <w:sz w:val="20"/>
          <w:szCs w:val="20"/>
          <w:rtl w:val="0"/>
        </w:rPr>
        <w:t xml:space="preserve">Raj earned a J.D. from Harvard Law School. </w:t>
      </w:r>
      <w:r w:rsidDel="00000000" w:rsidR="00000000" w:rsidRPr="00000000">
        <w:rPr>
          <w:rtl w:val="0"/>
        </w:rPr>
      </w:r>
    </w:p>
    <w:p w:rsidR="00000000" w:rsidDel="00000000" w:rsidP="00000000" w:rsidRDefault="00000000" w:rsidRPr="00000000" w14:paraId="000000DC">
      <w:pPr>
        <w:keepNext w:val="1"/>
        <w:rPr>
          <w:rFonts w:ascii="Roboto" w:cs="Roboto" w:eastAsia="Roboto" w:hAnsi="Roboto"/>
          <w:color w:val="3f8135"/>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D">
      <w:pPr>
        <w:keepNext w:val="1"/>
        <w:rPr>
          <w:rFonts w:ascii="Roboto" w:cs="Roboto" w:eastAsia="Roboto" w:hAnsi="Roboto"/>
          <w:color w:val="3f8135"/>
          <w:sz w:val="28"/>
          <w:szCs w:val="28"/>
        </w:rPr>
      </w:pPr>
      <w:r w:rsidDel="00000000" w:rsidR="00000000" w:rsidRPr="00000000">
        <w:rPr>
          <w:rFonts w:ascii="Roboto" w:cs="Roboto" w:eastAsia="Roboto" w:hAnsi="Roboto"/>
          <w:color w:val="3f8135"/>
          <w:sz w:val="28"/>
          <w:szCs w:val="28"/>
          <w:rtl w:val="0"/>
        </w:rPr>
        <w:t xml:space="preserve">Advisory Team</w:t>
      </w:r>
    </w:p>
    <w:p w:rsidR="00000000" w:rsidDel="00000000" w:rsidP="00000000" w:rsidRDefault="00000000" w:rsidRPr="00000000" w14:paraId="000000DE">
      <w:pPr>
        <w:keepNext w:val="1"/>
        <w:spacing w:before="1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Dana Antenucci</w:t>
      </w:r>
    </w:p>
    <w:p w:rsidR="00000000" w:rsidDel="00000000" w:rsidP="00000000" w:rsidRDefault="00000000" w:rsidRPr="00000000" w14:paraId="000000D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Dana is an expert in regulatory compliance and project management, with a special focus on working within KYC, Anti-money Laundering (AML) compliance programs and Sanctions Control Programs (SCPs), including program audits, risk assessments, regulatory look-backs, investigations, legal writing, and SAR writing. </w:t>
      </w:r>
      <w:r w:rsidDel="00000000" w:rsidR="00000000" w:rsidRPr="00000000">
        <w:drawing>
          <wp:anchor allowOverlap="1" behindDoc="0" distB="0" distT="0" distL="114300" distR="114300" hidden="0" layoutInCell="1" locked="0" relativeHeight="0" simplePos="0">
            <wp:simplePos x="0" y="0"/>
            <wp:positionH relativeFrom="column">
              <wp:posOffset>-10783</wp:posOffset>
            </wp:positionH>
            <wp:positionV relativeFrom="paragraph">
              <wp:posOffset>24341</wp:posOffset>
            </wp:positionV>
            <wp:extent cx="1097280" cy="1097280"/>
            <wp:effectExtent b="0" l="0" r="0" t="0"/>
            <wp:wrapSquare wrapText="bothSides" distB="0" distT="0" distL="114300" distR="114300"/>
            <wp:docPr descr="A person wearing glasses and smiling&#10;&#10;Description automatically generated with low confidence" id="2113794525" name="image9.jpg"/>
            <a:graphic>
              <a:graphicData uri="http://schemas.openxmlformats.org/drawingml/2006/picture">
                <pic:pic>
                  <pic:nvPicPr>
                    <pic:cNvPr descr="A person wearing glasses and smiling&#10;&#10;Description automatically generated with low confidence" id="0" name="image9.jpg"/>
                    <pic:cNvPicPr preferRelativeResize="0"/>
                  </pic:nvPicPr>
                  <pic:blipFill>
                    <a:blip r:embed="rId20"/>
                    <a:srcRect b="0" l="0" r="0" t="0"/>
                    <a:stretch>
                      <a:fillRect/>
                    </a:stretch>
                  </pic:blipFill>
                  <pic:spPr>
                    <a:xfrm>
                      <a:off x="0" y="0"/>
                      <a:ext cx="1097280" cy="1097280"/>
                    </a:xfrm>
                    <a:prstGeom prst="rect"/>
                    <a:ln/>
                  </pic:spPr>
                </pic:pic>
              </a:graphicData>
            </a:graphic>
          </wp:anchor>
        </w:drawing>
      </w:r>
    </w:p>
    <w:p w:rsidR="00000000" w:rsidDel="00000000" w:rsidP="00000000" w:rsidRDefault="00000000" w:rsidRPr="00000000" w14:paraId="000000E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Prior to joining FS Vector, Dana worked within BDO USA’s Risk &amp; Regulatory Advisory practice where she worked with a range of financial institutions, from fintechs to large depositories. She also worked in Wells Fargo’s Financial Investigations Group and at HSBC as an AML investigator.</w:t>
      </w:r>
    </w:p>
    <w:p w:rsidR="00000000" w:rsidDel="00000000" w:rsidP="00000000" w:rsidRDefault="00000000" w:rsidRPr="00000000" w14:paraId="000000E1">
      <w:pPr>
        <w:spacing w:after="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Dana earned a J.D. from Northeastern University School of Law.</w:t>
      </w:r>
    </w:p>
    <w:p w:rsidR="00000000" w:rsidDel="00000000" w:rsidP="00000000" w:rsidRDefault="00000000" w:rsidRPr="00000000" w14:paraId="000000E2">
      <w:pPr>
        <w:keepNext w:val="1"/>
        <w:spacing w:before="1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Tom Gentle</w:t>
      </w:r>
    </w:p>
    <w:p w:rsidR="00000000" w:rsidDel="00000000" w:rsidP="00000000" w:rsidRDefault="00000000" w:rsidRPr="00000000" w14:paraId="000000E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Tom advises clients primarily in the digital assets space and with a focus on BSA/AML and sanctions compliance. </w:t>
      </w:r>
      <w:r w:rsidDel="00000000" w:rsidR="00000000" w:rsidRPr="00000000">
        <w:drawing>
          <wp:anchor allowOverlap="1" behindDoc="0" distB="0" distT="0" distL="114300" distR="114300" hidden="0" layoutInCell="1" locked="0" relativeHeight="0" simplePos="0">
            <wp:simplePos x="0" y="0"/>
            <wp:positionH relativeFrom="column">
              <wp:posOffset>13</wp:posOffset>
            </wp:positionH>
            <wp:positionV relativeFrom="paragraph">
              <wp:posOffset>3175</wp:posOffset>
            </wp:positionV>
            <wp:extent cx="1097280" cy="1097280"/>
            <wp:effectExtent b="0" l="0" r="0" t="0"/>
            <wp:wrapSquare wrapText="bothSides" distB="0" distT="0" distL="114300" distR="114300"/>
            <wp:docPr descr="A person wearing glasses and a suit&#10;&#10;Description automatically generated" id="2113794524" name="image11.png"/>
            <a:graphic>
              <a:graphicData uri="http://schemas.openxmlformats.org/drawingml/2006/picture">
                <pic:pic>
                  <pic:nvPicPr>
                    <pic:cNvPr descr="A person wearing glasses and a suit&#10;&#10;Description automatically generated" id="0" name="image11.png"/>
                    <pic:cNvPicPr preferRelativeResize="0"/>
                  </pic:nvPicPr>
                  <pic:blipFill>
                    <a:blip r:embed="rId21"/>
                    <a:srcRect b="0" l="0" r="0" t="0"/>
                    <a:stretch>
                      <a:fillRect/>
                    </a:stretch>
                  </pic:blipFill>
                  <pic:spPr>
                    <a:xfrm>
                      <a:off x="0" y="0"/>
                      <a:ext cx="1097280" cy="1097280"/>
                    </a:xfrm>
                    <a:prstGeom prst="rect"/>
                    <a:ln/>
                  </pic:spPr>
                </pic:pic>
              </a:graphicData>
            </a:graphic>
          </wp:anchor>
        </w:drawing>
      </w:r>
    </w:p>
    <w:p w:rsidR="00000000" w:rsidDel="00000000" w:rsidP="00000000" w:rsidRDefault="00000000" w:rsidRPr="00000000" w14:paraId="000000E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Prior to joining FS Vector, Tom was the compliance officer at Quadrata, following a stint within Coinbase’s BSA/AML quality assurance team. He began his career as an intern at the U.S. Senate, and held other financial crime compliance roles at Boston Private, Needham Bank, and within the Brookline Police Department.</w:t>
      </w:r>
    </w:p>
    <w:p w:rsidR="00000000" w:rsidDel="00000000" w:rsidP="00000000" w:rsidRDefault="00000000" w:rsidRPr="00000000" w14:paraId="000000E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He holds a B.Sc. in Criminal Justice from Northeastern University.</w:t>
      </w:r>
    </w:p>
    <w:p w:rsidR="00000000" w:rsidDel="00000000" w:rsidP="00000000" w:rsidRDefault="00000000" w:rsidRPr="00000000" w14:paraId="000000E6">
      <w:pPr>
        <w:keepNext w:val="1"/>
        <w:spacing w:before="1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Princeton Graham</w:t>
      </w:r>
    </w:p>
    <w:p w:rsidR="00000000" w:rsidDel="00000000" w:rsidP="00000000" w:rsidRDefault="00000000" w:rsidRPr="00000000" w14:paraId="000000E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Princeton advises clients on a broad range of operational, risk management, and strategic initiatives. Princeton works with leading fintech companies and traditional financial services institutions on strategic planning, regulatory analysis, product development, licensing, partnerships and building and implementing risk and compliance infrastructures.</w:t>
      </w:r>
      <w:r w:rsidDel="00000000" w:rsidR="00000000" w:rsidRPr="00000000">
        <w:drawing>
          <wp:anchor allowOverlap="1" behindDoc="0" distB="0" distT="0" distL="114300" distR="114300" hidden="0" layoutInCell="1" locked="0" relativeHeight="0" simplePos="0">
            <wp:simplePos x="0" y="0"/>
            <wp:positionH relativeFrom="column">
              <wp:posOffset>20965</wp:posOffset>
            </wp:positionH>
            <wp:positionV relativeFrom="paragraph">
              <wp:posOffset>38100</wp:posOffset>
            </wp:positionV>
            <wp:extent cx="1097280" cy="1097280"/>
            <wp:effectExtent b="0" l="0" r="0" t="0"/>
            <wp:wrapSquare wrapText="bothSides" distB="0" distT="0" distL="114300" distR="114300"/>
            <wp:docPr descr="A picture containing person, person, wall, indoor&#10;&#10;Description automatically generated" id="2113794534" name="image1.jpg"/>
            <a:graphic>
              <a:graphicData uri="http://schemas.openxmlformats.org/drawingml/2006/picture">
                <pic:pic>
                  <pic:nvPicPr>
                    <pic:cNvPr descr="A picture containing person, person, wall, indoor&#10;&#10;Description automatically generated" id="0" name="image1.jpg"/>
                    <pic:cNvPicPr preferRelativeResize="0"/>
                  </pic:nvPicPr>
                  <pic:blipFill>
                    <a:blip r:embed="rId22"/>
                    <a:srcRect b="0" l="0" r="0" t="0"/>
                    <a:stretch>
                      <a:fillRect/>
                    </a:stretch>
                  </pic:blipFill>
                  <pic:spPr>
                    <a:xfrm>
                      <a:off x="0" y="0"/>
                      <a:ext cx="1097280" cy="1097280"/>
                    </a:xfrm>
                    <a:prstGeom prst="rect"/>
                    <a:ln/>
                  </pic:spPr>
                </pic:pic>
              </a:graphicData>
            </a:graphic>
          </wp:anchor>
        </w:drawing>
      </w:r>
    </w:p>
    <w:p w:rsidR="00000000" w:rsidDel="00000000" w:rsidP="00000000" w:rsidRDefault="00000000" w:rsidRPr="00000000" w14:paraId="000000E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Prior to joining FS Vector, Princeton was a consultant at Treliant. Before Treliant, Princeton worked at Ffestiniog Company, a private family office, where he provided strategic and operational support. Princeton also worked at QED Investors, a leading venture capital firm, as well as for U.S. Senator Tim Kaine (D-VA), U.S. Senator Mark Warner (D-VA), and Cornerstone Government Affairs.</w:t>
      </w:r>
    </w:p>
    <w:p w:rsidR="00000000" w:rsidDel="00000000" w:rsidP="00000000" w:rsidRDefault="00000000" w:rsidRPr="00000000" w14:paraId="000000E9">
      <w:pPr>
        <w:spacing w:after="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Princeton earned a B.A. in Political Science from Virginia Tech.</w:t>
      </w:r>
    </w:p>
    <w:p w:rsidR="00000000" w:rsidDel="00000000" w:rsidP="00000000" w:rsidRDefault="00000000" w:rsidRPr="00000000" w14:paraId="000000EA">
      <w:pPr>
        <w:keepNext w:val="1"/>
        <w:spacing w:before="120" w:lineRule="auto"/>
        <w:rPr>
          <w:rFonts w:ascii="Roboto" w:cs="Roboto" w:eastAsia="Roboto" w:hAnsi="Roboto"/>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EB">
      <w:pPr>
        <w:keepNext w:val="1"/>
        <w:spacing w:before="1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Evey Guo</w:t>
      </w:r>
    </w:p>
    <w:p w:rsidR="00000000" w:rsidDel="00000000" w:rsidP="00000000" w:rsidRDefault="00000000" w:rsidRPr="00000000" w14:paraId="000000E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Evey advises clients on the development and launch of new products and the maturation of existing programs. She has extensive experience defining and executing strategies for pursuing national and state bank and trust charters among other licensing regimes. Her work involves technical financial analysis and the construction of enterprise risk management and compliance programs. </w:t>
      </w:r>
      <w:r w:rsidDel="00000000" w:rsidR="00000000" w:rsidRPr="00000000">
        <w:drawing>
          <wp:anchor allowOverlap="1" behindDoc="0" distB="0" distT="0" distL="114300" distR="114300" hidden="0" layoutInCell="1" locked="0" relativeHeight="0" simplePos="0">
            <wp:simplePos x="0" y="0"/>
            <wp:positionH relativeFrom="column">
              <wp:posOffset>12</wp:posOffset>
            </wp:positionH>
            <wp:positionV relativeFrom="paragraph">
              <wp:posOffset>48260</wp:posOffset>
            </wp:positionV>
            <wp:extent cx="1097280" cy="1097280"/>
            <wp:effectExtent b="0" l="0" r="0" t="0"/>
            <wp:wrapSquare wrapText="bothSides" distB="0" distT="0" distL="114300" distR="114300"/>
            <wp:docPr descr="A person smiling with short brown hair wearing glasses&#10;&#10;Description automatically generated" id="2113794533" name="image15.png"/>
            <a:graphic>
              <a:graphicData uri="http://schemas.openxmlformats.org/drawingml/2006/picture">
                <pic:pic>
                  <pic:nvPicPr>
                    <pic:cNvPr descr="A person smiling with short brown hair wearing glasses&#10;&#10;Description automatically generated" id="0" name="image15.png"/>
                    <pic:cNvPicPr preferRelativeResize="0"/>
                  </pic:nvPicPr>
                  <pic:blipFill>
                    <a:blip r:embed="rId23"/>
                    <a:srcRect b="0" l="0" r="0" t="0"/>
                    <a:stretch>
                      <a:fillRect/>
                    </a:stretch>
                  </pic:blipFill>
                  <pic:spPr>
                    <a:xfrm>
                      <a:off x="0" y="0"/>
                      <a:ext cx="1097280" cy="1097280"/>
                    </a:xfrm>
                    <a:prstGeom prst="rect"/>
                    <a:ln/>
                  </pic:spPr>
                </pic:pic>
              </a:graphicData>
            </a:graphic>
          </wp:anchor>
        </w:drawing>
      </w:r>
    </w:p>
    <w:p w:rsidR="00000000" w:rsidDel="00000000" w:rsidP="00000000" w:rsidRDefault="00000000" w:rsidRPr="00000000" w14:paraId="000000E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Prior to joining FS Vector, Evey was a Principal at Promontory Financial Group. She assisted bank and non-bank clients with U.S. chartering and licensing strategies and in executing end-to-end charter application processes. Evey also helped financial institutions and fintechs evaluate and enhance their risk management and compliance programs. She has been involved in several large-scale regulatory remediations.  </w:t>
      </w:r>
    </w:p>
    <w:p w:rsidR="00000000" w:rsidDel="00000000" w:rsidP="00000000" w:rsidRDefault="00000000" w:rsidRPr="00000000" w14:paraId="000000E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Evey earned a master's degree in finance from the University of Maryland, College Park and a bachelor of finance from Nankai University.</w:t>
      </w:r>
    </w:p>
    <w:p w:rsidR="00000000" w:rsidDel="00000000" w:rsidP="00000000" w:rsidRDefault="00000000" w:rsidRPr="00000000" w14:paraId="000000EF">
      <w:pPr>
        <w:keepNext w:val="1"/>
        <w:spacing w:before="1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Guy Huber</w:t>
      </w:r>
    </w:p>
    <w:p w:rsidR="00000000" w:rsidDel="00000000" w:rsidP="00000000" w:rsidRDefault="00000000" w:rsidRPr="00000000" w14:paraId="000000F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Guy helps clients launch products, build and improve compliance programs and navigate bank partnerships. </w:t>
      </w:r>
      <w:r w:rsidDel="00000000" w:rsidR="00000000" w:rsidRPr="00000000">
        <w:drawing>
          <wp:anchor allowOverlap="1" behindDoc="0" distB="0" distT="0" distL="114300" distR="114300" hidden="0" layoutInCell="1" locked="0" relativeHeight="0" simplePos="0">
            <wp:simplePos x="0" y="0"/>
            <wp:positionH relativeFrom="column">
              <wp:posOffset>12</wp:posOffset>
            </wp:positionH>
            <wp:positionV relativeFrom="paragraph">
              <wp:posOffset>24123</wp:posOffset>
            </wp:positionV>
            <wp:extent cx="1097280" cy="1097280"/>
            <wp:effectExtent b="0" l="0" r="0" t="0"/>
            <wp:wrapSquare wrapText="bothSides" distB="0" distT="0" distL="114300" distR="114300"/>
            <wp:docPr descr="A person in a suit smiling&#10;&#10;Description automatically generated" id="2113794532" name="image16.jpg"/>
            <a:graphic>
              <a:graphicData uri="http://schemas.openxmlformats.org/drawingml/2006/picture">
                <pic:pic>
                  <pic:nvPicPr>
                    <pic:cNvPr descr="A person in a suit smiling&#10;&#10;Description automatically generated" id="0" name="image16.jpg"/>
                    <pic:cNvPicPr preferRelativeResize="0"/>
                  </pic:nvPicPr>
                  <pic:blipFill>
                    <a:blip r:embed="rId24"/>
                    <a:srcRect b="0" l="0" r="0" t="0"/>
                    <a:stretch>
                      <a:fillRect/>
                    </a:stretch>
                  </pic:blipFill>
                  <pic:spPr>
                    <a:xfrm>
                      <a:off x="0" y="0"/>
                      <a:ext cx="1097280" cy="1097280"/>
                    </a:xfrm>
                    <a:prstGeom prst="rect"/>
                    <a:ln/>
                  </pic:spPr>
                </pic:pic>
              </a:graphicData>
            </a:graphic>
          </wp:anchor>
        </w:drawing>
      </w:r>
    </w:p>
    <w:p w:rsidR="00000000" w:rsidDel="00000000" w:rsidP="00000000" w:rsidRDefault="00000000" w:rsidRPr="00000000" w14:paraId="000000F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Prior to joining FS Vector, Guy was a Senior Managing Consultant at Promontory Financial Group. At Promontory, Guy advised a range of domestic and international financial institutions on regulatory compliance, with a focus on financial crimes and complex operational transformations. Guy also has deep experience assisting clients with regulatory remediation strategy.</w:t>
      </w:r>
    </w:p>
    <w:p w:rsidR="00000000" w:rsidDel="00000000" w:rsidP="00000000" w:rsidRDefault="00000000" w:rsidRPr="00000000" w14:paraId="000000F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Guy earned a J.D. from Tulane University Law School.</w:t>
      </w:r>
    </w:p>
    <w:p w:rsidR="00000000" w:rsidDel="00000000" w:rsidP="00000000" w:rsidRDefault="00000000" w:rsidRPr="00000000" w14:paraId="000000F3">
      <w:pPr>
        <w:keepNext w:val="1"/>
        <w:spacing w:before="1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Constantine Psaltis-Ivanis</w:t>
      </w:r>
    </w:p>
    <w:p w:rsidR="00000000" w:rsidDel="00000000" w:rsidP="00000000" w:rsidRDefault="00000000" w:rsidRPr="00000000" w14:paraId="000000F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Constantine advises clients across a variety of regulatory compliance, risk management, product development, and strategic areas.</w:t>
      </w:r>
      <w:r w:rsidDel="00000000" w:rsidR="00000000" w:rsidRPr="00000000">
        <w:drawing>
          <wp:anchor allowOverlap="1" behindDoc="0" distB="0" distT="0" distL="114300" distR="114300" hidden="0" layoutInCell="1" locked="0" relativeHeight="0" simplePos="0">
            <wp:simplePos x="0" y="0"/>
            <wp:positionH relativeFrom="column">
              <wp:posOffset>20965</wp:posOffset>
            </wp:positionH>
            <wp:positionV relativeFrom="paragraph">
              <wp:posOffset>104775</wp:posOffset>
            </wp:positionV>
            <wp:extent cx="1073150" cy="1097280"/>
            <wp:effectExtent b="0" l="0" r="0" t="0"/>
            <wp:wrapSquare wrapText="bothSides" distB="0" distT="0" distL="114300" distR="114300"/>
            <wp:docPr descr="A person in a suit&#10;&#10;Description automatically generated" id="2113794531" name="image13.jpg"/>
            <a:graphic>
              <a:graphicData uri="http://schemas.openxmlformats.org/drawingml/2006/picture">
                <pic:pic>
                  <pic:nvPicPr>
                    <pic:cNvPr descr="A person in a suit&#10;&#10;Description automatically generated" id="0" name="image13.jpg"/>
                    <pic:cNvPicPr preferRelativeResize="0"/>
                  </pic:nvPicPr>
                  <pic:blipFill>
                    <a:blip r:embed="rId25"/>
                    <a:srcRect b="0" l="0" r="-8" t="0"/>
                    <a:stretch>
                      <a:fillRect/>
                    </a:stretch>
                  </pic:blipFill>
                  <pic:spPr>
                    <a:xfrm>
                      <a:off x="0" y="0"/>
                      <a:ext cx="1073150" cy="1097280"/>
                    </a:xfrm>
                    <a:prstGeom prst="rect"/>
                    <a:ln/>
                  </pic:spPr>
                </pic:pic>
              </a:graphicData>
            </a:graphic>
          </wp:anchor>
        </w:drawing>
      </w:r>
    </w:p>
    <w:p w:rsidR="00000000" w:rsidDel="00000000" w:rsidP="00000000" w:rsidRDefault="00000000" w:rsidRPr="00000000" w14:paraId="000000F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Before joining FS Vector, Constantine was a Principal at Promontory Financial Group. Constantine has extensive experience supporting financial institutions with designing and implementing target operating models across a variety of enterprise risk management and regulatory compliance domains, with a particular focus in consumer compliance. He has assisted firms with remediation planning and execution to adhere to Federal Reserve, FDIC, OCC, and CFPB expectations. He began his career as an intern with the OCC.</w:t>
      </w:r>
    </w:p>
    <w:p w:rsidR="00000000" w:rsidDel="00000000" w:rsidP="00000000" w:rsidRDefault="00000000" w:rsidRPr="00000000" w14:paraId="000000F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Constantine earned an M.A. in Economics and Politics from the University of Edinburgh.</w:t>
      </w:r>
    </w:p>
    <w:p w:rsidR="00000000" w:rsidDel="00000000" w:rsidP="00000000" w:rsidRDefault="00000000" w:rsidRPr="00000000" w14:paraId="000000F7">
      <w:pPr>
        <w:keepNext w:val="1"/>
        <w:rPr>
          <w:rFonts w:ascii="Roboto" w:cs="Roboto" w:eastAsia="Roboto" w:hAnsi="Roboto"/>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F8">
      <w:pPr>
        <w:keepNext w:val="1"/>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Max Sherman</w:t>
      </w:r>
      <w:r w:rsidDel="00000000" w:rsidR="00000000" w:rsidRPr="00000000">
        <w:drawing>
          <wp:anchor allowOverlap="1" behindDoc="0" distB="114300" distT="114300" distL="114300" distR="114300" hidden="0" layoutInCell="1" locked="0" relativeHeight="0" simplePos="0">
            <wp:simplePos x="0" y="0"/>
            <wp:positionH relativeFrom="column">
              <wp:posOffset>19055</wp:posOffset>
            </wp:positionH>
            <wp:positionV relativeFrom="paragraph">
              <wp:posOffset>276225</wp:posOffset>
            </wp:positionV>
            <wp:extent cx="1085850" cy="1095375"/>
            <wp:effectExtent b="0" l="0" r="0" t="0"/>
            <wp:wrapSquare wrapText="bothSides" distB="114300" distT="114300" distL="114300" distR="114300"/>
            <wp:docPr descr="A person smiling for the camera&#10;&#10;Description automatically generated with medium confidence" id="2113794530" name="image14.png"/>
            <a:graphic>
              <a:graphicData uri="http://schemas.openxmlformats.org/drawingml/2006/picture">
                <pic:pic>
                  <pic:nvPicPr>
                    <pic:cNvPr descr="A person smiling for the camera&#10;&#10;Description automatically generated with medium confidence" id="0" name="image14.png"/>
                    <pic:cNvPicPr preferRelativeResize="0"/>
                  </pic:nvPicPr>
                  <pic:blipFill>
                    <a:blip r:embed="rId26"/>
                    <a:srcRect b="0" l="0" r="0" t="0"/>
                    <a:stretch>
                      <a:fillRect/>
                    </a:stretch>
                  </pic:blipFill>
                  <pic:spPr>
                    <a:xfrm>
                      <a:off x="0" y="0"/>
                      <a:ext cx="1085850" cy="1095375"/>
                    </a:xfrm>
                    <a:prstGeom prst="rect"/>
                    <a:ln/>
                  </pic:spPr>
                </pic:pic>
              </a:graphicData>
            </a:graphic>
          </wp:anchor>
        </w:drawing>
      </w:r>
    </w:p>
    <w:p w:rsidR="00000000" w:rsidDel="00000000" w:rsidP="00000000" w:rsidRDefault="00000000" w:rsidRPr="00000000" w14:paraId="000000F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Max supports clients on a broad range of strategic and regulatory compliance initiatives. He specializes in building, implementing, and enhancing compliance functions for both early stage and large Fintech companies.</w:t>
      </w:r>
    </w:p>
    <w:p w:rsidR="00000000" w:rsidDel="00000000" w:rsidP="00000000" w:rsidRDefault="00000000" w:rsidRPr="00000000" w14:paraId="000000F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Max has significant experience designing and operationalizing compliance and risk management programs, with a focus on financial crimes and consumer compliance within a broad range of financial products and services, including payments, digital banking, and marketplace lending, among others.</w:t>
      </w:r>
    </w:p>
    <w:p w:rsidR="00000000" w:rsidDel="00000000" w:rsidP="00000000" w:rsidRDefault="00000000" w:rsidRPr="00000000" w14:paraId="000000F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Max was previously a Compliance Lead at Column National Association. Prior to Column, he was a Consultant at Treliant, the Export-Import Bank of the United States, and the U.S. Department of the Treasury. </w:t>
      </w:r>
    </w:p>
    <w:p w:rsidR="00000000" w:rsidDel="00000000" w:rsidP="00000000" w:rsidRDefault="00000000" w:rsidRPr="00000000" w14:paraId="000000F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Max holds a B.A. from American University.</w:t>
      </w:r>
    </w:p>
    <w:p w:rsidR="00000000" w:rsidDel="00000000" w:rsidP="00000000" w:rsidRDefault="00000000" w:rsidRPr="00000000" w14:paraId="000000FD">
      <w:pP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Ethan Singleton</w:t>
      </w:r>
    </w:p>
    <w:p w:rsidR="00000000" w:rsidDel="00000000" w:rsidP="00000000" w:rsidRDefault="00000000" w:rsidRPr="00000000" w14:paraId="000000F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Ethan advises and supports financial technology companies on matters including the creation of oversight frameworks, implementation of compliance programs, and management of regulatory and partner bank relationships.</w:t>
      </w:r>
      <w:r w:rsidDel="00000000" w:rsidR="00000000" w:rsidRPr="00000000">
        <w:drawing>
          <wp:anchor allowOverlap="1" behindDoc="0" distB="0" distT="0" distL="114300" distR="114300" hidden="0" layoutInCell="1" locked="0" relativeHeight="0" simplePos="0">
            <wp:simplePos x="0" y="0"/>
            <wp:positionH relativeFrom="column">
              <wp:posOffset>-10783</wp:posOffset>
            </wp:positionH>
            <wp:positionV relativeFrom="paragraph">
              <wp:posOffset>24765</wp:posOffset>
            </wp:positionV>
            <wp:extent cx="1097280" cy="1097280"/>
            <wp:effectExtent b="0" l="0" r="0" t="0"/>
            <wp:wrapSquare wrapText="bothSides" distB="0" distT="0" distL="114300" distR="114300"/>
            <wp:docPr descr="A person in a suit&#10;&#10;Description automatically generated with low confidence" id="2113794529" name="image2.jpg"/>
            <a:graphic>
              <a:graphicData uri="http://schemas.openxmlformats.org/drawingml/2006/picture">
                <pic:pic>
                  <pic:nvPicPr>
                    <pic:cNvPr descr="A person in a suit&#10;&#10;Description automatically generated with low confidence" id="0" name="image2.jpg"/>
                    <pic:cNvPicPr preferRelativeResize="0"/>
                  </pic:nvPicPr>
                  <pic:blipFill>
                    <a:blip r:embed="rId27"/>
                    <a:srcRect b="0" l="0" r="0" t="0"/>
                    <a:stretch>
                      <a:fillRect/>
                    </a:stretch>
                  </pic:blipFill>
                  <pic:spPr>
                    <a:xfrm>
                      <a:off x="0" y="0"/>
                      <a:ext cx="1097280" cy="1097280"/>
                    </a:xfrm>
                    <a:prstGeom prst="rect"/>
                    <a:ln/>
                  </pic:spPr>
                </pic:pic>
              </a:graphicData>
            </a:graphic>
          </wp:anchor>
        </w:drawing>
      </w:r>
    </w:p>
    <w:p w:rsidR="00000000" w:rsidDel="00000000" w:rsidP="00000000" w:rsidRDefault="00000000" w:rsidRPr="00000000" w14:paraId="000000F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Ethan was previously a Manager in the Legal Compliance Advisory practice at BDO USA LLP and began his career in the Financial Crimes Compliance group at HSBC Bank USA.</w:t>
      </w:r>
    </w:p>
    <w:p w:rsidR="00000000" w:rsidDel="00000000" w:rsidP="00000000" w:rsidRDefault="00000000" w:rsidRPr="00000000" w14:paraId="00000100">
      <w:pPr>
        <w:spacing w:after="240" w:lineRule="auto"/>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Ethan earned a J.D. from the Delaware Law School of Widener University.</w:t>
      </w:r>
      <w:r w:rsidDel="00000000" w:rsidR="00000000" w:rsidRPr="00000000">
        <w:rPr>
          <w:rtl w:val="0"/>
        </w:rPr>
      </w:r>
    </w:p>
    <w:p w:rsidR="00000000" w:rsidDel="00000000" w:rsidP="00000000" w:rsidRDefault="00000000" w:rsidRPr="00000000" w14:paraId="00000101">
      <w:pPr>
        <w:keepNext w:val="1"/>
        <w:spacing w:before="1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Jasper Sneff Nanni</w:t>
      </w:r>
    </w:p>
    <w:p w:rsidR="00000000" w:rsidDel="00000000" w:rsidP="00000000" w:rsidRDefault="00000000" w:rsidRPr="00000000" w14:paraId="0000010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Jasper advises and supports clients with a range of strategy, compliance, and risk management matters. </w:t>
      </w:r>
      <w:r w:rsidDel="00000000" w:rsidR="00000000" w:rsidRPr="00000000">
        <w:drawing>
          <wp:anchor allowOverlap="1" behindDoc="0" distB="0" distT="0" distL="114300" distR="114300" hidden="0" layoutInCell="1" locked="0" relativeHeight="0" simplePos="0">
            <wp:simplePos x="0" y="0"/>
            <wp:positionH relativeFrom="column">
              <wp:posOffset>-10783</wp:posOffset>
            </wp:positionH>
            <wp:positionV relativeFrom="paragraph">
              <wp:posOffset>29845</wp:posOffset>
            </wp:positionV>
            <wp:extent cx="1097280" cy="1097280"/>
            <wp:effectExtent b="0" l="0" r="0" t="0"/>
            <wp:wrapSquare wrapText="bothSides" distB="0" distT="0" distL="114300" distR="114300"/>
            <wp:docPr descr="A person smiling for the camera&#10;&#10;Description automatically generated with medium confidence" id="2113794528" name="image19.jpg"/>
            <a:graphic>
              <a:graphicData uri="http://schemas.openxmlformats.org/drawingml/2006/picture">
                <pic:pic>
                  <pic:nvPicPr>
                    <pic:cNvPr descr="A person smiling for the camera&#10;&#10;Description automatically generated with medium confidence" id="0" name="image19.jpg"/>
                    <pic:cNvPicPr preferRelativeResize="0"/>
                  </pic:nvPicPr>
                  <pic:blipFill>
                    <a:blip r:embed="rId28"/>
                    <a:srcRect b="0" l="0" r="0" t="0"/>
                    <a:stretch>
                      <a:fillRect/>
                    </a:stretch>
                  </pic:blipFill>
                  <pic:spPr>
                    <a:xfrm>
                      <a:off x="0" y="0"/>
                      <a:ext cx="1097280" cy="1097280"/>
                    </a:xfrm>
                    <a:prstGeom prst="rect"/>
                    <a:ln/>
                  </pic:spPr>
                </pic:pic>
              </a:graphicData>
            </a:graphic>
          </wp:anchor>
        </w:drawing>
      </w:r>
    </w:p>
    <w:p w:rsidR="00000000" w:rsidDel="00000000" w:rsidP="00000000" w:rsidRDefault="00000000" w:rsidRPr="00000000" w14:paraId="0000010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Jasper has extensive experience supporting financial institutions in strategic efforts, such as investment portfolio optimization and bank profitability analyses; internal capital planning and regulatory stress testing exercises; and model risk management. Jasper has also assisted financial institutions with developing enterprise risk management and financial crimes compliance programs, and has conducted forensic reviews involving consumer protection and financial crimes. Jasper was previously a member of the Financial Markets Advisory team at BlackRock.</w:t>
      </w:r>
    </w:p>
    <w:p w:rsidR="00000000" w:rsidDel="00000000" w:rsidP="00000000" w:rsidRDefault="00000000" w:rsidRPr="00000000" w14:paraId="00000104">
      <w:pPr>
        <w:spacing w:after="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Jasper received an A.B. degree in Sociology, cum laude, from Princeton University. </w:t>
      </w:r>
    </w:p>
    <w:p w:rsidR="00000000" w:rsidDel="00000000" w:rsidP="00000000" w:rsidRDefault="00000000" w:rsidRPr="00000000" w14:paraId="00000105">
      <w:pPr>
        <w:keepNext w:val="1"/>
        <w:spacing w:before="120" w:lineRule="auto"/>
        <w:rPr>
          <w:rFonts w:ascii="Roboto" w:cs="Roboto" w:eastAsia="Roboto" w:hAnsi="Roboto"/>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06">
      <w:pPr>
        <w:keepNext w:val="1"/>
        <w:spacing w:before="1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Steven Stolarski</w:t>
      </w:r>
    </w:p>
    <w:p w:rsidR="00000000" w:rsidDel="00000000" w:rsidP="00000000" w:rsidRDefault="00000000" w:rsidRPr="00000000" w14:paraId="0000010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Steven advises financial technology and traditional financial institution clients on a range of matters, including building compliance programs and bank-fintech partner relationships. </w:t>
      </w:r>
      <w:r w:rsidDel="00000000" w:rsidR="00000000" w:rsidRPr="00000000">
        <w:drawing>
          <wp:anchor allowOverlap="1" behindDoc="0" distB="0" distT="0" distL="114300" distR="114300" hidden="0" layoutInCell="1" locked="0" relativeHeight="0" simplePos="0">
            <wp:simplePos x="0" y="0"/>
            <wp:positionH relativeFrom="column">
              <wp:posOffset>-9513</wp:posOffset>
            </wp:positionH>
            <wp:positionV relativeFrom="paragraph">
              <wp:posOffset>57414</wp:posOffset>
            </wp:positionV>
            <wp:extent cx="1097280" cy="1097280"/>
            <wp:effectExtent b="0" l="0" r="0" t="0"/>
            <wp:wrapSquare wrapText="bothSides" distB="0" distT="0" distL="114300" distR="114300"/>
            <wp:docPr descr="A person in a suit&#10;&#10;Description automatically generated" id="2113794527" name="image8.jpg"/>
            <a:graphic>
              <a:graphicData uri="http://schemas.openxmlformats.org/drawingml/2006/picture">
                <pic:pic>
                  <pic:nvPicPr>
                    <pic:cNvPr descr="A person in a suit&#10;&#10;Description automatically generated" id="0" name="image8.jpg"/>
                    <pic:cNvPicPr preferRelativeResize="0"/>
                  </pic:nvPicPr>
                  <pic:blipFill>
                    <a:blip r:embed="rId29"/>
                    <a:srcRect b="0" l="0" r="0" t="0"/>
                    <a:stretch>
                      <a:fillRect/>
                    </a:stretch>
                  </pic:blipFill>
                  <pic:spPr>
                    <a:xfrm>
                      <a:off x="0" y="0"/>
                      <a:ext cx="1097280" cy="1097280"/>
                    </a:xfrm>
                    <a:prstGeom prst="rect"/>
                    <a:ln/>
                  </pic:spPr>
                </pic:pic>
              </a:graphicData>
            </a:graphic>
          </wp:anchor>
        </w:drawing>
      </w:r>
    </w:p>
    <w:p w:rsidR="00000000" w:rsidDel="00000000" w:rsidP="00000000" w:rsidRDefault="00000000" w:rsidRPr="00000000" w14:paraId="0000010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Before joining FS Vector full-time, Steven interned with the company during his final year of law school. During that time, he worked on a variety of projects within FS Vector. He has experience with independent audits of BSA/AML programs, compliance program builds, and Banking-as-a-Service platform launches. </w:t>
      </w:r>
    </w:p>
    <w:p w:rsidR="00000000" w:rsidDel="00000000" w:rsidP="00000000" w:rsidRDefault="00000000" w:rsidRPr="00000000" w14:paraId="0000010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Steven earned a J.D. from the George Mason University School of Law.</w:t>
      </w:r>
    </w:p>
    <w:p w:rsidR="00000000" w:rsidDel="00000000" w:rsidP="00000000" w:rsidRDefault="00000000" w:rsidRPr="00000000" w14:paraId="0000010A">
      <w:pPr>
        <w:keepNext w:val="1"/>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Trevor Tanifum</w:t>
      </w:r>
    </w:p>
    <w:p w:rsidR="00000000" w:rsidDel="00000000" w:rsidP="00000000" w:rsidRDefault="00000000" w:rsidRPr="00000000" w14:paraId="0000010B">
      <w:pPr>
        <w:spacing w:line="27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Trevor guides financial technology companies through regulatory, risk management, and strategic challenges. Trevor is passionate about the deliberate integration of compliance activities with business processes and products and strives to help clients gain efficiencies and value-add from their compliance departments. </w:t>
      </w:r>
      <w:r w:rsidDel="00000000" w:rsidR="00000000" w:rsidRPr="00000000">
        <w:drawing>
          <wp:anchor allowOverlap="1" behindDoc="0" distB="0" distT="0" distL="114300" distR="114300" hidden="0" layoutInCell="1" locked="0" relativeHeight="0" simplePos="0">
            <wp:simplePos x="0" y="0"/>
            <wp:positionH relativeFrom="column">
              <wp:posOffset>12</wp:posOffset>
            </wp:positionH>
            <wp:positionV relativeFrom="paragraph">
              <wp:posOffset>38735</wp:posOffset>
            </wp:positionV>
            <wp:extent cx="1097280" cy="1097280"/>
            <wp:effectExtent b="0" l="0" r="0" t="0"/>
            <wp:wrapSquare wrapText="bothSides" distB="0" distT="0" distL="114300" distR="114300"/>
            <wp:docPr descr="A person wearing glasses&#10;&#10;Description automatically generated with medium confidence" id="2113794541" name="image21.jpg"/>
            <a:graphic>
              <a:graphicData uri="http://schemas.openxmlformats.org/drawingml/2006/picture">
                <pic:pic>
                  <pic:nvPicPr>
                    <pic:cNvPr descr="A person wearing glasses&#10;&#10;Description automatically generated with medium confidence" id="0" name="image21.jpg"/>
                    <pic:cNvPicPr preferRelativeResize="0"/>
                  </pic:nvPicPr>
                  <pic:blipFill>
                    <a:blip r:embed="rId30"/>
                    <a:srcRect b="0" l="0" r="0" t="0"/>
                    <a:stretch>
                      <a:fillRect/>
                    </a:stretch>
                  </pic:blipFill>
                  <pic:spPr>
                    <a:xfrm>
                      <a:off x="0" y="0"/>
                      <a:ext cx="1097280" cy="1097280"/>
                    </a:xfrm>
                    <a:prstGeom prst="rect"/>
                    <a:ln/>
                  </pic:spPr>
                </pic:pic>
              </a:graphicData>
            </a:graphic>
          </wp:anchor>
        </w:drawing>
      </w:r>
    </w:p>
    <w:p w:rsidR="00000000" w:rsidDel="00000000" w:rsidP="00000000" w:rsidRDefault="00000000" w:rsidRPr="00000000" w14:paraId="0000010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Trevor was previously a principal at Promontory Financial Group where he counseled financial institutions through a range of strategic, programmatic, and esoteric undertakings. Trevor, a lawyer by training, previously clerked for former Commodity Futures Trading Commission (CFTC) Commissioner Sharon Y. Bowen where he helped launch the inaugural Market Risk Advisory Committee. Later, at the Financial Industry Regulatory Authority (FINRA), Trevor conducted investigations of potential securities law violations.</w:t>
      </w:r>
    </w:p>
    <w:p w:rsidR="00000000" w:rsidDel="00000000" w:rsidP="00000000" w:rsidRDefault="00000000" w:rsidRPr="00000000" w14:paraId="0000010D">
      <w:pPr>
        <w:spacing w:after="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Trevor earned a J.D. from The George Washington University Law School. </w:t>
      </w:r>
    </w:p>
    <w:p w:rsidR="00000000" w:rsidDel="00000000" w:rsidP="00000000" w:rsidRDefault="00000000" w:rsidRPr="00000000" w14:paraId="0000010E">
      <w:pPr>
        <w:keepNext w:val="1"/>
        <w:spacing w:after="0" w:before="240" w:lineRule="auto"/>
        <w:rPr>
          <w:rFonts w:ascii="Roboto" w:cs="Roboto" w:eastAsia="Roboto" w:hAnsi="Roboto"/>
          <w:b w:val="1"/>
          <w:bCs w:val="1"/>
          <w:color w:val="3f8135"/>
          <w:sz w:val="20"/>
          <w:szCs w:val="20"/>
        </w:rPr>
      </w:pPr>
      <w:r w:rsidDel="00000000" w:rsidR="00000000" w:rsidRPr="00000000">
        <w:rPr>
          <w:rFonts w:ascii="Roboto" w:cs="Roboto" w:eastAsia="Roboto" w:hAnsi="Roboto"/>
          <w:b w:val="1"/>
          <w:bCs w:val="1"/>
          <w:sz w:val="20"/>
          <w:szCs w:val="20"/>
          <w:rtl w:val="0"/>
        </w:rPr>
        <w:t xml:space="preserve">Alissa Zhang</w:t>
      </w:r>
      <w:r w:rsidDel="00000000" w:rsidR="00000000" w:rsidRPr="00000000">
        <w:rPr>
          <w:rtl w:val="0"/>
        </w:rPr>
      </w:r>
    </w:p>
    <w:p w:rsidR="00000000" w:rsidDel="00000000" w:rsidP="00000000" w:rsidRDefault="00000000" w:rsidRPr="00000000" w14:paraId="0000010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Alissa supports clients on a range of product launch, compliance, and strategic matters.</w:t>
      </w:r>
      <w:r w:rsidDel="00000000" w:rsidR="00000000" w:rsidRPr="00000000">
        <w:drawing>
          <wp:anchor allowOverlap="1" behindDoc="0" distB="114300" distT="114300" distL="114300" distR="114300" hidden="0" layoutInCell="1" locked="0" relativeHeight="0" simplePos="0">
            <wp:simplePos x="0" y="0"/>
            <wp:positionH relativeFrom="column">
              <wp:posOffset>5</wp:posOffset>
            </wp:positionH>
            <wp:positionV relativeFrom="paragraph">
              <wp:posOffset>129510</wp:posOffset>
            </wp:positionV>
            <wp:extent cx="1097280" cy="1097280"/>
            <wp:effectExtent b="0" l="0" r="0" t="0"/>
            <wp:wrapSquare wrapText="bothSides" distB="114300" distT="114300" distL="114300" distR="114300"/>
            <wp:docPr id="2113794540"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1097280" cy="1097280"/>
                    </a:xfrm>
                    <a:prstGeom prst="rect"/>
                    <a:ln/>
                  </pic:spPr>
                </pic:pic>
              </a:graphicData>
            </a:graphic>
          </wp:anchor>
        </w:drawing>
      </w:r>
    </w:p>
    <w:p w:rsidR="00000000" w:rsidDel="00000000" w:rsidP="00000000" w:rsidRDefault="00000000" w:rsidRPr="00000000" w14:paraId="0000011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Prior to joining FS Vector, Alissa worked as an intern for the Federal Reserve of Atlanta’s Research Department, where she engaged with business leaders across the country on behalf of the Atlanta Fed’s CFO Survey. She was also a corporate banking intern with Wells Fargo’s Consumer &amp; Retail team, supporting client relationship management, lending processes, and credit analyses. She has a keen interest in the legal and regulatory frameworks that govern our financial institutions and markets.</w:t>
      </w:r>
    </w:p>
    <w:p w:rsidR="00000000" w:rsidDel="00000000" w:rsidP="00000000" w:rsidRDefault="00000000" w:rsidRPr="00000000" w14:paraId="00000111">
      <w:pPr>
        <w:rPr>
          <w:rFonts w:ascii="Roboto" w:cs="Roboto" w:eastAsia="Roboto" w:hAnsi="Roboto"/>
          <w:color w:val="3f8135"/>
          <w:sz w:val="28"/>
          <w:szCs w:val="28"/>
        </w:rPr>
      </w:pPr>
      <w:r w:rsidDel="00000000" w:rsidR="00000000" w:rsidRPr="00000000">
        <w:rPr>
          <w:rFonts w:ascii="Roboto" w:cs="Roboto" w:eastAsia="Roboto" w:hAnsi="Roboto"/>
          <w:sz w:val="20"/>
          <w:szCs w:val="20"/>
          <w:rtl w:val="0"/>
        </w:rPr>
        <w:t xml:space="preserve">Alissa holds a B.A. in Economics from Vanderbilt University.</w:t>
      </w:r>
      <w:r w:rsidDel="00000000" w:rsidR="00000000" w:rsidRPr="00000000">
        <w:rPr>
          <w:rtl w:val="0"/>
        </w:rPr>
      </w:r>
    </w:p>
    <w:sectPr>
      <w:headerReference r:id="rId32" w:type="default"/>
      <w:headerReference r:id="rId33" w:type="first"/>
      <w:headerReference r:id="rId34" w:type="even"/>
      <w:footerReference r:id="rId35" w:type="default"/>
      <w:footerReference r:id="rId36" w:type="first"/>
      <w:pgSz w:h="15840" w:w="12240" w:orient="portrait"/>
      <w:pgMar w:bottom="1440" w:top="1440" w:left="1440" w:right="1440" w:header="1008" w:footer="729"/>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rPr>
        <w:rFonts w:ascii="Roboto" w:cs="Roboto" w:eastAsia="Roboto" w:hAnsi="Roboto"/>
      </w:rPr>
    </w:pPr>
    <w:r w:rsidDel="00000000" w:rsidR="00000000" w:rsidRPr="00000000">
      <w:rPr>
        <w:rtl w:val="0"/>
      </w:rPr>
    </w:r>
  </w:p>
  <w:p w:rsidR="00000000" w:rsidDel="00000000" w:rsidP="00000000" w:rsidRDefault="00000000" w:rsidRPr="00000000" w14:paraId="0000011A">
    <w:pPr>
      <w:rPr/>
    </w:pPr>
    <w:r w:rsidDel="00000000" w:rsidR="00000000" w:rsidRPr="00000000">
      <w:rPr>
        <w:rFonts w:ascii="Roboto" w:cs="Roboto" w:eastAsia="Roboto" w:hAnsi="Roboto"/>
        <w:rtl w:val="0"/>
      </w:rPr>
      <w:t xml:space="preserve">Confidential</w:t>
    </w:r>
    <w:r w:rsidDel="00000000" w:rsidR="00000000" w:rsidRPr="00000000">
      <w:rPr>
        <w:rFonts w:ascii="Roboto" w:cs="Roboto" w:eastAsia="Roboto" w:hAnsi="Roboto"/>
        <w:color w:val="ff0000"/>
        <w:rtl w:val="0"/>
      </w:rPr>
      <w:tab/>
      <w:tab/>
      <w:tab/>
      <w:tab/>
      <w:tab/>
      <w:tab/>
      <w:tab/>
      <w:t xml:space="preserve">             </w:t>
      <w:tab/>
      <w:tab/>
      <w:t xml:space="preserve">    </w:t>
      <w:tab/>
      <w:t xml:space="preserve">   </w:t>
    </w:r>
    <w:r w:rsidDel="00000000" w:rsidR="00000000" w:rsidRPr="00000000">
      <w:rPr>
        <w:rFonts w:ascii="Roboto" w:cs="Roboto" w:eastAsia="Roboto" w:hAnsi="Roboto"/>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rPr>
        <w:rFonts w:ascii="Roboto" w:cs="Roboto" w:eastAsia="Roboto" w:hAnsi="Roboto"/>
      </w:rPr>
    </w:pPr>
    <w:r w:rsidDel="00000000" w:rsidR="00000000" w:rsidRPr="00000000">
      <w:rPr>
        <w:rFonts w:ascii="Roboto" w:cs="Roboto" w:eastAsia="Roboto" w:hAnsi="Roboto"/>
        <w:rtl w:val="0"/>
      </w:rPr>
      <w:t xml:space="preserve">Confidential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pBdr>
        <w:between w:color="4f81bd" w:space="1" w:sz="4" w:val="single"/>
      </w:pBdr>
      <w:jc w:val="center"/>
      <w:rPr>
        <w:rFonts w:ascii="Roboto" w:cs="Roboto" w:eastAsia="Roboto" w:hAnsi="Roboto"/>
      </w:rPr>
    </w:pPr>
    <w:r w:rsidDel="00000000" w:rsidR="00000000" w:rsidRPr="00000000">
      <w:rPr>
        <w:rFonts w:ascii="Roboto" w:cs="Roboto" w:eastAsia="Roboto" w:hAnsi="Roboto"/>
        <w:rtl w:val="0"/>
      </w:rPr>
      <w:t xml:space="preserve">Proposal to Provide Bank Charter Advisory Services</w:t>
    </w:r>
  </w:p>
  <w:p w:rsidR="00000000" w:rsidDel="00000000" w:rsidP="00000000" w:rsidRDefault="00000000" w:rsidRPr="00000000" w14:paraId="00000113">
    <w:pPr>
      <w:pBdr>
        <w:between w:color="4f81bd" w:space="1" w:sz="4" w:val="single"/>
      </w:pBdr>
      <w:jc w:val="center"/>
      <w:rPr/>
    </w:pPr>
    <w:r w:rsidDel="00000000" w:rsidR="00000000" w:rsidRPr="00000000">
      <w:rPr>
        <w:rtl w:val="0"/>
      </w:rPr>
      <w:t xml:space="preserve">February 2026</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ind w:left="-1440" w:right="-1440" w:firstLine="0"/>
      <w:jc w:val="center"/>
      <w:rPr/>
    </w:pPr>
    <w:r w:rsidDel="00000000" w:rsidR="00000000" w:rsidRPr="00000000">
      <w:rPr>
        <w:b w:val="1"/>
        <w:bCs w:val="1"/>
        <w:color w:val="000000"/>
        <w:sz w:val="28"/>
        <w:szCs w:val="28"/>
      </w:rPr>
      <w:drawing>
        <wp:inline distB="0" distT="0" distL="0" distR="0">
          <wp:extent cx="3721100" cy="520700"/>
          <wp:effectExtent b="0" l="0" r="0" t="0"/>
          <wp:docPr id="2113794526"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3721100" cy="520700"/>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pBdr>
        <w:between w:color="4f81bd" w:space="1" w:sz="4" w:val="single"/>
      </w:pBdr>
      <w:jc w:val="center"/>
      <w:rPr>
        <w:rFonts w:ascii="Cambria" w:cs="Cambria" w:eastAsia="Cambria" w:hAnsi="Cambria"/>
      </w:rPr>
    </w:pPr>
    <w:r w:rsidDel="00000000" w:rsidR="00000000" w:rsidRPr="00000000">
      <w:rPr>
        <w:rFonts w:ascii="Cambria" w:cs="Cambria" w:eastAsia="Cambria" w:hAnsi="Cambria"/>
        <w:rtl w:val="0"/>
      </w:rPr>
      <w:t xml:space="preserve">Proposal to Provide Advisory and Regulatory Compliance Services</w:t>
    </w:r>
  </w:p>
  <w:p w:rsidR="00000000" w:rsidDel="00000000" w:rsidP="00000000" w:rsidRDefault="00000000" w:rsidRPr="00000000" w14:paraId="00000116">
    <w:pPr>
      <w:pBdr>
        <w:between w:color="4f81bd" w:space="1" w:sz="4" w:val="single"/>
      </w:pBdr>
      <w:jc w:val="center"/>
      <w:rPr>
        <w:rFonts w:ascii="Cambria" w:cs="Cambria" w:eastAsia="Cambria" w:hAnsi="Cambria"/>
      </w:rPr>
    </w:pPr>
    <w:r w:rsidDel="00000000" w:rsidR="00000000" w:rsidRPr="00000000">
      <w:rPr>
        <w:rFonts w:ascii="Cambria" w:cs="Cambria" w:eastAsia="Cambria" w:hAnsi="Cambria"/>
        <w:rtl w:val="0"/>
      </w:rPr>
      <w:t xml:space="preserve">October 21, 2022</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18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18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18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18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18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Light" w:cs="Roboto Light" w:eastAsia="Roboto Light" w:hAnsi="Roboto Light"/>
        <w:sz w:val="24"/>
        <w:szCs w:val="24"/>
        <w:lang w:val="en"/>
      </w:rPr>
    </w:rPrDefault>
    <w:pPrDefault>
      <w:pPr>
        <w:spacing w:after="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color w:val="17365d"/>
      <w:sz w:val="36"/>
      <w:szCs w:val="36"/>
    </w:rPr>
  </w:style>
  <w:style w:type="paragraph" w:styleId="Heading2">
    <w:name w:val="heading 2"/>
    <w:basedOn w:val="Normal"/>
    <w:next w:val="Normal"/>
    <w:pPr>
      <w:keepNext w:val="1"/>
      <w:keepLines w:val="1"/>
      <w:spacing w:after="240" w:before="240" w:line="240" w:lineRule="auto"/>
      <w:ind w:left="720" w:hanging="360"/>
      <w:jc w:val="left"/>
    </w:pPr>
    <w:rPr>
      <w:color w:val="3f8135"/>
      <w:sz w:val="28"/>
      <w:szCs w:val="28"/>
    </w:rPr>
  </w:style>
  <w:style w:type="paragraph" w:styleId="Heading3">
    <w:name w:val="heading 3"/>
    <w:basedOn w:val="Normal"/>
    <w:next w:val="Normal"/>
    <w:pPr>
      <w:keepNext w:val="1"/>
      <w:keepLines w:val="1"/>
      <w:spacing w:after="80" w:before="280" w:lineRule="auto"/>
    </w:pPr>
    <w:rPr>
      <w:rFonts w:ascii="Roboto" w:cs="Roboto" w:eastAsia="Roboto" w:hAnsi="Roboto"/>
      <w:color w:val="1f497d"/>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TableNormal1" w:customStyle="1">
    <w:name w:val="TableNormal"/>
    <w:tblPr>
      <w:tblCellMar>
        <w:top w:w="0.0" w:type="dxa"/>
        <w:left w:w="0.0" w:type="dxa"/>
        <w:bottom w:w="0.0" w:type="dxa"/>
        <w:right w:w="0.0" w:type="dxa"/>
      </w:tblCellMar>
    </w:tblPr>
  </w:style>
  <w:style w:type="table" w:styleId="TableNormal2" w:customStyle="1">
    <w:name w:val="TableNormal"/>
    <w:tblPr>
      <w:tblCellMar>
        <w:top w:w="0.0" w:type="dxa"/>
        <w:left w:w="0.0" w:type="dxa"/>
        <w:bottom w:w="0.0" w:type="dxa"/>
        <w:right w:w="0.0" w:type="dxa"/>
      </w:tblCellMar>
    </w:tblPr>
  </w:style>
  <w:style w:type="table" w:styleId="TableNormal3" w:customStyle="1">
    <w:name w:val="TableNormal"/>
    <w:tblPr>
      <w:tblCellMar>
        <w:top w:w="0.0" w:type="dxa"/>
        <w:left w:w="0.0" w:type="dxa"/>
        <w:bottom w:w="0.0" w:type="dxa"/>
        <w:right w:w="0.0" w:type="dxa"/>
      </w:tblCellMar>
    </w:tblPr>
  </w:style>
  <w:style w:type="table" w:styleId="TableNormal4" w:customStyle="1">
    <w:name w:val="TableNormal"/>
    <w:tblPr>
      <w:tblCellMar>
        <w:top w:w="0.0" w:type="dxa"/>
        <w:left w:w="0.0" w:type="dxa"/>
        <w:bottom w:w="0.0" w:type="dxa"/>
        <w:right w:w="0.0" w:type="dxa"/>
      </w:tblCellMar>
    </w:tblPr>
  </w:style>
  <w:style w:type="table" w:styleId="TableNormal5" w:customStyle="1">
    <w:name w:val="TableNormal"/>
    <w:tblPr>
      <w:tblCellMar>
        <w:top w:w="0.0" w:type="dxa"/>
        <w:left w:w="0.0" w:type="dxa"/>
        <w:bottom w:w="0.0" w:type="dxa"/>
        <w:right w:w="0.0" w:type="dxa"/>
      </w:tblCellMar>
    </w:tblPr>
  </w:style>
  <w:style w:type="table" w:styleId="TableNormal6" w:customStyle="1">
    <w:name w:val="TableNormal"/>
    <w:tblPr>
      <w:tblCellMar>
        <w:top w:w="0.0" w:type="dxa"/>
        <w:left w:w="0.0" w:type="dxa"/>
        <w:bottom w:w="0.0" w:type="dxa"/>
        <w:right w:w="0.0" w:type="dxa"/>
      </w:tblCellMar>
    </w:tblPr>
  </w:style>
  <w:style w:type="character" w:styleId="Heading1Char" w:customStyle="1">
    <w:name w:val="Heading 1 Char"/>
    <w:basedOn w:val="DefaultParagraphFont"/>
    <w:link w:val="Heading1"/>
    <w:uiPriority w:val="9"/>
    <w:rsid w:val="003A3794"/>
    <w:rPr>
      <w:rFonts w:ascii="Roboto Light" w:cs="Roboto Light" w:eastAsia="Roboto Light" w:hAnsi="Roboto Light"/>
      <w:color w:val="17365d"/>
      <w:sz w:val="36"/>
      <w:szCs w:val="36"/>
    </w:rPr>
  </w:style>
  <w:style w:type="paragraph" w:styleId="Footer">
    <w:name w:val="footer"/>
    <w:basedOn w:val="Normal"/>
    <w:link w:val="FooterChar"/>
    <w:uiPriority w:val="99"/>
    <w:unhideWhenUsed w:val="1"/>
    <w:rsid w:val="009B4785"/>
    <w:pPr>
      <w:tabs>
        <w:tab w:val="center" w:pos="4680"/>
        <w:tab w:val="right" w:pos="9360"/>
      </w:tabs>
    </w:pPr>
  </w:style>
  <w:style w:type="character" w:styleId="FooterChar" w:customStyle="1">
    <w:name w:val="Footer Char"/>
    <w:basedOn w:val="DefaultParagraphFont"/>
    <w:link w:val="Footer"/>
    <w:uiPriority w:val="99"/>
    <w:rsid w:val="009B4785"/>
    <w:rPr>
      <w:rFonts w:asciiTheme="minorHAnsi" w:cstheme="minorBidi" w:eastAsiaTheme="minorEastAsia" w:hAnsiTheme="minorHAnsi"/>
      <w:sz w:val="24"/>
      <w:szCs w:val="24"/>
    </w:rPr>
  </w:style>
  <w:style w:type="paragraph" w:styleId="ListParagraph">
    <w:name w:val="List Paragraph"/>
    <w:basedOn w:val="Normal"/>
    <w:uiPriority w:val="34"/>
    <w:qFormat w:val="1"/>
    <w:rsid w:val="009B4785"/>
    <w:pPr>
      <w:ind w:left="720"/>
      <w:contextualSpacing w:val="1"/>
    </w:pPr>
  </w:style>
  <w:style w:type="paragraph" w:styleId="TOC1">
    <w:name w:val="toc 1"/>
    <w:basedOn w:val="Normal"/>
    <w:next w:val="Normal"/>
    <w:autoRedefine w:val="1"/>
    <w:uiPriority w:val="39"/>
    <w:unhideWhenUsed w:val="1"/>
    <w:rsid w:val="00911D47"/>
    <w:pPr>
      <w:tabs>
        <w:tab w:val="right" w:pos="9350"/>
      </w:tabs>
      <w:spacing w:before="120"/>
    </w:pPr>
    <w:rPr>
      <w:b w:val="1"/>
      <w:bCs w:val="1"/>
      <w:caps w:val="1"/>
      <w:sz w:val="20"/>
      <w:szCs w:val="20"/>
    </w:rPr>
  </w:style>
  <w:style w:type="character" w:styleId="Hyperlink">
    <w:name w:val="Hyperlink"/>
    <w:basedOn w:val="DefaultParagraphFont"/>
    <w:uiPriority w:val="99"/>
    <w:unhideWhenUsed w:val="1"/>
    <w:rsid w:val="0042470B"/>
    <w:rPr>
      <w:color w:val="0000ff" w:themeColor="hyperlink"/>
      <w:u w:val="single"/>
    </w:rPr>
  </w:style>
  <w:style w:type="paragraph" w:styleId="TOCHeading">
    <w:name w:val="TOC Heading"/>
    <w:basedOn w:val="Heading1"/>
    <w:next w:val="Normal"/>
    <w:uiPriority w:val="39"/>
    <w:unhideWhenUsed w:val="1"/>
    <w:qFormat w:val="1"/>
    <w:rsid w:val="004D1E2B"/>
    <w:pPr>
      <w:spacing w:after="0" w:before="480"/>
      <w:outlineLvl w:val="9"/>
    </w:pPr>
    <w:rPr>
      <w:rFonts w:asciiTheme="majorHAnsi" w:cstheme="majorBidi" w:eastAsiaTheme="majorEastAsia" w:hAnsiTheme="majorHAnsi"/>
      <w:b w:val="1"/>
      <w:bCs w:val="1"/>
      <w:color w:val="365f91" w:themeColor="accent1" w:themeShade="0000BF"/>
      <w:sz w:val="28"/>
      <w:szCs w:val="28"/>
    </w:rPr>
  </w:style>
  <w:style w:type="paragraph" w:styleId="TOC2">
    <w:name w:val="toc 2"/>
    <w:basedOn w:val="Normal"/>
    <w:next w:val="Normal"/>
    <w:autoRedefine w:val="1"/>
    <w:uiPriority w:val="39"/>
    <w:unhideWhenUsed w:val="1"/>
    <w:rsid w:val="004D1E2B"/>
    <w:pPr>
      <w:ind w:left="240"/>
    </w:pPr>
    <w:rPr>
      <w:smallCaps w:val="1"/>
      <w:sz w:val="20"/>
      <w:szCs w:val="20"/>
    </w:rPr>
  </w:style>
  <w:style w:type="paragraph" w:styleId="TOC3">
    <w:name w:val="toc 3"/>
    <w:basedOn w:val="Normal"/>
    <w:next w:val="Normal"/>
    <w:autoRedefine w:val="1"/>
    <w:uiPriority w:val="39"/>
    <w:unhideWhenUsed w:val="1"/>
    <w:rsid w:val="004D1E2B"/>
    <w:pPr>
      <w:ind w:left="480"/>
    </w:pPr>
    <w:rPr>
      <w:i w:val="1"/>
      <w:iCs w:val="1"/>
      <w:sz w:val="20"/>
      <w:szCs w:val="20"/>
    </w:rPr>
  </w:style>
  <w:style w:type="paragraph" w:styleId="TOC4">
    <w:name w:val="toc 4"/>
    <w:basedOn w:val="Normal"/>
    <w:next w:val="Normal"/>
    <w:autoRedefine w:val="1"/>
    <w:uiPriority w:val="39"/>
    <w:semiHidden w:val="1"/>
    <w:unhideWhenUsed w:val="1"/>
    <w:rsid w:val="004D1E2B"/>
    <w:pPr>
      <w:ind w:left="720"/>
    </w:pPr>
    <w:rPr>
      <w:sz w:val="18"/>
      <w:szCs w:val="18"/>
    </w:rPr>
  </w:style>
  <w:style w:type="paragraph" w:styleId="TOC5">
    <w:name w:val="toc 5"/>
    <w:basedOn w:val="Normal"/>
    <w:next w:val="Normal"/>
    <w:autoRedefine w:val="1"/>
    <w:uiPriority w:val="39"/>
    <w:semiHidden w:val="1"/>
    <w:unhideWhenUsed w:val="1"/>
    <w:rsid w:val="004D1E2B"/>
    <w:pPr>
      <w:ind w:left="960"/>
    </w:pPr>
    <w:rPr>
      <w:sz w:val="18"/>
      <w:szCs w:val="18"/>
    </w:rPr>
  </w:style>
  <w:style w:type="paragraph" w:styleId="TOC6">
    <w:name w:val="toc 6"/>
    <w:basedOn w:val="Normal"/>
    <w:next w:val="Normal"/>
    <w:autoRedefine w:val="1"/>
    <w:uiPriority w:val="39"/>
    <w:semiHidden w:val="1"/>
    <w:unhideWhenUsed w:val="1"/>
    <w:rsid w:val="004D1E2B"/>
    <w:pPr>
      <w:ind w:left="1200"/>
    </w:pPr>
    <w:rPr>
      <w:sz w:val="18"/>
      <w:szCs w:val="18"/>
    </w:rPr>
  </w:style>
  <w:style w:type="paragraph" w:styleId="TOC7">
    <w:name w:val="toc 7"/>
    <w:basedOn w:val="Normal"/>
    <w:next w:val="Normal"/>
    <w:autoRedefine w:val="1"/>
    <w:uiPriority w:val="39"/>
    <w:semiHidden w:val="1"/>
    <w:unhideWhenUsed w:val="1"/>
    <w:rsid w:val="004D1E2B"/>
    <w:pPr>
      <w:ind w:left="1440"/>
    </w:pPr>
    <w:rPr>
      <w:sz w:val="18"/>
      <w:szCs w:val="18"/>
    </w:rPr>
  </w:style>
  <w:style w:type="paragraph" w:styleId="TOC8">
    <w:name w:val="toc 8"/>
    <w:basedOn w:val="Normal"/>
    <w:next w:val="Normal"/>
    <w:autoRedefine w:val="1"/>
    <w:uiPriority w:val="39"/>
    <w:semiHidden w:val="1"/>
    <w:unhideWhenUsed w:val="1"/>
    <w:rsid w:val="004D1E2B"/>
    <w:pPr>
      <w:ind w:left="1680"/>
    </w:pPr>
    <w:rPr>
      <w:sz w:val="18"/>
      <w:szCs w:val="18"/>
    </w:rPr>
  </w:style>
  <w:style w:type="paragraph" w:styleId="TOC9">
    <w:name w:val="toc 9"/>
    <w:basedOn w:val="Normal"/>
    <w:next w:val="Normal"/>
    <w:autoRedefine w:val="1"/>
    <w:uiPriority w:val="39"/>
    <w:semiHidden w:val="1"/>
    <w:unhideWhenUsed w:val="1"/>
    <w:rsid w:val="004D1E2B"/>
    <w:pPr>
      <w:ind w:left="1920"/>
    </w:pPr>
    <w:rPr>
      <w:sz w:val="18"/>
      <w:szCs w:val="18"/>
    </w:rPr>
  </w:style>
  <w:style w:type="character" w:styleId="Heading2Char" w:customStyle="1">
    <w:name w:val="Heading 2 Char"/>
    <w:basedOn w:val="DefaultParagraphFont"/>
    <w:link w:val="Heading2"/>
    <w:uiPriority w:val="9"/>
    <w:rsid w:val="00A74363"/>
    <w:rPr>
      <w:color w:val="3f8135"/>
      <w:sz w:val="28"/>
      <w:szCs w:val="26"/>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top w:w="15.0" w:type="dxa"/>
        <w:left w:w="15.0" w:type="dxa"/>
        <w:bottom w:w="15.0" w:type="dxa"/>
        <w:right w:w="15.0" w:type="dxa"/>
      </w:tblCellMar>
    </w:tblPr>
  </w:style>
  <w:style w:type="table" w:styleId="a1" w:customStyle="1">
    <w:basedOn w:val="TableNormal"/>
    <w:tblPr>
      <w:tblStyleRowBandSize w:val="1"/>
      <w:tblStyleColBandSize w:val="1"/>
      <w:tblCellMar>
        <w:top w:w="15.0" w:type="dxa"/>
        <w:left w:w="15.0" w:type="dxa"/>
        <w:bottom w:w="15.0" w:type="dxa"/>
        <w:right w:w="15.0" w:type="dxa"/>
      </w:tblCellMar>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TableGrid">
    <w:name w:val="Table Grid"/>
    <w:basedOn w:val="TableNormal"/>
    <w:uiPriority w:val="59"/>
    <w:rsid w:val="000A04B5"/>
    <w:rPr>
      <w:rFonts w:ascii="Arial" w:cs="Arial" w:eastAsia="Arial" w:hAnsi="Arial"/>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1" w:customStyle="1">
    <w:name w:val="Normal1"/>
    <w:rsid w:val="00BC1467"/>
    <w:rPr>
      <w:rFonts w:ascii="Arial" w:cs="Arial" w:eastAsia="Arial" w:hAnsi="Arial"/>
      <w:sz w:val="22"/>
      <w:szCs w:val="22"/>
    </w:rPr>
  </w:style>
  <w:style w:type="character" w:styleId="FootnoteReference">
    <w:name w:val="footnote reference"/>
    <w:basedOn w:val="DefaultParagraphFont"/>
    <w:uiPriority w:val="99"/>
    <w:semiHidden w:val="1"/>
    <w:unhideWhenUsed w:val="1"/>
    <w:rsid w:val="00A6515F"/>
    <w:rPr>
      <w:vertAlign w:val="superscript"/>
    </w:rPr>
  </w:style>
  <w:style w:type="paragraph" w:styleId="FootnoteText">
    <w:name w:val="footnote text"/>
    <w:basedOn w:val="Normal"/>
    <w:link w:val="FootnoteTextChar"/>
    <w:uiPriority w:val="99"/>
    <w:semiHidden w:val="1"/>
    <w:unhideWhenUsed w:val="1"/>
    <w:rsid w:val="00B33E50"/>
    <w:rPr>
      <w:sz w:val="20"/>
      <w:szCs w:val="20"/>
    </w:rPr>
  </w:style>
  <w:style w:type="character" w:styleId="FootnoteTextChar" w:customStyle="1">
    <w:name w:val="Footnote Text Char"/>
    <w:basedOn w:val="DefaultParagraphFont"/>
    <w:link w:val="FootnoteText"/>
    <w:uiPriority w:val="99"/>
    <w:semiHidden w:val="1"/>
    <w:rsid w:val="00B33E50"/>
    <w:rPr>
      <w:rFonts w:ascii="Times New Roman" w:cs="Times New Roman" w:eastAsia="Times New Roman" w:hAnsi="Times New Roman"/>
      <w:sz w:val="20"/>
      <w:szCs w:val="20"/>
    </w:rPr>
  </w:style>
  <w:style w:type="paragraph" w:styleId="NormalWeb">
    <w:name w:val="Normal (Web)"/>
    <w:basedOn w:val="Normal"/>
    <w:uiPriority w:val="99"/>
    <w:semiHidden w:val="1"/>
    <w:unhideWhenUsed w:val="1"/>
    <w:rsid w:val="00607D43"/>
    <w:pPr>
      <w:spacing w:after="100" w:afterAutospacing="1" w:before="100" w:beforeAutospacing="1"/>
    </w:pPr>
  </w:style>
  <w:style w:type="character" w:styleId="Strong">
    <w:name w:val="Strong"/>
    <w:basedOn w:val="DefaultParagraphFont"/>
    <w:uiPriority w:val="22"/>
    <w:qFormat w:val="1"/>
    <w:rsid w:val="00607D43"/>
    <w:rPr>
      <w:b w:val="1"/>
      <w:bCs w:val="1"/>
    </w:rPr>
  </w:style>
  <w:style w:type="paragraph" w:styleId="BodyText">
    <w:name w:val="Body Text"/>
    <w:basedOn w:val="Normal"/>
    <w:link w:val="BodyTextChar"/>
    <w:uiPriority w:val="99"/>
    <w:unhideWhenUsed w:val="1"/>
    <w:qFormat w:val="1"/>
    <w:rsid w:val="00BB5B70"/>
    <w:rPr>
      <w:rFonts w:ascii="Baskerville MT Pro" w:hAnsi="Baskerville MT Pro" w:cstheme="minorBidi" w:eastAsiaTheme="minorHAnsi"/>
    </w:rPr>
  </w:style>
  <w:style w:type="character" w:styleId="BodyTextChar" w:customStyle="1">
    <w:name w:val="Body Text Char"/>
    <w:basedOn w:val="DefaultParagraphFont"/>
    <w:link w:val="BodyText"/>
    <w:uiPriority w:val="99"/>
    <w:rsid w:val="00BB5B70"/>
    <w:rPr>
      <w:rFonts w:ascii="Baskerville MT Pro" w:hAnsi="Baskerville MT Pro" w:cstheme="minorBidi" w:eastAsiaTheme="minorHAnsi"/>
    </w:rPr>
  </w:style>
  <w:style w:type="table" w:styleId="a3" w:customStyle="1">
    <w:basedOn w:val="TableNormal"/>
    <w:rPr>
      <w:rFonts w:ascii="Arial" w:cs="Arial" w:eastAsia="Arial" w:hAnsi="Arial"/>
      <w:sz w:val="22"/>
      <w:szCs w:val="22"/>
    </w:rPr>
    <w:tblPr>
      <w:tblStyleRowBandSize w:val="1"/>
      <w:tblStyleColBandSize w:val="1"/>
    </w:tbl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paragraph" w:styleId="Revision">
    <w:name w:val="Revision"/>
    <w:hidden w:val="1"/>
    <w:uiPriority w:val="99"/>
    <w:semiHidden w:val="1"/>
    <w:rsid w:val="00124142"/>
    <w:pPr>
      <w:spacing w:after="0" w:line="240" w:lineRule="auto"/>
      <w:jc w:val="left"/>
    </w:p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jpg"/><Relationship Id="rId22" Type="http://schemas.openxmlformats.org/officeDocument/2006/relationships/image" Target="media/image1.jpg"/><Relationship Id="rId21" Type="http://schemas.openxmlformats.org/officeDocument/2006/relationships/image" Target="media/image11.png"/><Relationship Id="rId24" Type="http://schemas.openxmlformats.org/officeDocument/2006/relationships/image" Target="media/image16.jp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14.png"/><Relationship Id="rId25" Type="http://schemas.openxmlformats.org/officeDocument/2006/relationships/image" Target="media/image13.jpg"/><Relationship Id="rId28" Type="http://schemas.openxmlformats.org/officeDocument/2006/relationships/image" Target="media/image19.jpg"/><Relationship Id="rId27"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8.jpg"/><Relationship Id="rId7" Type="http://schemas.openxmlformats.org/officeDocument/2006/relationships/image" Target="media/image4.png"/><Relationship Id="rId8" Type="http://schemas.openxmlformats.org/officeDocument/2006/relationships/image" Target="media/image6.png"/><Relationship Id="rId31" Type="http://schemas.openxmlformats.org/officeDocument/2006/relationships/image" Target="media/image22.png"/><Relationship Id="rId30" Type="http://schemas.openxmlformats.org/officeDocument/2006/relationships/image" Target="media/image21.jpg"/><Relationship Id="rId11" Type="http://schemas.openxmlformats.org/officeDocument/2006/relationships/image" Target="media/image26.png"/><Relationship Id="rId33" Type="http://schemas.openxmlformats.org/officeDocument/2006/relationships/header" Target="header2.xml"/><Relationship Id="rId10" Type="http://schemas.openxmlformats.org/officeDocument/2006/relationships/image" Target="media/image27.jpg"/><Relationship Id="rId32" Type="http://schemas.openxmlformats.org/officeDocument/2006/relationships/header" Target="header1.xml"/><Relationship Id="rId13" Type="http://schemas.openxmlformats.org/officeDocument/2006/relationships/image" Target="media/image25.jpg"/><Relationship Id="rId35" Type="http://schemas.openxmlformats.org/officeDocument/2006/relationships/footer" Target="footer1.xml"/><Relationship Id="rId12" Type="http://schemas.openxmlformats.org/officeDocument/2006/relationships/image" Target="media/image17.png"/><Relationship Id="rId34" Type="http://schemas.openxmlformats.org/officeDocument/2006/relationships/header" Target="header3.xml"/><Relationship Id="rId15" Type="http://schemas.openxmlformats.org/officeDocument/2006/relationships/image" Target="media/image23.png"/><Relationship Id="rId14" Type="http://schemas.openxmlformats.org/officeDocument/2006/relationships/image" Target="media/image18.jpg"/><Relationship Id="rId36" Type="http://schemas.openxmlformats.org/officeDocument/2006/relationships/footer" Target="footer2.xml"/><Relationship Id="rId17" Type="http://schemas.openxmlformats.org/officeDocument/2006/relationships/image" Target="media/image3.jpg"/><Relationship Id="rId16" Type="http://schemas.openxmlformats.org/officeDocument/2006/relationships/image" Target="media/image20.png"/><Relationship Id="rId19" Type="http://schemas.openxmlformats.org/officeDocument/2006/relationships/image" Target="media/image5.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Light-regular.ttf"/><Relationship Id="rId6" Type="http://schemas.openxmlformats.org/officeDocument/2006/relationships/font" Target="fonts/RobotoLight-bold.ttf"/><Relationship Id="rId7" Type="http://schemas.openxmlformats.org/officeDocument/2006/relationships/font" Target="fonts/RobotoLight-italic.ttf"/><Relationship Id="rId8" Type="http://schemas.openxmlformats.org/officeDocument/2006/relationships/font" Target="fonts/RobotoLight-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xcpHtH3nYmhzzJU5y++9Tooz+Q==">CgMxLjAyDmguZno4ajg4ZnZ5ZXVkMg5oLmIzeXRraHJwb3g5MjIOaC53dWt1MDBsZGZmaWYyDmgubzFoNnJvaDlnZndmMg5oLmdwZXMyNW93dnNhaDIOaC5hems3bTNjZ3Jsb2MyDmgubzE5dGp4N2RuMDZyMg5oLmd5NGJqMHlwbWs4ZTIOaC51MTRyNHA3ZGxkangyDmguY2RhMno1OXF1N2Y5Mg5oLjU4aXdpMnM0NW1oczIOaC42amJrdGdtYTdhZjcyDmguNmlwamplZjU2M3YwMg5oLnRseTdxbG9zc2w0NTIOaC5oODc1eXlxOTBzbTIyDmgudmQ5bXBycm5xN20xOAByITFmOEd0M0VTM0hnM2s1VlRHN3lHVjRoNFoyMEgyTFRV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2025-09-17T00:44:00Z</dcterms:created>
  <dc:creator>Bryan Mulcahey</dc:creator>
</cp:coreProperties>
</file>