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b518cff0bda4e16ae7e29f7e5d2d82223214d2"/>
    <w:p>
      <w:pPr>
        <w:pStyle w:val="Heading1"/>
      </w:pPr>
      <w:r>
        <w:t xml:space="preserve">Prompt: consistency and entity review of the MJM Secondary Term Sheet</w:t>
      </w:r>
    </w:p>
    <w:p>
      <w:pPr>
        <w:pStyle w:val="FirstParagraph"/>
      </w:pPr>
      <w:r>
        <w:t xml:space="preserve">Attached are (1) the current draft</w:t>
      </w:r>
      <w:r>
        <w:t xml:space="preserve"> </w:t>
      </w:r>
      <w:r>
        <w:t xml:space="preserve">“</w:t>
      </w:r>
      <w:r>
        <w:t xml:space="preserve">MJM – Secondary Term Sheet</w:t>
      </w:r>
      <w:r>
        <w:t xml:space="preserve">”</w:t>
      </w:r>
      <w:r>
        <w:t xml:space="preserve"> </w:t>
      </w:r>
      <w:r>
        <w:t xml:space="preserve">(v20261027_2310) and (2) the MJM group structure chart. The term sheet is a deliberately simplified, illustrative, non‑binding term sheet for a secondary purchase by Corsair European Insurance Services L.P. (</w:t>
      </w:r>
      <w:r>
        <w:t xml:space="preserve">“</w:t>
      </w:r>
      <w:r>
        <w:t xml:space="preserve">CEIS</w:t>
      </w:r>
      <w:r>
        <w:t xml:space="preserve">”</w:t>
      </w:r>
      <w:r>
        <w:t xml:space="preserve">) of Effinity’s shares in Denali Pooling I SCA. Please review it and report back. Do not redraft the document or add new commercial terms; this is a consistency and accuracy review only.</w:t>
      </w:r>
    </w:p>
    <w:bookmarkStart w:id="20" w:name="entity-check-against-the-structure-chart"/>
    <w:p>
      <w:pPr>
        <w:pStyle w:val="Heading2"/>
      </w:pPr>
      <w:r>
        <w:t xml:space="preserve">1. Entity check against the structure chart</w:t>
      </w:r>
    </w:p>
    <w:p>
      <w:pPr>
        <w:pStyle w:val="FirstParagraph"/>
      </w:pPr>
      <w:r>
        <w:t xml:space="preserve">The structure chart (Project Denali,</w:t>
      </w:r>
      <w:r>
        <w:t xml:space="preserve"> </w:t>
      </w:r>
      <w:r>
        <w:t xml:space="preserve">“</w:t>
      </w:r>
      <w:r>
        <w:t xml:space="preserve">Transaction Structure</w:t>
      </w:r>
      <w:r>
        <w:t xml:space="preserve">”</w:t>
      </w:r>
      <w:r>
        <w:t xml:space="preserve">, dated 28 April 2026,</w:t>
      </w:r>
      <w:r>
        <w:t xml:space="preserve"> </w:t>
      </w:r>
      <w:r>
        <w:t xml:space="preserve">“</w:t>
      </w:r>
      <w:r>
        <w:t xml:space="preserve">with Hermes</w:t>
      </w:r>
      <w:r>
        <w:t xml:space="preserve">”</w:t>
      </w:r>
      <w:r>
        <w:t xml:space="preserve"> </w:t>
      </w:r>
      <w:r>
        <w:t xml:space="preserve">version) shows the following chain. Use it as the reference and tell me where the term sheet departs from it:</w:t>
      </w:r>
    </w:p>
    <w:p>
      <w:pPr>
        <w:numPr>
          <w:ilvl w:val="0"/>
          <w:numId w:val="1001"/>
        </w:numPr>
        <w:pStyle w:val="Compact"/>
      </w:pPr>
      <w:r>
        <w:t xml:space="preserve">Corsair European Insurance Services LP (Cayman) is the 79.0% LP of Denali EIS SCSp (Luxembourg); Federated Hermes GPE Horizon III Holdings LP and Hermes GPE PEC V Non-US LP are the 21.0% LP. Denali GP SARL is GP of Denali EIS.</w:t>
      </w:r>
    </w:p>
    <w:p>
      <w:pPr>
        <w:numPr>
          <w:ilvl w:val="0"/>
          <w:numId w:val="1001"/>
        </w:numPr>
        <w:pStyle w:val="Compact"/>
      </w:pPr>
      <w:r>
        <w:t xml:space="preserve">Denali Holdings I SARL (Luxembourg) is held: Denali EIS SCSp 47.3%, Denali Pooling I SCA (Luxembourg) 27.5%, Management Institutional Strip Shares 25.1%, Denali Management Holdings SCSp 0.1%.</w:t>
      </w:r>
    </w:p>
    <w:p>
      <w:pPr>
        <w:numPr>
          <w:ilvl w:val="0"/>
          <w:numId w:val="1001"/>
        </w:numPr>
        <w:pStyle w:val="Compact"/>
      </w:pPr>
      <w:r>
        <w:t xml:space="preserve">Denali Holdings I SARL → Denali Holdings II SARL → Denali Holdings III SARL → Qualefortill Investments Sp. z o.o. (Poland) → MJM Holdings Sp. z o.o., each at 100%.</w:t>
      </w:r>
    </w:p>
    <w:p>
      <w:pPr>
        <w:numPr>
          <w:ilvl w:val="0"/>
          <w:numId w:val="1001"/>
        </w:numPr>
        <w:pStyle w:val="Compact"/>
      </w:pPr>
      <w:r>
        <w:t xml:space="preserve">The chart does not show who holds Denali Pooling I SCA, and Effinity does not appear anywhere on it.</w:t>
      </w:r>
    </w:p>
    <w:p>
      <w:pPr>
        <w:pStyle w:val="FirstParagraph"/>
      </w:pPr>
      <w:r>
        <w:t xml:space="preserve">For every entity named in the term sheet, confirm the legal name, legal form, jurisdiction and position in the chain against the chart, and list any discrepancy with the exact text to change. Specifically:</w:t>
      </w:r>
    </w:p>
    <w:p>
      <w:pPr>
        <w:numPr>
          <w:ilvl w:val="0"/>
          <w:numId w:val="1002"/>
        </w:numPr>
        <w:pStyle w:val="Compact"/>
      </w:pPr>
      <w:r>
        <w:rPr>
          <w:bCs/>
          <w:b/>
        </w:rPr>
        <w:t xml:space="preserve">Buyer:</w:t>
      </w:r>
      <w:r>
        <w:t xml:space="preserve"> </w:t>
      </w:r>
      <w:r>
        <w:t xml:space="preserve">the term sheet names</w:t>
      </w:r>
      <w:r>
        <w:t xml:space="preserve"> </w:t>
      </w:r>
      <w:r>
        <w:t xml:space="preserve">“</w:t>
      </w:r>
      <w:r>
        <w:t xml:space="preserve">Corsair European Insurance Services L.P.</w:t>
      </w:r>
      <w:r>
        <w:t xml:space="preserve">”</w:t>
      </w:r>
      <w:r>
        <w:t xml:space="preserve"> </w:t>
      </w:r>
      <w:r>
        <w:t xml:space="preserve">as buyer and describes CEIS as</w:t>
      </w:r>
      <w:r>
        <w:t xml:space="preserve"> </w:t>
      </w:r>
      <w:r>
        <w:t xml:space="preserve">“</w:t>
      </w:r>
      <w:r>
        <w:t xml:space="preserve">an existing indirect shareholder of the Company</w:t>
      </w:r>
      <w:r>
        <w:t xml:space="preserve">”</w:t>
      </w:r>
      <w:r>
        <w:t xml:space="preserve">. Per the chart CEIS holds only through Denali EIS SCSp and is not a shareholder of Denali Pooling. Confirm (a) whether CEIS is intended to buy the Denali Pooling shares directly, creating a new direct holding alongside Denali Pooling’s other shareholders, or whether Denali EIS SCSp (in which Hermes has a 21% interest) should be the buyer; (b) that the Cayman LP name and form are correct (</w:t>
      </w:r>
      <w:r>
        <w:t xml:space="preserve">“</w:t>
      </w:r>
      <w:r>
        <w:t xml:space="preserve">LP</w:t>
      </w:r>
      <w:r>
        <w:t xml:space="preserve">”</w:t>
      </w:r>
      <w:r>
        <w:t xml:space="preserve"> </w:t>
      </w:r>
      <w:r>
        <w:t xml:space="preserve">on the chart,</w:t>
      </w:r>
      <w:r>
        <w:t xml:space="preserve"> </w:t>
      </w:r>
      <w:r>
        <w:t xml:space="preserve">“</w:t>
      </w:r>
      <w:r>
        <w:t xml:space="preserve">L.P.</w:t>
      </w:r>
      <w:r>
        <w:t xml:space="preserve">”</w:t>
      </w:r>
      <w:r>
        <w:t xml:space="preserve"> </w:t>
      </w:r>
      <w:r>
        <w:t xml:space="preserve">in the term sheet); and (c) that</w:t>
      </w:r>
      <w:r>
        <w:t xml:space="preserve"> </w:t>
      </w:r>
      <w:r>
        <w:t xml:space="preserve">“</w:t>
      </w:r>
      <w:r>
        <w:t xml:space="preserve">(together with its affiliates,</w:t>
      </w:r>
      <w:r>
        <w:t xml:space="preserve">”</w:t>
      </w:r>
      <w:r>
        <w:t xml:space="preserve">CEIS”)” is the right defined-term approach given CEIS is a Cayman fund vehicle rather than an operating company.</w:t>
      </w:r>
    </w:p>
    <w:p>
      <w:pPr>
        <w:numPr>
          <w:ilvl w:val="0"/>
          <w:numId w:val="1002"/>
        </w:numPr>
        <w:pStyle w:val="Compact"/>
      </w:pPr>
      <w:r>
        <w:rPr>
          <w:bCs/>
          <w:b/>
        </w:rPr>
        <w:t xml:space="preserve">Seller:</w:t>
      </w:r>
      <w:r>
        <w:t xml:space="preserve"> </w:t>
      </w:r>
      <w:r>
        <w:t xml:space="preserve">“</w:t>
      </w:r>
      <w:r>
        <w:t xml:space="preserve">Efinity Insurance Group Spółka Ackyjna</w:t>
      </w:r>
      <w:r>
        <w:t xml:space="preserve">”</w:t>
      </w:r>
      <w:r>
        <w:t xml:space="preserve">. Effinity is not on the chart, so the review cannot verify it against the chart; instead check the spelling of the entity name (one f or two) and of the legal form (</w:t>
      </w:r>
      <w:r>
        <w:t xml:space="preserve">“</w:t>
      </w:r>
      <w:r>
        <w:t xml:space="preserve">Spółka Akcyjna</w:t>
      </w:r>
      <w:r>
        <w:t xml:space="preserve">”</w:t>
      </w:r>
      <w:r>
        <w:t xml:space="preserve"> </w:t>
      </w:r>
      <w:r>
        <w:t xml:space="preserve">/</w:t>
      </w:r>
      <w:r>
        <w:t xml:space="preserve"> </w:t>
      </w:r>
      <w:r>
        <w:t xml:space="preserve">“</w:t>
      </w:r>
      <w:r>
        <w:t xml:space="preserve">S.A.</w:t>
      </w:r>
      <w:r>
        <w:t xml:space="preserve">”</w:t>
      </w:r>
      <w:r>
        <w:t xml:space="preserve">), and make the defined term</w:t>
      </w:r>
      <w:r>
        <w:t xml:space="preserve"> </w:t>
      </w:r>
      <w:r>
        <w:t xml:space="preserve">“</w:t>
      </w:r>
      <w:r>
        <w:t xml:space="preserve">Effinity</w:t>
      </w:r>
      <w:r>
        <w:t xml:space="preserve">”</w:t>
      </w:r>
      <w:r>
        <w:t xml:space="preserve"> </w:t>
      </w:r>
      <w:r>
        <w:t xml:space="preserve">and the signature block consistent with the correct legal name. Note that the chart should be updated to show the Denali Pooling shareholders if it is to be relied on.</w:t>
      </w:r>
    </w:p>
    <w:p>
      <w:pPr>
        <w:numPr>
          <w:ilvl w:val="0"/>
          <w:numId w:val="1002"/>
        </w:numPr>
        <w:pStyle w:val="Compact"/>
      </w:pPr>
      <w:r>
        <w:rPr>
          <w:bCs/>
          <w:b/>
        </w:rPr>
        <w:t xml:space="preserve">Entity whose shares are sold:</w:t>
      </w:r>
      <w:r>
        <w:t xml:space="preserve"> </w:t>
      </w:r>
      <w:r>
        <w:t xml:space="preserve">“</w:t>
      </w:r>
      <w:r>
        <w:t xml:space="preserve">Denali Pooling I SCA</w:t>
      </w:r>
      <w:r>
        <w:t xml:space="preserve">”</w:t>
      </w:r>
      <w:r>
        <w:t xml:space="preserve"> </w:t>
      </w:r>
      <w:r>
        <w:t xml:space="preserve">(</w:t>
      </w:r>
      <w:r>
        <w:t xml:space="preserve">“</w:t>
      </w:r>
      <w:r>
        <w:t xml:space="preserve">Denali Pooling</w:t>
      </w:r>
      <w:r>
        <w:t xml:space="preserve">”</w:t>
      </w:r>
      <w:r>
        <w:t xml:space="preserve">). Confirm this matches the chart (it does on name and form) and that Effinity’s shares sit here rather than at Denali Holdings I.</w:t>
      </w:r>
    </w:p>
    <w:p>
      <w:pPr>
        <w:numPr>
          <w:ilvl w:val="0"/>
          <w:numId w:val="1002"/>
        </w:numPr>
        <w:pStyle w:val="Compact"/>
      </w:pPr>
      <w:r>
        <w:rPr>
          <w:bCs/>
          <w:b/>
        </w:rPr>
        <w:t xml:space="preserve">Denali I:</w:t>
      </w:r>
      <w:r>
        <w:t xml:space="preserve"> </w:t>
      </w:r>
      <w:r>
        <w:t xml:space="preserve">the term sheet uses</w:t>
      </w:r>
      <w:r>
        <w:t xml:space="preserve"> </w:t>
      </w:r>
      <w:r>
        <w:t xml:space="preserve">“</w:t>
      </w:r>
      <w:r>
        <w:t xml:space="preserve">Denali Holding I S.a.r.L</w:t>
      </w:r>
      <w:r>
        <w:t xml:space="preserve">”</w:t>
      </w:r>
      <w:r>
        <w:t xml:space="preserve"> </w:t>
      </w:r>
      <w:r>
        <w:t xml:space="preserve">and the SHA is called the</w:t>
      </w:r>
      <w:r>
        <w:t xml:space="preserve"> </w:t>
      </w:r>
      <w:r>
        <w:t xml:space="preserve">“</w:t>
      </w:r>
      <w:r>
        <w:t xml:space="preserve">Denali Holding I Shareholders Agreement</w:t>
      </w:r>
      <w:r>
        <w:t xml:space="preserve">”</w:t>
      </w:r>
      <w:r>
        <w:t xml:space="preserve">. The chart uses</w:t>
      </w:r>
      <w:r>
        <w:t xml:space="preserve"> </w:t>
      </w:r>
      <w:r>
        <w:t xml:space="preserve">“</w:t>
      </w:r>
      <w:r>
        <w:t xml:space="preserve">Denali Holdings I SARL</w:t>
      </w:r>
      <w:r>
        <w:t xml:space="preserve">”</w:t>
      </w:r>
      <w:r>
        <w:t xml:space="preserve"> </w:t>
      </w:r>
      <w:r>
        <w:t xml:space="preserve">(plural). Confirm the correct legal name from the Luxembourg register and align the entity name, the SHA title and the form (</w:t>
      </w:r>
      <w:r>
        <w:t xml:space="preserve">“</w:t>
      </w:r>
      <w:r>
        <w:t xml:space="preserve">S.à r.l.</w:t>
      </w:r>
      <w:r>
        <w:t xml:space="preserve">”</w:t>
      </w:r>
      <w:r>
        <w:t xml:space="preserve"> </w:t>
      </w:r>
      <w:r>
        <w:t xml:space="preserve">/</w:t>
      </w:r>
      <w:r>
        <w:t xml:space="preserve"> </w:t>
      </w:r>
      <w:r>
        <w:t xml:space="preserve">“</w:t>
      </w:r>
      <w:r>
        <w:t xml:space="preserve">SARL</w:t>
      </w:r>
      <w:r>
        <w:t xml:space="preserve">”</w:t>
      </w:r>
      <w:r>
        <w:t xml:space="preserve">) throughout.</w:t>
      </w:r>
    </w:p>
    <w:p>
      <w:pPr>
        <w:numPr>
          <w:ilvl w:val="0"/>
          <w:numId w:val="1002"/>
        </w:numPr>
        <w:pStyle w:val="Compact"/>
      </w:pPr>
      <w:r>
        <w:rPr>
          <w:bCs/>
          <w:b/>
        </w:rPr>
        <w:t xml:space="preserve">MJM:</w:t>
      </w:r>
      <w:r>
        <w:t xml:space="preserve"> </w:t>
      </w:r>
      <w:r>
        <w:t xml:space="preserve">“</w:t>
      </w:r>
      <w:r>
        <w:t xml:space="preserve">MJM Holdings</w:t>
      </w:r>
      <w:r>
        <w:t xml:space="preserve">”</w:t>
      </w:r>
      <w:r>
        <w:t xml:space="preserve"> </w:t>
      </w:r>
      <w:r>
        <w:t xml:space="preserve">in the term sheet versus</w:t>
      </w:r>
      <w:r>
        <w:t xml:space="preserve"> </w:t>
      </w:r>
      <w:r>
        <w:t xml:space="preserve">“</w:t>
      </w:r>
      <w:r>
        <w:t xml:space="preserve">MJM Holdings Sp. z o.o.</w:t>
      </w:r>
      <w:r>
        <w:t xml:space="preserve">”</w:t>
      </w:r>
      <w:r>
        <w:t xml:space="preserve"> </w:t>
      </w:r>
      <w:r>
        <w:t xml:space="preserve">on the chart. Confirm whether the full form should be used on first reference. Confirm</w:t>
      </w:r>
      <w:r>
        <w:t xml:space="preserve"> </w:t>
      </w:r>
      <w:r>
        <w:t xml:space="preserve">“</w:t>
      </w:r>
      <w:r>
        <w:t xml:space="preserve">indirect holding company</w:t>
      </w:r>
      <w:r>
        <w:t xml:space="preserve">”</w:t>
      </w:r>
      <w:r>
        <w:t xml:space="preserve"> </w:t>
      </w:r>
      <w:r>
        <w:t xml:space="preserve">is accurate: per the chart Denali I sits four levels above MJM Holdings (via Denali Holdings II, Denali Holdings III and Qualefortill Investments), so the description is correct but check whether Qualefortill or the intermediate holdcos need to be mentioned anywhere (for example in the net debt deduction, since the debt and hedge sit at Denali Holdings III and Qualefortill).</w:t>
      </w:r>
    </w:p>
    <w:p>
      <w:pPr>
        <w:numPr>
          <w:ilvl w:val="0"/>
          <w:numId w:val="1002"/>
        </w:numPr>
        <w:pStyle w:val="Compact"/>
      </w:pPr>
      <w:r>
        <w:rPr>
          <w:bCs/>
          <w:b/>
        </w:rPr>
        <w:t xml:space="preserve">Hermes:</w:t>
      </w:r>
      <w:r>
        <w:t xml:space="preserve"> </w:t>
      </w:r>
      <w:r>
        <w:t xml:space="preserve">Hermes is not named in the term sheet. Confirm that is deliberate, and flag whether Hermes’ 21% interest in Denali EIS gives it any consent, pre-emption or tag right over a transfer of Denali Pooling shares under the SHA or the Denali EIS documents that the Conditions to Completion should mention.</w:t>
      </w:r>
    </w:p>
    <w:p>
      <w:pPr>
        <w:pStyle w:val="FirstParagraph"/>
      </w:pPr>
      <w:r>
        <w:t xml:space="preserve">Produce a short table: entity as drafted | entity per structure chart | action.</w:t>
      </w:r>
    </w:p>
    <w:bookmarkEnd w:id="20"/>
    <w:bookmarkStart w:id="21" w:name="denali-pooling-vs-denali-i-consistency"/>
    <w:p>
      <w:pPr>
        <w:pStyle w:val="Heading2"/>
      </w:pPr>
      <w:r>
        <w:t xml:space="preserve">2. Denali Pooling vs Denali I consistency</w:t>
      </w:r>
    </w:p>
    <w:p>
      <w:pPr>
        <w:pStyle w:val="FirstParagraph"/>
      </w:pPr>
      <w:r>
        <w:t xml:space="preserve">The term sheet moves between Denali Pooling and Denali I. Check every reference and flag where the wrong entity is used. Points to test:</w:t>
      </w:r>
    </w:p>
    <w:p>
      <w:pPr>
        <w:numPr>
          <w:ilvl w:val="0"/>
          <w:numId w:val="1003"/>
        </w:numPr>
        <w:pStyle w:val="Compact"/>
      </w:pPr>
      <w:r>
        <w:t xml:space="preserve">The opening paragraph says the Sale Shares are shares in Denali Pooling, but the Transaction Overview says CEIS acquires the Sale Shares</w:t>
      </w:r>
      <w:r>
        <w:t xml:space="preserve"> </w:t>
      </w:r>
      <w:r>
        <w:t xml:space="preserve">“</w:t>
      </w:r>
      <w:r>
        <w:t xml:space="preserve">in Denali I</w:t>
      </w:r>
      <w:r>
        <w:t xml:space="preserve">”</w:t>
      </w:r>
      <w:r>
        <w:t xml:space="preserve">. These should agree.</w:t>
      </w:r>
    </w:p>
    <w:p>
      <w:pPr>
        <w:numPr>
          <w:ilvl w:val="0"/>
          <w:numId w:val="1003"/>
        </w:numPr>
        <w:pStyle w:val="Compact"/>
      </w:pPr>
      <w:r>
        <w:t xml:space="preserve">The Sale Shares section correctly refers to Denali Pooling for the share classes and the 23.9% / 25.2% figures, and to Denali I for the 6.6% / 6.3% look‑through figures. Confirm the share classes (Strip Ordinary and A–H Preference Shares) actually exist at Denali Pooling level per the chart, or whether they mirror Denali I classes.</w:t>
      </w:r>
    </w:p>
    <w:p>
      <w:pPr>
        <w:numPr>
          <w:ilvl w:val="0"/>
          <w:numId w:val="1003"/>
        </w:numPr>
        <w:pStyle w:val="Compact"/>
      </w:pPr>
      <w:r>
        <w:t xml:space="preserve">Transaction Overview:</w:t>
      </w:r>
      <w:r>
        <w:t xml:space="preserve"> </w:t>
      </w:r>
      <w:r>
        <w:t xml:space="preserve">“</w:t>
      </w:r>
      <w:r>
        <w:t xml:space="preserve">No new shares will be issued by Denali I or the Company</w:t>
      </w:r>
      <w:r>
        <w:t xml:space="preserve">”</w:t>
      </w:r>
      <w:r>
        <w:t xml:space="preserve"> </w:t>
      </w:r>
      <w:r>
        <w:t xml:space="preserve">should also cover Denali Pooling.</w:t>
      </w:r>
    </w:p>
    <w:p>
      <w:pPr>
        <w:numPr>
          <w:ilvl w:val="0"/>
          <w:numId w:val="1003"/>
        </w:numPr>
        <w:pStyle w:val="Compact"/>
      </w:pPr>
      <w:r>
        <w:t xml:space="preserve">Conditions to Completion refers to consents under</w:t>
      </w:r>
      <w:r>
        <w:t xml:space="preserve"> </w:t>
      </w:r>
      <w:r>
        <w:t xml:space="preserve">“</w:t>
      </w:r>
      <w:r>
        <w:t xml:space="preserve">the SHA and the Denali I constitutional documents</w:t>
      </w:r>
      <w:r>
        <w:t xml:space="preserve">”</w:t>
      </w:r>
      <w:r>
        <w:t xml:space="preserve">, whereas the transfer takes place at Denali Pooling. Confirm which constitutional documents and which shareholder agreement govern transfers of Denali Pooling shares, and whether the Denali Holding I SHA dated 28 March 2024 actually applies at Denali Pooling level or a separate Denali Pooling agreement is relevant.</w:t>
      </w:r>
    </w:p>
    <w:p>
      <w:pPr>
        <w:numPr>
          <w:ilvl w:val="0"/>
          <w:numId w:val="1003"/>
        </w:numPr>
        <w:pStyle w:val="Compact"/>
      </w:pPr>
      <w:r>
        <w:t xml:space="preserve">Rights Attaching to the Sale Shares, Warranties and Documentation refer to Denali Pooling. Confirm consistent.</w:t>
      </w:r>
    </w:p>
    <w:p>
      <w:pPr>
        <w:numPr>
          <w:ilvl w:val="0"/>
          <w:numId w:val="1003"/>
        </w:numPr>
        <w:pStyle w:val="Compact"/>
      </w:pPr>
      <w:r>
        <w:t xml:space="preserve">Valuation: the Purchase Price is derived from the SHA waterfall at Denali I. Confirm that applying the Denali I waterfall and then looking through to Denali Pooling is the right mechanic, and flag if a Denali Pooling‑level waterfall or pooling arrangement should be referenced instead.</w:t>
      </w:r>
    </w:p>
    <w:bookmarkEnd w:id="21"/>
    <w:bookmarkStart w:id="22" w:name="X8a0799fa45639e31754bf4fda03ebdf700c3cdd"/>
    <w:p>
      <w:pPr>
        <w:pStyle w:val="Heading2"/>
      </w:pPr>
      <w:r>
        <w:t xml:space="preserve">3. Internal consistency of defined terms and figures</w:t>
      </w:r>
    </w:p>
    <w:p>
      <w:pPr>
        <w:numPr>
          <w:ilvl w:val="0"/>
          <w:numId w:val="1004"/>
        </w:numPr>
        <w:pStyle w:val="Compact"/>
      </w:pPr>
      <w:r>
        <w:t xml:space="preserve">Defined terms: check each defined term is defined once, before first use, and used consistently (CEIS, Effinity/Seller, Denali Pooling, Denali I, MJM/Company, Proposed Transaction, SHA, Sale Shares, Agreed Valuation, FY26A Adjusted EBITDA, Reference Date, Purchase Price). Flag any term used but not defined (for example</w:t>
      </w:r>
      <w:r>
        <w:t xml:space="preserve"> </w:t>
      </w:r>
      <w:r>
        <w:t xml:space="preserve">“</w:t>
      </w:r>
      <w:r>
        <w:t xml:space="preserve">Exit</w:t>
      </w:r>
      <w:r>
        <w:t xml:space="preserve">”</w:t>
      </w:r>
      <w:r>
        <w:t xml:space="preserve">,</w:t>
      </w:r>
      <w:r>
        <w:t xml:space="preserve"> </w:t>
      </w:r>
      <w:r>
        <w:t xml:space="preserve">“</w:t>
      </w:r>
      <w:r>
        <w:t xml:space="preserve">Business Days</w:t>
      </w:r>
      <w:r>
        <w:t xml:space="preserve">”</w:t>
      </w:r>
      <w:r>
        <w:t xml:space="preserve">,</w:t>
      </w:r>
      <w:r>
        <w:t xml:space="preserve"> </w:t>
      </w:r>
      <w:r>
        <w:t xml:space="preserve">“</w:t>
      </w:r>
      <w:r>
        <w:t xml:space="preserve">Preference Shares</w:t>
      </w:r>
      <w:r>
        <w:t xml:space="preserve">”</w:t>
      </w:r>
      <w:r>
        <w:t xml:space="preserve">,</w:t>
      </w:r>
      <w:r>
        <w:t xml:space="preserve"> </w:t>
      </w:r>
      <w:r>
        <w:t xml:space="preserve">“</w:t>
      </w:r>
      <w:r>
        <w:t xml:space="preserve">Ordinary Shares</w:t>
      </w:r>
      <w:r>
        <w:t xml:space="preserve">”</w:t>
      </w:r>
      <w:r>
        <w:t xml:space="preserve">,</w:t>
      </w:r>
      <w:r>
        <w:t xml:space="preserve"> </w:t>
      </w:r>
      <w:r>
        <w:t xml:space="preserve">“</w:t>
      </w:r>
      <w:r>
        <w:t xml:space="preserve">Strip Ordinary Shares</w:t>
      </w:r>
      <w:r>
        <w:t xml:space="preserve">”</w:t>
      </w:r>
      <w:r>
        <w:t xml:space="preserve">) and say whether it is defined by reference to the SHA.</w:t>
      </w:r>
    </w:p>
    <w:p>
      <w:pPr>
        <w:numPr>
          <w:ilvl w:val="0"/>
          <w:numId w:val="1004"/>
        </w:numPr>
        <w:pStyle w:val="Compact"/>
      </w:pPr>
      <w:r>
        <w:t xml:space="preserve">“</w:t>
      </w:r>
      <w:r>
        <w:t xml:space="preserve">Reference Date</w:t>
      </w:r>
      <w:r>
        <w:t xml:space="preserve">”</w:t>
      </w:r>
      <w:r>
        <w:t xml:space="preserve"> </w:t>
      </w:r>
      <w:r>
        <w:t xml:space="preserve">is defined as the financial year ending 31 December 2026 rather than a date. Flag and suggest the precise wording.</w:t>
      </w:r>
    </w:p>
    <w:p>
      <w:pPr>
        <w:numPr>
          <w:ilvl w:val="0"/>
          <w:numId w:val="1004"/>
        </w:numPr>
        <w:pStyle w:val="Compact"/>
      </w:pPr>
      <w:r>
        <w:t xml:space="preserve">“</w:t>
      </w:r>
      <w:r>
        <w:t xml:space="preserve">FY26A Adjusted EBITDA</w:t>
      </w:r>
      <w:r>
        <w:t xml:space="preserve">”</w:t>
      </w:r>
      <w:r>
        <w:t xml:space="preserve"> </w:t>
      </w:r>
      <w:r>
        <w:t xml:space="preserve">is defined by reference to</w:t>
      </w:r>
      <w:r>
        <w:t xml:space="preserve"> </w:t>
      </w:r>
      <w:r>
        <w:t xml:space="preserve">“</w:t>
      </w:r>
      <w:r>
        <w:t xml:space="preserve">FY26 management accounts</w:t>
      </w:r>
      <w:r>
        <w:t xml:space="preserve">”</w:t>
      </w:r>
      <w:r>
        <w:t xml:space="preserve">, but the Valuation section and Timing refer to</w:t>
      </w:r>
      <w:r>
        <w:t xml:space="preserve"> </w:t>
      </w:r>
      <w:r>
        <w:t xml:space="preserve">“</w:t>
      </w:r>
      <w:r>
        <w:t xml:space="preserve">FY26A financial statements</w:t>
      </w:r>
      <w:r>
        <w:t xml:space="preserve">”</w:t>
      </w:r>
      <w:r>
        <w:t xml:space="preserve">. Confirm which document is intended and align.</w:t>
      </w:r>
    </w:p>
    <w:p>
      <w:pPr>
        <w:numPr>
          <w:ilvl w:val="0"/>
          <w:numId w:val="1004"/>
        </w:numPr>
        <w:pStyle w:val="Compact"/>
      </w:pPr>
      <w:r>
        <w:t xml:space="preserve">Share counts and percentages: confirm the nine line items sum correctly to Effinity’s holding. Then test the look‑through arithmetic against the chart: Denali Pooling holds 27.5% of Denali Holdings I, so 23.9% of Denali Pooling’s Preference Shares implies roughly 6.6% of Denali I on a look‑through basis, which agrees with the term sheet, but 25.2% of Denali Pooling’s Ordinary Shares implies roughly 6.9%, not the 6.3% stated. Explain the difference (for example Denali Pooling holding a different proportion of Ordinary and Preference Shares in Denali I than the single 27.5% on the chart) or correct the figure.</w:t>
      </w:r>
    </w:p>
    <w:p>
      <w:pPr>
        <w:numPr>
          <w:ilvl w:val="0"/>
          <w:numId w:val="1004"/>
        </w:numPr>
        <w:pStyle w:val="Compact"/>
      </w:pPr>
      <w:r>
        <w:t xml:space="preserve">The Sale Shares section says</w:t>
      </w:r>
      <w:r>
        <w:t xml:space="preserve"> </w:t>
      </w:r>
      <w:r>
        <w:t xml:space="preserve">“</w:t>
      </w:r>
      <w:r>
        <w:t xml:space="preserve">approximately 25.2% of the Ordinary Shares in issue in Denali Pooling</w:t>
      </w:r>
      <w:r>
        <w:t xml:space="preserve">”</w:t>
      </w:r>
      <w:r>
        <w:t xml:space="preserve"> </w:t>
      </w:r>
      <w:r>
        <w:t xml:space="preserve">but the look‑through line says</w:t>
      </w:r>
      <w:r>
        <w:t xml:space="preserve"> </w:t>
      </w:r>
      <w:r>
        <w:t xml:space="preserve">“</w:t>
      </w:r>
      <w:r>
        <w:t xml:space="preserve">Strip Ordinary Shares in issue in Denali I</w:t>
      </w:r>
      <w:r>
        <w:t xml:space="preserve">”</w:t>
      </w:r>
      <w:r>
        <w:t xml:space="preserve">. Confirm whether</w:t>
      </w:r>
      <w:r>
        <w:t xml:space="preserve"> </w:t>
      </w:r>
      <w:r>
        <w:t xml:space="preserve">“</w:t>
      </w:r>
      <w:r>
        <w:t xml:space="preserve">Ordinary</w:t>
      </w:r>
      <w:r>
        <w:t xml:space="preserve">”</w:t>
      </w:r>
      <w:r>
        <w:t xml:space="preserve"> </w:t>
      </w:r>
      <w:r>
        <w:t xml:space="preserve">and</w:t>
      </w:r>
      <w:r>
        <w:t xml:space="preserve"> </w:t>
      </w:r>
      <w:r>
        <w:t xml:space="preserve">“</w:t>
      </w:r>
      <w:r>
        <w:t xml:space="preserve">Strip Ordinary</w:t>
      </w:r>
      <w:r>
        <w:t xml:space="preserve">”</w:t>
      </w:r>
      <w:r>
        <w:t xml:space="preserve"> </w:t>
      </w:r>
      <w:r>
        <w:t xml:space="preserve">are the same class and use one term.</w:t>
      </w:r>
    </w:p>
    <w:p>
      <w:pPr>
        <w:numPr>
          <w:ilvl w:val="0"/>
          <w:numId w:val="1004"/>
        </w:numPr>
        <w:pStyle w:val="Compact"/>
      </w:pPr>
      <w:r>
        <w:t xml:space="preserve">Multiple: 12.5x FY26A Adjusted EBITDA is used once only. Confirm no residual reference to 14.0x, PLN 1.11bn or FY26E remains.</w:t>
      </w:r>
    </w:p>
    <w:p>
      <w:pPr>
        <w:numPr>
          <w:ilvl w:val="0"/>
          <w:numId w:val="1004"/>
        </w:numPr>
        <w:pStyle w:val="Compact"/>
      </w:pPr>
      <w:r>
        <w:t xml:space="preserve">Currency: Purchase Price is in PLN with a note to discuss PLN/EUR/USD. Confirm no other currency references conflict.</w:t>
      </w:r>
    </w:p>
    <w:bookmarkEnd w:id="22"/>
    <w:bookmarkStart w:id="23" w:name="crosssection-consistency"/>
    <w:p>
      <w:pPr>
        <w:pStyle w:val="Heading2"/>
      </w:pPr>
      <w:r>
        <w:t xml:space="preserve">4. Cross‑section consistency</w:t>
      </w:r>
    </w:p>
    <w:p>
      <w:pPr>
        <w:numPr>
          <w:ilvl w:val="0"/>
          <w:numId w:val="1005"/>
        </w:numPr>
        <w:pStyle w:val="Compact"/>
      </w:pPr>
      <w:r>
        <w:t xml:space="preserve">Timing refers to</w:t>
      </w:r>
      <w:r>
        <w:t xml:space="preserve"> </w:t>
      </w:r>
      <w:r>
        <w:t xml:space="preserve">“</w:t>
      </w:r>
      <w:r>
        <w:t xml:space="preserve">completion of any regulatory notifications</w:t>
      </w:r>
      <w:r>
        <w:t xml:space="preserve">”</w:t>
      </w:r>
      <w:r>
        <w:t xml:space="preserve">, but Conditions to Completion contains no regulatory condition. Either add a regulatory condition or remove the reference in Timing. Flag which.</w:t>
      </w:r>
    </w:p>
    <w:p>
      <w:pPr>
        <w:numPr>
          <w:ilvl w:val="0"/>
          <w:numId w:val="1005"/>
        </w:numPr>
        <w:pStyle w:val="Compact"/>
      </w:pPr>
      <w:r>
        <w:t xml:space="preserve">Timing says the SPA is signed within 10 Business Days of delivery of FY26A financial statements and completion targeted for Q1 2027; Exclusivity runs to [31 March 2027]. Confirm these dates are coherent and that exclusivity covers the expected completion date.</w:t>
      </w:r>
    </w:p>
    <w:p>
      <w:pPr>
        <w:numPr>
          <w:ilvl w:val="0"/>
          <w:numId w:val="1005"/>
        </w:numPr>
        <w:pStyle w:val="Compact"/>
      </w:pPr>
      <w:r>
        <w:t xml:space="preserve">The introductory paragraph lists</w:t>
      </w:r>
      <w:r>
        <w:t xml:space="preserve"> </w:t>
      </w:r>
      <w:r>
        <w:t xml:space="preserve">“</w:t>
      </w:r>
      <w:r>
        <w:t xml:space="preserve">Confidentiality</w:t>
      </w:r>
      <w:r>
        <w:t xml:space="preserve">”</w:t>
      </w:r>
      <w:r>
        <w:t xml:space="preserve">,</w:t>
      </w:r>
      <w:r>
        <w:t xml:space="preserve"> </w:t>
      </w:r>
      <w:r>
        <w:t xml:space="preserve">“</w:t>
      </w:r>
      <w:r>
        <w:t xml:space="preserve">Exclusivity</w:t>
      </w:r>
      <w:r>
        <w:t xml:space="preserve">”</w:t>
      </w:r>
      <w:r>
        <w:t xml:space="preserve"> </w:t>
      </w:r>
      <w:r>
        <w:t xml:space="preserve">and</w:t>
      </w:r>
      <w:r>
        <w:t xml:space="preserve"> </w:t>
      </w:r>
      <w:r>
        <w:t xml:space="preserve">“</w:t>
      </w:r>
      <w:r>
        <w:t xml:space="preserve">Governing Law</w:t>
      </w:r>
      <w:r>
        <w:t xml:space="preserve">”</w:t>
      </w:r>
      <w:r>
        <w:t xml:space="preserve"> </w:t>
      </w:r>
      <w:r>
        <w:t xml:space="preserve">as binding. Confirm each of those three sections states it is legally binding and that no other section does.</w:t>
      </w:r>
    </w:p>
    <w:p>
      <w:pPr>
        <w:numPr>
          <w:ilvl w:val="0"/>
          <w:numId w:val="1005"/>
        </w:numPr>
        <w:pStyle w:val="Compact"/>
      </w:pPr>
      <w:r>
        <w:t xml:space="preserve">Confidentiality refers to consent of</w:t>
      </w:r>
      <w:r>
        <w:t xml:space="preserve"> </w:t>
      </w:r>
      <w:r>
        <w:t xml:space="preserve">“</w:t>
      </w:r>
      <w:r>
        <w:t xml:space="preserve">the other party</w:t>
      </w:r>
      <w:r>
        <w:t xml:space="preserve">”</w:t>
      </w:r>
      <w:r>
        <w:t xml:space="preserve"> </w:t>
      </w:r>
      <w:r>
        <w:t xml:space="preserve">(singular); confirm consistent with a two‑party document and the signature page.</w:t>
      </w:r>
    </w:p>
    <w:p>
      <w:pPr>
        <w:numPr>
          <w:ilvl w:val="0"/>
          <w:numId w:val="1005"/>
        </w:numPr>
        <w:pStyle w:val="Compact"/>
      </w:pPr>
      <w:r>
        <w:t xml:space="preserve">Signature page: confirm the two signature blocks match the parties in the opening paragraph exactly, and that the Corsair block and the Effinity block use the same format (the Corsair block uses a</w:t>
      </w:r>
      <w:r>
        <w:t xml:space="preserve"> </w:t>
      </w:r>
      <w:r>
        <w:t xml:space="preserve">“</w:t>
      </w:r>
      <w:r>
        <w:t xml:space="preserve">By / Name</w:t>
      </w:r>
      <w:r>
        <w:t xml:space="preserve">”</w:t>
      </w:r>
      <w:r>
        <w:t xml:space="preserve"> </w:t>
      </w:r>
      <w:r>
        <w:t xml:space="preserve">table while the Effinity block uses a dotted line).</w:t>
      </w:r>
    </w:p>
    <w:p>
      <w:pPr>
        <w:numPr>
          <w:ilvl w:val="0"/>
          <w:numId w:val="1005"/>
        </w:numPr>
        <w:pStyle w:val="Compact"/>
      </w:pPr>
      <w:r>
        <w:t xml:space="preserve">Costs: transfer taxes borne</w:t>
      </w:r>
      <w:r>
        <w:t xml:space="preserve"> </w:t>
      </w:r>
      <w:r>
        <w:t xml:space="preserve">“</w:t>
      </w:r>
      <w:r>
        <w:t xml:space="preserve">in equal shares</w:t>
      </w:r>
      <w:r>
        <w:t xml:space="preserve">”</w:t>
      </w:r>
      <w:r>
        <w:t xml:space="preserve"> </w:t>
      </w:r>
      <w:r>
        <w:t xml:space="preserve">and no counsel named. Confirm this is intended for the illustrative draft and that nothing elsewhere assumes CEIS bears costs.</w:t>
      </w:r>
    </w:p>
    <w:bookmarkEnd w:id="23"/>
    <w:bookmarkStart w:id="24" w:name="typographical-and-drafting-cleanup"/>
    <w:p>
      <w:pPr>
        <w:pStyle w:val="Heading2"/>
      </w:pPr>
      <w:r>
        <w:t xml:space="preserve">5. Typographical and drafting clean‑up</w:t>
      </w:r>
    </w:p>
    <w:p>
      <w:pPr>
        <w:pStyle w:val="FirstParagraph"/>
      </w:pPr>
      <w:r>
        <w:t xml:space="preserve">List spelling, capitalisation and punctuation points only (for example</w:t>
      </w:r>
      <w:r>
        <w:t xml:space="preserve"> </w:t>
      </w:r>
      <w:r>
        <w:t xml:space="preserve">“</w:t>
      </w:r>
      <w:r>
        <w:t xml:space="preserve">Ackyjna</w:t>
      </w:r>
      <w:r>
        <w:t xml:space="preserve">”</w:t>
      </w:r>
      <w:r>
        <w:t xml:space="preserve">,</w:t>
      </w:r>
      <w:r>
        <w:t xml:space="preserve"> </w:t>
      </w:r>
      <w:r>
        <w:t xml:space="preserve">“</w:t>
      </w:r>
      <w:r>
        <w:t xml:space="preserve">S.a.r.L</w:t>
      </w:r>
      <w:r>
        <w:t xml:space="preserve">”</w:t>
      </w:r>
      <w:r>
        <w:t xml:space="preserve">, double spaces, inconsistent trailing full stops in bullets,</w:t>
      </w:r>
      <w:r>
        <w:t xml:space="preserve"> </w:t>
      </w:r>
      <w:r>
        <w:t xml:space="preserve">“</w:t>
      </w:r>
      <w:r>
        <w:t xml:space="preserve">look through</w:t>
      </w:r>
      <w:r>
        <w:t xml:space="preserve">”</w:t>
      </w:r>
      <w:r>
        <w:t xml:space="preserve"> </w:t>
      </w:r>
      <w:r>
        <w:t xml:space="preserve">vs</w:t>
      </w:r>
      <w:r>
        <w:t xml:space="preserve"> </w:t>
      </w:r>
      <w:r>
        <w:t xml:space="preserve">“</w:t>
      </w:r>
      <w:r>
        <w:t xml:space="preserve">look‑through</w:t>
      </w:r>
      <w:r>
        <w:t xml:space="preserve">”</w:t>
      </w:r>
      <w:r>
        <w:t xml:space="preserve">). Do not restyle.</w:t>
      </w:r>
    </w:p>
    <w:bookmarkEnd w:id="24"/>
    <w:bookmarkStart w:id="25" w:name="output"/>
    <w:p>
      <w:pPr>
        <w:pStyle w:val="Heading2"/>
      </w:pPr>
      <w:r>
        <w:t xml:space="preserve">6. Output</w:t>
      </w:r>
    </w:p>
    <w:p>
      <w:pPr>
        <w:pStyle w:val="FirstParagraph"/>
      </w:pPr>
      <w:r>
        <w:t xml:space="preserve">Return:</w:t>
      </w:r>
    </w:p>
    <w:p>
      <w:pPr>
        <w:numPr>
          <w:ilvl w:val="0"/>
          <w:numId w:val="1006"/>
        </w:numPr>
        <w:pStyle w:val="Compact"/>
      </w:pPr>
      <w:r>
        <w:t xml:space="preserve">A table of entity discrepancies (section 1).</w:t>
      </w:r>
    </w:p>
    <w:p>
      <w:pPr>
        <w:numPr>
          <w:ilvl w:val="0"/>
          <w:numId w:val="1006"/>
        </w:numPr>
        <w:pStyle w:val="Compact"/>
      </w:pPr>
      <w:r>
        <w:t xml:space="preserve">A numbered list of consistency issues, each with the section name, the text as drafted, the proposed replacement text, and a priority (must fix / should fix / optional).</w:t>
      </w:r>
    </w:p>
    <w:p>
      <w:pPr>
        <w:numPr>
          <w:ilvl w:val="0"/>
          <w:numId w:val="1006"/>
        </w:numPr>
        <w:pStyle w:val="Compact"/>
      </w:pPr>
      <w:r>
        <w:t xml:space="preserve">A one‑paragraph conclusion stating whether the term sheet, once the must‑fix items are made, is internally consistent and correctly reflects the structure chart.</w:t>
      </w:r>
    </w:p>
    <w:p>
      <w:pPr>
        <w:pStyle w:val="FirstParagraph"/>
      </w:pPr>
      <w:r>
        <w:t xml:space="preserve">Keep bracketed placeholders as they are. Do not add commercial terms, warranties, conditions or mechanics that are not already in the draft, and do not reinstate anything from the earlier primary‑investment version.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2026-10-27T23:14:07Z</dcterms:created>
  <dcterms:modified xsi:type="dcterms:W3CDTF">2026-10-27T23:14:07Z</dcterms:modified>
</cp:coreProperties>
</file>

<file path=docProps/custom.xml><?xml version="1.0" encoding="utf-8"?>
<Properties xmlns="http://schemas.openxmlformats.org/officeDocument/2006/custom-properties" xmlns:vt="http://schemas.openxmlformats.org/officeDocument/2006/docPropsVTypes"/>
</file>