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ead76150c8ef774cc872e44e8546f72d91c1c4e"/>
    <w:p>
      <w:pPr>
        <w:pStyle w:val="Heading1"/>
      </w:pPr>
      <w:r>
        <w:t xml:space="preserve">Prompt: recut MJM term sheet as a secondary purchase of Effinity’s shares by Corsair VI</w:t>
      </w:r>
    </w:p>
    <w:p>
      <w:pPr>
        <w:pStyle w:val="FirstParagraph"/>
      </w:pPr>
      <w:r>
        <w:t xml:space="preserve">Attached is the current draft</w:t>
      </w:r>
      <w:r>
        <w:t xml:space="preserve"> </w:t>
      </w:r>
      <w:r>
        <w:t xml:space="preserve">“</w:t>
      </w:r>
      <w:r>
        <w:t xml:space="preserve">MJM – Secondary Term Sheet</w:t>
      </w:r>
      <w:r>
        <w:t xml:space="preserve">”</w:t>
      </w:r>
      <w:r>
        <w:t xml:space="preserve"> </w:t>
      </w:r>
      <w:r>
        <w:t xml:space="preserve">(v20261027). As drafted it is a</w:t>
      </w:r>
      <w:r>
        <w:t xml:space="preserve"> </w:t>
      </w:r>
      <w:r>
        <w:rPr>
          <w:bCs/>
          <w:b/>
        </w:rPr>
        <w:t xml:space="preserve">primary follow‑on equity investment</w:t>
      </w:r>
      <w:r>
        <w:t xml:space="preserve"> </w:t>
      </w:r>
      <w:r>
        <w:t xml:space="preserve">of $16m by Corsair VI and Hermes into Denali Holding I (via Denali EIS) to part‑fund the Maximus acquisition. Please recut it as a</w:t>
      </w:r>
      <w:r>
        <w:t xml:space="preserve"> </w:t>
      </w:r>
      <w:r>
        <w:rPr>
          <w:bCs/>
          <w:b/>
        </w:rPr>
        <w:t xml:space="preserve">non‑binding term sheet for a secondary purchase by Corsair VI of the shares in Denali Holding I currently held by Effinity</w:t>
      </w:r>
      <w:r>
        <w:t xml:space="preserve">. No new shares are issued and no money goes to the Company. Keep the existing format (intro paragraphs, two‑column</w:t>
      </w:r>
      <w:r>
        <w:t xml:space="preserve"> </w:t>
      </w:r>
      <w:r>
        <w:t xml:space="preserve">“</w:t>
      </w:r>
      <w:r>
        <w:t xml:space="preserve">Matter / Key Terms</w:t>
      </w:r>
      <w:r>
        <w:t xml:space="preserve">”</w:t>
      </w:r>
      <w:r>
        <w:t xml:space="preserve"> </w:t>
      </w:r>
      <w:r>
        <w:t xml:space="preserve">table, signature page) and house style, but rewrite every section so nothing from the primary structure survives unless it is still relevant.</w:t>
      </w:r>
    </w:p>
    <w:bookmarkStart w:id="20" w:name="parties-and-framing"/>
    <w:p>
      <w:pPr>
        <w:pStyle w:val="Heading2"/>
      </w:pPr>
      <w:r>
        <w:t xml:space="preserve">1. Parties and framing</w:t>
      </w:r>
    </w:p>
    <w:p>
      <w:pPr>
        <w:numPr>
          <w:ilvl w:val="0"/>
          <w:numId w:val="1001"/>
        </w:numPr>
        <w:pStyle w:val="Compact"/>
      </w:pPr>
      <w:r>
        <w:rPr>
          <w:bCs/>
          <w:b/>
        </w:rPr>
        <w:t xml:space="preserve">Buyer:</w:t>
      </w:r>
      <w:r>
        <w:t xml:space="preserve"> </w:t>
      </w:r>
      <w:r>
        <w:t xml:space="preserve">Corsair VI FS Capital Partners, L.P. (together with its affiliates,</w:t>
      </w:r>
      <w:r>
        <w:t xml:space="preserve"> </w:t>
      </w:r>
      <w:r>
        <w:t xml:space="preserve">“</w:t>
      </w:r>
      <w:r>
        <w:t xml:space="preserve">Corsair VI</w:t>
      </w:r>
      <w:r>
        <w:t xml:space="preserve">”</w:t>
      </w:r>
      <w:r>
        <w:t xml:space="preserve">). Note in brackets whether Corsair VI acquires directly or through Denali EIS SCSp [Corsair to confirm acquisition vehicle].</w:t>
      </w:r>
    </w:p>
    <w:p>
      <w:pPr>
        <w:numPr>
          <w:ilvl w:val="0"/>
          <w:numId w:val="1001"/>
        </w:numPr>
        <w:pStyle w:val="Compact"/>
      </w:pPr>
      <w:r>
        <w:rPr>
          <w:bCs/>
          <w:b/>
        </w:rPr>
        <w:t xml:space="preserve">Seller:</w:t>
      </w:r>
      <w:r>
        <w:t xml:space="preserve"> </w:t>
      </w:r>
      <w:r>
        <w:t xml:space="preserve">Effinity [insert full legal entity name] (</w:t>
      </w:r>
      <w:r>
        <w:t xml:space="preserve">“</w:t>
      </w:r>
      <w:r>
        <w:t xml:space="preserve">Effinity</w:t>
      </w:r>
      <w:r>
        <w:t xml:space="preserve">”</w:t>
      </w:r>
      <w:r>
        <w:t xml:space="preserve"> </w:t>
      </w:r>
      <w:r>
        <w:t xml:space="preserve">or the</w:t>
      </w:r>
      <w:r>
        <w:t xml:space="preserve"> </w:t>
      </w:r>
      <w:r>
        <w:t xml:space="preserve">“</w:t>
      </w:r>
      <w:r>
        <w:t xml:space="preserve">Seller</w:t>
      </w:r>
      <w:r>
        <w:t xml:space="preserve">”</w:t>
      </w:r>
      <w:r>
        <w:t xml:space="preserve">).</w:t>
      </w:r>
    </w:p>
    <w:p>
      <w:pPr>
        <w:numPr>
          <w:ilvl w:val="0"/>
          <w:numId w:val="1001"/>
        </w:numPr>
        <w:pStyle w:val="Compact"/>
      </w:pPr>
      <w:r>
        <w:rPr>
          <w:bCs/>
          <w:b/>
        </w:rPr>
        <w:t xml:space="preserve">Hermes drops out</w:t>
      </w:r>
      <w:r>
        <w:t xml:space="preserve"> </w:t>
      </w:r>
      <w:r>
        <w:t xml:space="preserve">as a party and as an investor. Remove all Hermes vehicles, funding splits, drawdown notice language and the</w:t>
      </w:r>
      <w:r>
        <w:t xml:space="preserve"> </w:t>
      </w:r>
      <w:r>
        <w:t xml:space="preserve">“</w:t>
      </w:r>
      <w:r>
        <w:t xml:space="preserve">[Note: Hermes to confirm the split]</w:t>
      </w:r>
      <w:r>
        <w:t xml:space="preserve">”</w:t>
      </w:r>
      <w:r>
        <w:t xml:space="preserve"> </w:t>
      </w:r>
      <w:r>
        <w:t xml:space="preserve">bracket.</w:t>
      </w:r>
    </w:p>
    <w:p>
      <w:pPr>
        <w:numPr>
          <w:ilvl w:val="0"/>
          <w:numId w:val="1001"/>
        </w:numPr>
        <w:pStyle w:val="Compact"/>
      </w:pPr>
      <w:r>
        <w:t xml:space="preserve">Rewrite the opening paragraph: this describes the main non‑binding terms of a proposed acquisition by Corsair VI of the Sale Shares (defined below) from Effinity (the</w:t>
      </w:r>
      <w:r>
        <w:t xml:space="preserve"> </w:t>
      </w:r>
      <w:r>
        <w:t xml:space="preserve">“</w:t>
      </w:r>
      <w:r>
        <w:t xml:space="preserve">Proposed Transaction</w:t>
      </w:r>
      <w:r>
        <w:t xml:space="preserve">”</w:t>
      </w:r>
      <w:r>
        <w:t xml:space="preserve">). Delete the Maximus acquisition framing entirely.</w:t>
      </w:r>
    </w:p>
    <w:p>
      <w:pPr>
        <w:numPr>
          <w:ilvl w:val="0"/>
          <w:numId w:val="1001"/>
        </w:numPr>
        <w:pStyle w:val="Compact"/>
      </w:pPr>
      <w:r>
        <w:t xml:space="preserve">Keep the second paragraph (non‑binding except Confidentiality and Governing Law; subject to definitive documentation) and the SHA definition (Denali Holding I Shareholders Agreement).</w:t>
      </w:r>
    </w:p>
    <w:bookmarkEnd w:id="20"/>
    <w:bookmarkStart w:id="21" w:name="sale-shares"/>
    <w:p>
      <w:pPr>
        <w:pStyle w:val="Heading2"/>
      </w:pPr>
      <w:r>
        <w:t xml:space="preserve">2. Sale Shares</w:t>
      </w:r>
    </w:p>
    <w:p>
      <w:pPr>
        <w:pStyle w:val="FirstParagraph"/>
      </w:pPr>
      <w:r>
        <w:t xml:space="preserve">Replace</w:t>
      </w:r>
      <w:r>
        <w:t xml:space="preserve"> </w:t>
      </w:r>
      <w:r>
        <w:t xml:space="preserve">“</w:t>
      </w:r>
      <w:r>
        <w:t xml:space="preserve">Investment Structure</w:t>
      </w:r>
      <w:r>
        <w:t xml:space="preserve">”</w:t>
      </w:r>
      <w:r>
        <w:t xml:space="preserve"> </w:t>
      </w:r>
      <w:r>
        <w:t xml:space="preserve">with a</w:t>
      </w:r>
      <w:r>
        <w:t xml:space="preserve"> </w:t>
      </w:r>
      <w:r>
        <w:rPr>
          <w:bCs/>
          <w:b/>
        </w:rPr>
        <w:t xml:space="preserve">“</w:t>
      </w:r>
      <w:r>
        <w:rPr>
          <w:bCs/>
          <w:b/>
        </w:rPr>
        <w:t xml:space="preserve">Sale Shares</w:t>
      </w:r>
      <w:r>
        <w:rPr>
          <w:bCs/>
          <w:b/>
        </w:rPr>
        <w:t xml:space="preserve">”</w:t>
      </w:r>
      <w:r>
        <w:t xml:space="preserve"> </w:t>
      </w:r>
      <w:r>
        <w:t xml:space="preserve">section listing exactly: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Number</w:t>
            </w:r>
          </w:p>
        </w:tc>
      </w:tr>
      <w:tr>
        <w:tc>
          <w:tcPr/>
          <w:p>
            <w:pPr>
              <w:pStyle w:val="Compact"/>
              <w:jc w:val="left"/>
            </w:pPr>
            <w:r>
              <w:t xml:space="preserve">Strip Ordinary Shares</w:t>
            </w:r>
          </w:p>
        </w:tc>
        <w:tc>
          <w:tcPr/>
          <w:p>
            <w:pPr>
              <w:pStyle w:val="Compact"/>
              <w:jc w:val="left"/>
            </w:pPr>
            <w:r>
              <w:t xml:space="preserve">618,501</w:t>
            </w:r>
          </w:p>
        </w:tc>
      </w:tr>
      <w:tr>
        <w:tc>
          <w:tcPr/>
          <w:p>
            <w:pPr>
              <w:pStyle w:val="Compact"/>
              <w:jc w:val="left"/>
            </w:pPr>
            <w:r>
              <w:t xml:space="preserve">A Preference Shares</w:t>
            </w:r>
          </w:p>
        </w:tc>
        <w:tc>
          <w:tcPr/>
          <w:p>
            <w:pPr>
              <w:pStyle w:val="Compact"/>
              <w:jc w:val="left"/>
            </w:pPr>
            <w:r>
              <w:t xml:space="preserve">10,646,385</w:t>
            </w:r>
          </w:p>
        </w:tc>
      </w:tr>
      <w:tr>
        <w:tc>
          <w:tcPr/>
          <w:p>
            <w:pPr>
              <w:pStyle w:val="Compact"/>
              <w:jc w:val="left"/>
            </w:pPr>
            <w:r>
              <w:t xml:space="preserve">B Preference Shares</w:t>
            </w:r>
          </w:p>
        </w:tc>
        <w:tc>
          <w:tcPr/>
          <w:p>
            <w:pPr>
              <w:pStyle w:val="Compact"/>
              <w:jc w:val="left"/>
            </w:pPr>
            <w:r>
              <w:t xml:space="preserve">10,646,386</w:t>
            </w:r>
          </w:p>
        </w:tc>
      </w:tr>
      <w:tr>
        <w:tc>
          <w:tcPr/>
          <w:p>
            <w:pPr>
              <w:pStyle w:val="Compact"/>
              <w:jc w:val="left"/>
            </w:pPr>
            <w:r>
              <w:t xml:space="preserve">C Preference Shares</w:t>
            </w:r>
          </w:p>
        </w:tc>
        <w:tc>
          <w:tcPr/>
          <w:p>
            <w:pPr>
              <w:pStyle w:val="Compact"/>
              <w:jc w:val="left"/>
            </w:pPr>
            <w:r>
              <w:t xml:space="preserve">10,646,386</w:t>
            </w:r>
          </w:p>
        </w:tc>
      </w:tr>
      <w:tr>
        <w:tc>
          <w:tcPr/>
          <w:p>
            <w:pPr>
              <w:pStyle w:val="Compact"/>
              <w:jc w:val="left"/>
            </w:pPr>
            <w:r>
              <w:t xml:space="preserve">D Preference Shares</w:t>
            </w:r>
          </w:p>
        </w:tc>
        <w:tc>
          <w:tcPr/>
          <w:p>
            <w:pPr>
              <w:pStyle w:val="Compact"/>
              <w:jc w:val="left"/>
            </w:pPr>
            <w:r>
              <w:t xml:space="preserve">10,646,386</w:t>
            </w:r>
          </w:p>
        </w:tc>
      </w:tr>
      <w:tr>
        <w:tc>
          <w:tcPr/>
          <w:p>
            <w:pPr>
              <w:pStyle w:val="Compact"/>
              <w:jc w:val="left"/>
            </w:pPr>
            <w:r>
              <w:t xml:space="preserve">E Preference Shares</w:t>
            </w:r>
          </w:p>
        </w:tc>
        <w:tc>
          <w:tcPr/>
          <w:p>
            <w:pPr>
              <w:pStyle w:val="Compact"/>
              <w:jc w:val="left"/>
            </w:pPr>
            <w:r>
              <w:t xml:space="preserve">10,646,385</w:t>
            </w:r>
          </w:p>
        </w:tc>
      </w:tr>
      <w:tr>
        <w:tc>
          <w:tcPr/>
          <w:p>
            <w:pPr>
              <w:pStyle w:val="Compact"/>
              <w:jc w:val="left"/>
            </w:pPr>
            <w:r>
              <w:t xml:space="preserve">F Preference Shares</w:t>
            </w:r>
          </w:p>
        </w:tc>
        <w:tc>
          <w:tcPr/>
          <w:p>
            <w:pPr>
              <w:pStyle w:val="Compact"/>
              <w:jc w:val="left"/>
            </w:pPr>
            <w:r>
              <w:t xml:space="preserve">10,646,385</w:t>
            </w:r>
          </w:p>
        </w:tc>
      </w:tr>
      <w:tr>
        <w:tc>
          <w:tcPr/>
          <w:p>
            <w:pPr>
              <w:pStyle w:val="Compact"/>
              <w:jc w:val="left"/>
            </w:pPr>
            <w:r>
              <w:t xml:space="preserve">G Preference Shares</w:t>
            </w:r>
          </w:p>
        </w:tc>
        <w:tc>
          <w:tcPr/>
          <w:p>
            <w:pPr>
              <w:pStyle w:val="Compact"/>
              <w:jc w:val="left"/>
            </w:pPr>
            <w:r>
              <w:t xml:space="preserve">10,646,385</w:t>
            </w:r>
          </w:p>
        </w:tc>
      </w:tr>
      <w:tr>
        <w:tc>
          <w:tcPr/>
          <w:p>
            <w:pPr>
              <w:pStyle w:val="Compact"/>
              <w:jc w:val="left"/>
            </w:pPr>
            <w:r>
              <w:t xml:space="preserve">H Preference Shares</w:t>
            </w:r>
          </w:p>
        </w:tc>
        <w:tc>
          <w:tcPr/>
          <w:p>
            <w:pPr>
              <w:pStyle w:val="Compact"/>
              <w:jc w:val="left"/>
            </w:pPr>
            <w:r>
              <w:t xml:space="preserve">10,646,385</w:t>
            </w:r>
          </w:p>
        </w:tc>
      </w:tr>
    </w:tbl>
    <w:p>
      <w:pPr>
        <w:pStyle w:val="BodyText"/>
      </w:pPr>
      <w:r>
        <w:t xml:space="preserve">State that the Sale Shares represent approximately</w:t>
      </w:r>
      <w:r>
        <w:t xml:space="preserve"> </w:t>
      </w:r>
      <w:r>
        <w:rPr>
          <w:bCs/>
          <w:b/>
        </w:rPr>
        <w:t xml:space="preserve">6.6% of the total Preference Shares</w:t>
      </w:r>
      <w:r>
        <w:t xml:space="preserve"> </w:t>
      </w:r>
      <w:r>
        <w:t xml:space="preserve">and approximately</w:t>
      </w:r>
      <w:r>
        <w:t xml:space="preserve"> </w:t>
      </w:r>
      <w:r>
        <w:rPr>
          <w:bCs/>
          <w:b/>
        </w:rPr>
        <w:t xml:space="preserve">6.3% of the Strip Ordinary Shares</w:t>
      </w:r>
      <w:r>
        <w:t xml:space="preserve"> </w:t>
      </w:r>
      <w:r>
        <w:t xml:space="preserve">in Denali Holding I, and that they constitute Effinity’s entire holding [confirm – or state the residual holding if Effinity retains shares]. Delete the 93.3% / 6.7% institutional strip ratio and the Slaughter &amp; May / Stibbe documentation line (reinstate counsel names only if they are acting on the secondary).</w:t>
      </w:r>
    </w:p>
    <w:bookmarkEnd w:id="21"/>
    <w:bookmarkStart w:id="22" w:name="valuation-and-purchase-price"/>
    <w:p>
      <w:pPr>
        <w:pStyle w:val="Heading2"/>
      </w:pPr>
      <w:r>
        <w:t xml:space="preserve">3. Valuation and Purchase Price</w:t>
      </w:r>
    </w:p>
    <w:p>
      <w:pPr>
        <w:pStyle w:val="FirstParagraph"/>
      </w:pPr>
      <w:r>
        <w:t xml:space="preserve">Replace</w:t>
      </w:r>
      <w:r>
        <w:t xml:space="preserve"> </w:t>
      </w:r>
      <w:r>
        <w:t xml:space="preserve">“</w:t>
      </w:r>
      <w:r>
        <w:t xml:space="preserve">Investment Terms</w:t>
      </w:r>
      <w:r>
        <w:t xml:space="preserve">”</w:t>
      </w:r>
      <w:r>
        <w:t xml:space="preserve"> </w:t>
      </w:r>
      <w:r>
        <w:t xml:space="preserve">with</w:t>
      </w:r>
      <w:r>
        <w:t xml:space="preserve"> </w:t>
      </w:r>
      <w:r>
        <w:rPr>
          <w:bCs/>
          <w:b/>
        </w:rPr>
        <w:t xml:space="preserve">“</w:t>
      </w:r>
      <w:r>
        <w:rPr>
          <w:bCs/>
          <w:b/>
        </w:rPr>
        <w:t xml:space="preserve">Valuation and Purchase Price</w:t>
      </w:r>
      <w:r>
        <w:rPr>
          <w:bCs/>
          <w:b/>
        </w:rPr>
        <w:t xml:space="preserve">”</w:t>
      </w:r>
      <w:r>
        <w:t xml:space="preserve">:</w:t>
      </w:r>
    </w:p>
    <w:p>
      <w:pPr>
        <w:numPr>
          <w:ilvl w:val="0"/>
          <w:numId w:val="1002"/>
        </w:numPr>
        <w:pStyle w:val="Compact"/>
      </w:pPr>
      <w:r>
        <w:t xml:space="preserve">Valuation basis: enterprise value of MJM set at</w:t>
      </w:r>
      <w:r>
        <w:t xml:space="preserve"> </w:t>
      </w:r>
      <w:r>
        <w:rPr>
          <w:bCs/>
          <w:b/>
        </w:rPr>
        <w:t xml:space="preserve">12.5x FY26A Adjusted EBITDA</w:t>
      </w:r>
      <w:r>
        <w:t xml:space="preserve"> </w:t>
      </w:r>
      <w:r>
        <w:t xml:space="preserve">(actual, audited/management‑final FY26 figures – not FY26E). Replace the existing PLN 1.11bn / 14.0x / PLN 79mm FY26E figures with bracketed placeholders.</w:t>
      </w:r>
    </w:p>
    <w:p>
      <w:pPr>
        <w:numPr>
          <w:ilvl w:val="0"/>
          <w:numId w:val="1002"/>
        </w:numPr>
        <w:pStyle w:val="Compact"/>
      </w:pPr>
      <w:r>
        <w:t xml:space="preserve">The Purchase Price is the amount the Sale Shares would receive under the SHA distribution waterfall at that valuation, i.e. derived from equity value after net debt (including the Eurazeo facility), accrued preference coupon and any other leakage as at the reference date. Set out the resulting per‑share prices for Preference Shares and Strip Ordinary Shares as bracketed placeholders.</w:t>
      </w:r>
    </w:p>
    <w:p>
      <w:pPr>
        <w:numPr>
          <w:ilvl w:val="0"/>
          <w:numId w:val="1002"/>
        </w:numPr>
        <w:pStyle w:val="Compact"/>
      </w:pPr>
      <w:r>
        <w:t xml:space="preserve">Because FY26A financials will only be available in</w:t>
      </w:r>
      <w:r>
        <w:t xml:space="preserve"> </w:t>
      </w:r>
      <w:r>
        <w:rPr>
          <w:bCs/>
          <w:b/>
        </w:rPr>
        <w:t xml:space="preserve">late January / early February 2027</w:t>
      </w:r>
      <w:r>
        <w:t xml:space="preserve">, include a mechanism, bracketed for discussion, for either: (a) an indicative price based on current FY26E EBITDA with a true‑up to FY26A once final financials are delivered; or (b) price fixed only once FY26A is delivered, with signing/completion to follow. Define</w:t>
      </w:r>
      <w:r>
        <w:t xml:space="preserve"> </w:t>
      </w:r>
      <w:r>
        <w:t xml:space="preserve">“</w:t>
      </w:r>
      <w:r>
        <w:t xml:space="preserve">FY26A Adjusted EBITDA</w:t>
      </w:r>
      <w:r>
        <w:t xml:space="preserve">”</w:t>
      </w:r>
      <w:r>
        <w:t xml:space="preserve"> </w:t>
      </w:r>
      <w:r>
        <w:t xml:space="preserve">by reference to the Company’s audited or Board‑approved FY26 accounts and the Adjusted EBITDA definition used in the SHA / existing reporting.</w:t>
      </w:r>
    </w:p>
    <w:p>
      <w:pPr>
        <w:numPr>
          <w:ilvl w:val="0"/>
          <w:numId w:val="1002"/>
        </w:numPr>
        <w:pStyle w:val="Compact"/>
      </w:pPr>
      <w:r>
        <w:t xml:space="preserve">Currency: price in PLN with [USD] settlement at an agreed reference rate, or state PLN settlement – bracket for Corsair to confirm.</w:t>
      </w:r>
    </w:p>
    <w:p>
      <w:pPr>
        <w:numPr>
          <w:ilvl w:val="0"/>
          <w:numId w:val="1002"/>
        </w:numPr>
        <w:pStyle w:val="Compact"/>
      </w:pPr>
      <w:r>
        <w:t xml:space="preserve">Treatment of accrued and unpaid preference coupon on the Sale Shares up to completion (included in the price via the waterfall vs. paid separately) – bracket.</w:t>
      </w:r>
    </w:p>
    <w:p>
      <w:pPr>
        <w:numPr>
          <w:ilvl w:val="0"/>
          <w:numId w:val="1002"/>
        </w:numPr>
        <w:pStyle w:val="Compact"/>
      </w:pPr>
      <w:r>
        <w:t xml:space="preserve">Locked‑box‑style protection: no dividends, distributions or other value transfers to Effinity in respect of the Sale Shares between the reference date and completion.</w:t>
      </w:r>
    </w:p>
    <w:bookmarkEnd w:id="22"/>
    <w:bookmarkStart w:id="23" w:name="sections-to-delete"/>
    <w:p>
      <w:pPr>
        <w:pStyle w:val="Heading2"/>
      </w:pPr>
      <w:r>
        <w:t xml:space="preserve">4. Sections to delete</w:t>
      </w:r>
    </w:p>
    <w:p>
      <w:pPr>
        <w:pStyle w:val="FirstParagraph"/>
      </w:pPr>
      <w:r>
        <w:t xml:space="preserve">Remove in full:</w:t>
      </w:r>
      <w:r>
        <w:t xml:space="preserve"> </w:t>
      </w:r>
      <w:r>
        <w:rPr>
          <w:bCs/>
          <w:b/>
        </w:rPr>
        <w:t xml:space="preserve">Investment Purpose, Use of Proceeds, Debt Financing, Minimum Investment Return</w:t>
      </w:r>
      <w:r>
        <w:t xml:space="preserve"> </w:t>
      </w:r>
      <w:r>
        <w:t xml:space="preserve">(including all</w:t>
      </w:r>
      <w:r>
        <w:t xml:space="preserve"> </w:t>
      </w:r>
      <w:r>
        <w:t xml:space="preserve">“</w:t>
      </w:r>
      <w:r>
        <w:t xml:space="preserve">Note to Ben</w:t>
      </w:r>
      <w:r>
        <w:t xml:space="preserve">”</w:t>
      </w:r>
      <w:r>
        <w:t xml:space="preserve"> </w:t>
      </w:r>
      <w:r>
        <w:t xml:space="preserve">comments), and the</w:t>
      </w:r>
      <w:r>
        <w:t xml:space="preserve"> </w:t>
      </w:r>
      <w:r>
        <w:t xml:space="preserve">“</w:t>
      </w:r>
      <w:r>
        <w:t xml:space="preserve">Terms of the Preferred Shares and Ordinary Shares</w:t>
      </w:r>
      <w:r>
        <w:t xml:space="preserve">”</w:t>
      </w:r>
      <w:r>
        <w:t xml:space="preserve"> </w:t>
      </w:r>
      <w:r>
        <w:t xml:space="preserve">section as a standalone concept (fold its substance into section 5 below). No minimum return, no SHA waterfall amendment and no side‑letter change is required for a secondary.</w:t>
      </w:r>
    </w:p>
    <w:bookmarkEnd w:id="23"/>
    <w:bookmarkStart w:id="24" w:name="sections-to-add"/>
    <w:p>
      <w:pPr>
        <w:pStyle w:val="Heading2"/>
      </w:pPr>
      <w:r>
        <w:t xml:space="preserve">5. Sections to add</w:t>
      </w:r>
    </w:p>
    <w:p>
      <w:pPr>
        <w:numPr>
          <w:ilvl w:val="0"/>
          <w:numId w:val="1003"/>
        </w:numPr>
        <w:pStyle w:val="Compact"/>
      </w:pPr>
      <w:r>
        <w:rPr>
          <w:bCs/>
          <w:b/>
        </w:rPr>
        <w:t xml:space="preserve">Rights attaching to the Sale Shares:</w:t>
      </w:r>
      <w:r>
        <w:t xml:space="preserve"> </w:t>
      </w:r>
      <w:r>
        <w:t xml:space="preserve">the Sale Shares transfer with all rights and entitlements under the SHA and Denali I constitutional documents, including accrued coupon, and Corsair VI will accede to / already is party to the SHA in respect of them.</w:t>
      </w:r>
    </w:p>
    <w:p>
      <w:pPr>
        <w:numPr>
          <w:ilvl w:val="0"/>
          <w:numId w:val="1003"/>
        </w:numPr>
        <w:pStyle w:val="Compact"/>
      </w:pPr>
      <w:r>
        <w:rPr>
          <w:bCs/>
          <w:b/>
        </w:rPr>
        <w:t xml:space="preserve">Cap table:</w:t>
      </w:r>
      <w:r>
        <w:t xml:space="preserve"> </w:t>
      </w:r>
      <w:r>
        <w:t xml:space="preserve">replace</w:t>
      </w:r>
      <w:r>
        <w:t xml:space="preserve"> </w:t>
      </w:r>
      <w:r>
        <w:t xml:space="preserve">“</w:t>
      </w:r>
      <w:r>
        <w:t xml:space="preserve">Denali EIS Cap Table</w:t>
      </w:r>
      <w:r>
        <w:t xml:space="preserve">”</w:t>
      </w:r>
      <w:r>
        <w:t xml:space="preserve"> </w:t>
      </w:r>
      <w:r>
        <w:t xml:space="preserve">with a Denali Holding I cap table showing Corsair VI’s (direct and via Denali EIS) and Hermes’ holdings before and after the transfer, with bracketed percentages. Note whether Hermes’ indirect look‑through in Denali EIS is affected (it should not be if Corsair VI buys directly).</w:t>
      </w:r>
    </w:p>
    <w:p>
      <w:pPr>
        <w:numPr>
          <w:ilvl w:val="0"/>
          <w:numId w:val="1003"/>
        </w:numPr>
        <w:pStyle w:val="Compact"/>
      </w:pPr>
      <w:r>
        <w:rPr>
          <w:bCs/>
          <w:b/>
        </w:rPr>
        <w:t xml:space="preserve">Transfer mechanics / consents:</w:t>
      </w:r>
      <w:r>
        <w:t xml:space="preserve"> </w:t>
      </w:r>
      <w:r>
        <w:t xml:space="preserve">the transfer is subject to the SHA transfer provisions – pre‑emption / right of first refusal in favour of other shareholders, Board and any Investor Majority consent, and any tag‑along rights. State that Corsair VI requires written waivers of pre‑emption and tag from the other shareholders (including Hermes and Management) as a condition, or that the offer will be run through the SHA pre‑emption process. Bracket the approach.</w:t>
      </w:r>
    </w:p>
    <w:p>
      <w:pPr>
        <w:numPr>
          <w:ilvl w:val="0"/>
          <w:numId w:val="1003"/>
        </w:numPr>
        <w:pStyle w:val="Compact"/>
      </w:pPr>
      <w:r>
        <w:rPr>
          <w:bCs/>
          <w:b/>
        </w:rPr>
        <w:t xml:space="preserve">Conditions to completion:</w:t>
      </w:r>
      <w:r>
        <w:t xml:space="preserve"> </w:t>
      </w:r>
      <w:r>
        <w:t xml:space="preserve">delivery of FY26A financials and agreement of the Purchase Price; SHA waivers/consents; any regulatory or change‑of‑control notifications (Polish KNF or other insurance‑intermediary notifications, if applicable); no leakage; no material adverse change – all bracketed.</w:t>
      </w:r>
    </w:p>
    <w:p>
      <w:pPr>
        <w:numPr>
          <w:ilvl w:val="0"/>
          <w:numId w:val="1003"/>
        </w:numPr>
        <w:pStyle w:val="Compact"/>
      </w:pPr>
      <w:r>
        <w:rPr>
          <w:bCs/>
          <w:b/>
        </w:rPr>
        <w:t xml:space="preserve">Warranties and limitations:</w:t>
      </w:r>
      <w:r>
        <w:t xml:space="preserve"> </w:t>
      </w:r>
      <w:r>
        <w:t xml:space="preserve">Seller gives title and capacity warranties only (full legal and beneficial ownership, free from encumbrances, authority to sell). No business warranties. Corsair VI gives capacity warranties. Liability cap equal to the Purchase Price.</w:t>
      </w:r>
    </w:p>
    <w:p>
      <w:pPr>
        <w:numPr>
          <w:ilvl w:val="0"/>
          <w:numId w:val="1003"/>
        </w:numPr>
        <w:pStyle w:val="Compact"/>
      </w:pPr>
      <w:r>
        <w:rPr>
          <w:bCs/>
          <w:b/>
        </w:rPr>
        <w:t xml:space="preserve">Process and documentation:</w:t>
      </w:r>
      <w:r>
        <w:t xml:space="preserve"> </w:t>
      </w:r>
      <w:r>
        <w:t xml:space="preserve">a short‑form share purchase agreement, SHA deed of adherence/waivers and Luxembourg transfer formalities (register update, notary where required). Name counsel as placeholders.</w:t>
      </w:r>
    </w:p>
    <w:p>
      <w:pPr>
        <w:numPr>
          <w:ilvl w:val="0"/>
          <w:numId w:val="1003"/>
        </w:numPr>
        <w:pStyle w:val="Compact"/>
      </w:pPr>
      <w:r>
        <w:rPr>
          <w:bCs/>
          <w:b/>
        </w:rPr>
        <w:t xml:space="preserve">Costs:</w:t>
      </w:r>
      <w:r>
        <w:t xml:space="preserve"> </w:t>
      </w:r>
      <w:r>
        <w:t xml:space="preserve">each party bears its own costs; any transfer taxes/notary fees borne by [Buyer / split].</w:t>
      </w:r>
    </w:p>
    <w:p>
      <w:pPr>
        <w:numPr>
          <w:ilvl w:val="0"/>
          <w:numId w:val="1003"/>
        </w:numPr>
        <w:pStyle w:val="Compact"/>
      </w:pPr>
      <w:r>
        <w:rPr>
          <w:bCs/>
          <w:b/>
        </w:rPr>
        <w:t xml:space="preserve">Exclusivity:</w:t>
      </w:r>
      <w:r>
        <w:t xml:space="preserve"> </w:t>
      </w:r>
      <w:r>
        <w:t xml:space="preserve">optional – [60] days from signing of the term sheet, binding if included; otherwise omit.</w:t>
      </w:r>
    </w:p>
    <w:bookmarkEnd w:id="24"/>
    <w:bookmarkStart w:id="25" w:name="timing"/>
    <w:p>
      <w:pPr>
        <w:pStyle w:val="Heading2"/>
      </w:pPr>
      <w:r>
        <w:t xml:space="preserve">6. Timing</w:t>
      </w:r>
    </w:p>
    <w:p>
      <w:pPr>
        <w:pStyle w:val="FirstParagraph"/>
      </w:pPr>
      <w:r>
        <w:t xml:space="preserve">Replace the</w:t>
      </w:r>
      <w:r>
        <w:t xml:space="preserve"> </w:t>
      </w:r>
      <w:r>
        <w:t xml:space="preserve">“</w:t>
      </w:r>
      <w:r>
        <w:t xml:space="preserve">on or around [10 December 2026]</w:t>
      </w:r>
      <w:r>
        <w:t xml:space="preserve">”</w:t>
      </w:r>
      <w:r>
        <w:t xml:space="preserve"> </w:t>
      </w:r>
      <w:r>
        <w:t xml:space="preserve">language. New timing: term sheet signed now; FY26A financials expected</w:t>
      </w:r>
      <w:r>
        <w:t xml:space="preserve"> </w:t>
      </w:r>
      <w:r>
        <w:rPr>
          <w:bCs/>
          <w:b/>
        </w:rPr>
        <w:t xml:space="preserve">late January / early February 2027</w:t>
      </w:r>
      <w:r>
        <w:t xml:space="preserve">; Purchase Price finalised and SPA signed within [x] weeks thereafter; completion promptly following satisfaction of SHA consents and any regulatory notifications. Present as an indicative timetable in brackets.</w:t>
      </w:r>
    </w:p>
    <w:bookmarkEnd w:id="25"/>
    <w:bookmarkStart w:id="26" w:name="confidentiality-and-governing-law"/>
    <w:p>
      <w:pPr>
        <w:pStyle w:val="Heading2"/>
      </w:pPr>
      <w:r>
        <w:t xml:space="preserve">7. Confidentiality and Governing Law</w:t>
      </w:r>
    </w:p>
    <w:p>
      <w:pPr>
        <w:pStyle w:val="FirstParagraph"/>
      </w:pPr>
      <w:r>
        <w:t xml:space="preserve">Keep both sections as drafted and binding. Update references from</w:t>
      </w:r>
      <w:r>
        <w:t xml:space="preserve"> </w:t>
      </w:r>
      <w:r>
        <w:t xml:space="preserve">“</w:t>
      </w:r>
      <w:r>
        <w:t xml:space="preserve">the Investors</w:t>
      </w:r>
      <w:r>
        <w:t xml:space="preserve">”</w:t>
      </w:r>
      <w:r>
        <w:t xml:space="preserve"> </w:t>
      </w:r>
      <w:r>
        <w:t xml:space="preserve">to</w:t>
      </w:r>
      <w:r>
        <w:t xml:space="preserve"> </w:t>
      </w:r>
      <w:r>
        <w:t xml:space="preserve">“</w:t>
      </w:r>
      <w:r>
        <w:t xml:space="preserve">the parties</w:t>
      </w:r>
      <w:r>
        <w:t xml:space="preserve">”</w:t>
      </w:r>
      <w:r>
        <w:t xml:space="preserve">, and from the Maximus Proposed Transaction to the secondary.</w:t>
      </w:r>
    </w:p>
    <w:bookmarkEnd w:id="26"/>
    <w:bookmarkStart w:id="27" w:name="signature-page"/>
    <w:p>
      <w:pPr>
        <w:pStyle w:val="Heading2"/>
      </w:pPr>
      <w:r>
        <w:t xml:space="preserve">8. Signature page</w:t>
      </w:r>
    </w:p>
    <w:p>
      <w:pPr>
        <w:pStyle w:val="FirstParagraph"/>
      </w:pPr>
      <w:r>
        <w:t xml:space="preserve">Two signature blocks: Corsair VI FS Capital Partners, L.P. and Effinity [full legal name]. Remove both Hermes blocks. Keep the</w:t>
      </w:r>
      <w:r>
        <w:t xml:space="preserve"> </w:t>
      </w:r>
      <w:r>
        <w:t xml:space="preserve">“</w:t>
      </w:r>
      <w:r>
        <w:t xml:space="preserve">Acknowledged and agreed (in respect of the binding provisions only)</w:t>
      </w:r>
      <w:r>
        <w:t xml:space="preserve">”</w:t>
      </w:r>
      <w:r>
        <w:t xml:space="preserve"> </w:t>
      </w:r>
      <w:r>
        <w:t xml:space="preserve">wording.</w:t>
      </w:r>
    </w:p>
    <w:bookmarkEnd w:id="27"/>
    <w:bookmarkStart w:id="28" w:name="output-and-drafting-notes"/>
    <w:p>
      <w:pPr>
        <w:pStyle w:val="Heading2"/>
      </w:pPr>
      <w:r>
        <w:t xml:space="preserve">9. Output and drafting notes</w:t>
      </w:r>
    </w:p>
    <w:p>
      <w:pPr>
        <w:numPr>
          <w:ilvl w:val="0"/>
          <w:numId w:val="1004"/>
        </w:numPr>
        <w:pStyle w:val="Compact"/>
      </w:pPr>
      <w:r>
        <w:t xml:space="preserve">Return a clean Word document in the same layout plus a short list of open points for Corsair’s deal team (acquisition vehicle, FX/settlement currency, pre‑emption route, coupon treatment, regulatory notifications, whether Effinity retains any shares).</w:t>
      </w:r>
    </w:p>
    <w:p>
      <w:pPr>
        <w:numPr>
          <w:ilvl w:val="0"/>
          <w:numId w:val="1004"/>
        </w:numPr>
        <w:pStyle w:val="Compact"/>
      </w:pPr>
      <w:r>
        <w:t xml:space="preserve">Keep all unresolved commercial items in square brackets rather than inventing numbers. Do not carry over any figures, notes or Hermes references from the primary draft.</w:t>
      </w:r>
    </w:p>
    <w:p>
      <w:pPr>
        <w:numPr>
          <w:ilvl w:val="0"/>
          <w:numId w:val="1004"/>
        </w:numPr>
        <w:pStyle w:val="Compact"/>
      </w:pPr>
      <w:r>
        <w:t xml:space="preserve">Keep the document tight – it should read as a secondary share sale term sheet, not an edited funding round.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2026-10-27T18:56:07Z</dcterms:created>
  <dcterms:modified xsi:type="dcterms:W3CDTF">2026-10-27T18:56:07Z</dcterms:modified>
</cp:coreProperties>
</file>

<file path=docProps/custom.xml><?xml version="1.0" encoding="utf-8"?>
<Properties xmlns="http://schemas.openxmlformats.org/officeDocument/2006/custom-properties" xmlns:vt="http://schemas.openxmlformats.org/officeDocument/2006/docPropsVTypes"/>
</file>