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b518cff0bda4e16ae7e29f7e5d2d82223214d2"/>
    <w:p>
      <w:pPr>
        <w:pStyle w:val="Heading1"/>
      </w:pPr>
      <w:r>
        <w:t xml:space="preserve">Prompt: consistency and entity review of the MJM Secondary Term Sheet</w:t>
      </w:r>
    </w:p>
    <w:p>
      <w:pPr>
        <w:pStyle w:val="FirstParagraph"/>
      </w:pPr>
      <w:r>
        <w:t xml:space="preserve">Attached are (1) the current draft</w:t>
      </w:r>
      <w:r>
        <w:t xml:space="preserve"> </w:t>
      </w:r>
      <w:r>
        <w:t xml:space="preserve">“</w:t>
      </w:r>
      <w:r>
        <w:t xml:space="preserve">MJM – Secondary Term Sheet</w:t>
      </w:r>
      <w:r>
        <w:t xml:space="preserve">”</w:t>
      </w:r>
      <w:r>
        <w:t xml:space="preserve"> </w:t>
      </w:r>
      <w:r>
        <w:t xml:space="preserve">(v20261027_2310) and (2) the MJM group structure chart. The term sheet is a deliberately simplified, illustrative, non‑binding term sheet for a secondary purchase by Corsair European Insurance Services L.P. (</w:t>
      </w:r>
      <w:r>
        <w:t xml:space="preserve">“</w:t>
      </w:r>
      <w:r>
        <w:t xml:space="preserve">CEIS</w:t>
      </w:r>
      <w:r>
        <w:t xml:space="preserve">”</w:t>
      </w:r>
      <w:r>
        <w:t xml:space="preserve">) of Effinity’s shares in Denali Pooling I SCA. Please review it and report back. Do not redraft the document or add new commercial terms; this is a consistency and accuracy review only.</w:t>
      </w:r>
    </w:p>
    <w:bookmarkStart w:id="20" w:name="entity-check-against-the-structure-chart"/>
    <w:p>
      <w:pPr>
        <w:pStyle w:val="Heading2"/>
      </w:pPr>
      <w:r>
        <w:t xml:space="preserve">1. Entity check against the structure chart</w:t>
      </w:r>
    </w:p>
    <w:p>
      <w:pPr>
        <w:pStyle w:val="FirstParagraph"/>
      </w:pPr>
      <w:r>
        <w:t xml:space="preserve">For every entity named in the term sheet, confirm against the structure chart that the legal name, legal form, jurisdiction and position in the chain are correct, and list any discrepancy with the exact text to change. Specifically confirm:</w:t>
      </w:r>
    </w:p>
    <w:p>
      <w:pPr>
        <w:numPr>
          <w:ilvl w:val="0"/>
          <w:numId w:val="1001"/>
        </w:numPr>
        <w:pStyle w:val="Compact"/>
      </w:pPr>
      <w:r>
        <w:rPr>
          <w:bCs/>
          <w:b/>
        </w:rPr>
        <w:t xml:space="preserve">Buyer:</w:t>
      </w:r>
      <w:r>
        <w:t xml:space="preserve"> </w:t>
      </w:r>
      <w:r>
        <w:t xml:space="preserve">“</w:t>
      </w:r>
      <w:r>
        <w:t xml:space="preserve">Corsair European Insurance Services L.P.</w:t>
      </w:r>
      <w:r>
        <w:t xml:space="preserve">”</w:t>
      </w:r>
      <w:r>
        <w:t xml:space="preserve"> </w:t>
      </w:r>
      <w:r>
        <w:t xml:space="preserve">Is this the correct Corsair vehicle that sits in the Denali chain on the chart? Is CEIS actually a shareholder in Denali Pooling (so that it acquires alongside Effinity at the same level), or does it hold at Denali I or elsewhere? Confirm the defined‑term approach</w:t>
      </w:r>
      <w:r>
        <w:t xml:space="preserve"> </w:t>
      </w:r>
      <w:r>
        <w:t xml:space="preserve">“</w:t>
      </w:r>
      <w:r>
        <w:t xml:space="preserve">(together with its affiliates,</w:t>
      </w:r>
      <w:r>
        <w:t xml:space="preserve">”</w:t>
      </w:r>
      <w:r>
        <w:t xml:space="preserve">CEIS”)” is consistent with the vehicle on the chart.</w:t>
      </w:r>
    </w:p>
    <w:p>
      <w:pPr>
        <w:numPr>
          <w:ilvl w:val="0"/>
          <w:numId w:val="1001"/>
        </w:numPr>
        <w:pStyle w:val="Compact"/>
      </w:pPr>
      <w:r>
        <w:rPr>
          <w:bCs/>
          <w:b/>
        </w:rPr>
        <w:t xml:space="preserve">Seller:</w:t>
      </w:r>
      <w:r>
        <w:t xml:space="preserve"> </w:t>
      </w:r>
      <w:r>
        <w:t xml:space="preserve">“</w:t>
      </w:r>
      <w:r>
        <w:t xml:space="preserve">Efinity Insurance Group Spółka Ackyjna</w:t>
      </w:r>
      <w:r>
        <w:t xml:space="preserve">”</w:t>
      </w:r>
      <w:r>
        <w:t xml:space="preserve">. Check the spelling of the entity name (one f or two) and of the legal form (</w:t>
      </w:r>
      <w:r>
        <w:t xml:space="preserve">“</w:t>
      </w:r>
      <w:r>
        <w:t xml:space="preserve">Spółka Akcyjna</w:t>
      </w:r>
      <w:r>
        <w:t xml:space="preserve">”</w:t>
      </w:r>
      <w:r>
        <w:t xml:space="preserve"> </w:t>
      </w:r>
      <w:r>
        <w:t xml:space="preserve">/</w:t>
      </w:r>
      <w:r>
        <w:t xml:space="preserve"> </w:t>
      </w:r>
      <w:r>
        <w:t xml:space="preserve">“</w:t>
      </w:r>
      <w:r>
        <w:t xml:space="preserve">S.A.</w:t>
      </w:r>
      <w:r>
        <w:t xml:space="preserve">”</w:t>
      </w:r>
      <w:r>
        <w:t xml:space="preserve">), and make the defined term</w:t>
      </w:r>
      <w:r>
        <w:t xml:space="preserve"> </w:t>
      </w:r>
      <w:r>
        <w:t xml:space="preserve">“</w:t>
      </w:r>
      <w:r>
        <w:t xml:space="preserve">Effinity</w:t>
      </w:r>
      <w:r>
        <w:t xml:space="preserve">”</w:t>
      </w:r>
      <w:r>
        <w:t xml:space="preserve"> </w:t>
      </w:r>
      <w:r>
        <w:t xml:space="preserve">and the signature block consistent with the correct legal name.</w:t>
      </w:r>
    </w:p>
    <w:p>
      <w:pPr>
        <w:numPr>
          <w:ilvl w:val="0"/>
          <w:numId w:val="1001"/>
        </w:numPr>
        <w:pStyle w:val="Compact"/>
      </w:pPr>
      <w:r>
        <w:rPr>
          <w:bCs/>
          <w:b/>
        </w:rPr>
        <w:t xml:space="preserve">Target company of the Sale Shares:</w:t>
      </w:r>
      <w:r>
        <w:t xml:space="preserve"> </w:t>
      </w:r>
      <w:r>
        <w:t xml:space="preserve">“</w:t>
      </w:r>
      <w:r>
        <w:t xml:space="preserve">Denali Pooling I SCA</w:t>
      </w:r>
      <w:r>
        <w:t xml:space="preserve">”</w:t>
      </w:r>
      <w:r>
        <w:t xml:space="preserve"> </w:t>
      </w:r>
      <w:r>
        <w:t xml:space="preserve">(</w:t>
      </w:r>
      <w:r>
        <w:t xml:space="preserve">“</w:t>
      </w:r>
      <w:r>
        <w:t xml:space="preserve">Denali Pooling</w:t>
      </w:r>
      <w:r>
        <w:t xml:space="preserve">”</w:t>
      </w:r>
      <w:r>
        <w:t xml:space="preserve">). Confirm the full legal name and form (SCA, SCSp, etc.), jurisdiction, and that Effinity’s shares sit at this entity rather than at Denali I.</w:t>
      </w:r>
    </w:p>
    <w:p>
      <w:pPr>
        <w:numPr>
          <w:ilvl w:val="0"/>
          <w:numId w:val="1001"/>
        </w:numPr>
        <w:pStyle w:val="Compact"/>
      </w:pPr>
      <w:r>
        <w:rPr>
          <w:bCs/>
          <w:b/>
        </w:rPr>
        <w:t xml:space="preserve">Denali I:</w:t>
      </w:r>
      <w:r>
        <w:t xml:space="preserve"> </w:t>
      </w:r>
      <w:r>
        <w:t xml:space="preserve">“</w:t>
      </w:r>
      <w:r>
        <w:t xml:space="preserve">Denali Holding I S.a.r.L</w:t>
      </w:r>
      <w:r>
        <w:t xml:space="preserve">”</w:t>
      </w:r>
      <w:r>
        <w:t xml:space="preserve">. Confirm the correct form and capitalisation (S.à r.l.) and its place in the chain between Denali Pooling and MJM.</w:t>
      </w:r>
    </w:p>
    <w:p>
      <w:pPr>
        <w:numPr>
          <w:ilvl w:val="0"/>
          <w:numId w:val="1001"/>
        </w:numPr>
        <w:pStyle w:val="Compact"/>
      </w:pPr>
      <w:r>
        <w:rPr>
          <w:bCs/>
          <w:b/>
        </w:rPr>
        <w:t xml:space="preserve">MJM Holdings:</w:t>
      </w:r>
      <w:r>
        <w:t xml:space="preserve"> </w:t>
      </w:r>
      <w:r>
        <w:t xml:space="preserve">confirm this is the correct name of the operating holding company and that Denali I is its indirect (not direct) holding company as stated.</w:t>
      </w:r>
    </w:p>
    <w:p>
      <w:pPr>
        <w:numPr>
          <w:ilvl w:val="0"/>
          <w:numId w:val="1001"/>
        </w:numPr>
        <w:pStyle w:val="Compact"/>
      </w:pPr>
      <w:r>
        <w:t xml:space="preserve">Any other entities on the chart that should be referenced but are not (for example an intermediate holding company between Denali I and MJM, or a Denali EIS‑type vehicle through which CEIS holds), and whether their absence creates any inaccuracy in the term sheet.</w:t>
      </w:r>
    </w:p>
    <w:p>
      <w:pPr>
        <w:pStyle w:val="FirstParagraph"/>
      </w:pPr>
      <w:r>
        <w:t xml:space="preserve">Produce a short table: entity as drafted | entity per structure chart | action.</w:t>
      </w:r>
    </w:p>
    <w:bookmarkEnd w:id="20"/>
    <w:bookmarkStart w:id="21" w:name="denali-pooling-vs-denali-i-consistency"/>
    <w:p>
      <w:pPr>
        <w:pStyle w:val="Heading2"/>
      </w:pPr>
      <w:r>
        <w:t xml:space="preserve">2. Denali Pooling vs Denali I consistency</w:t>
      </w:r>
    </w:p>
    <w:p>
      <w:pPr>
        <w:pStyle w:val="FirstParagraph"/>
      </w:pPr>
      <w:r>
        <w:t xml:space="preserve">The term sheet moves between Denali Pooling and Denali I. Check every reference and flag where the wrong entity is used. Points to test:</w:t>
      </w:r>
    </w:p>
    <w:p>
      <w:pPr>
        <w:numPr>
          <w:ilvl w:val="0"/>
          <w:numId w:val="1002"/>
        </w:numPr>
        <w:pStyle w:val="Compact"/>
      </w:pPr>
      <w:r>
        <w:t xml:space="preserve">The opening paragraph says the Sale Shares are shares in Denali Pooling, but the Transaction Overview says CEIS acquires the Sale Shares</w:t>
      </w:r>
      <w:r>
        <w:t xml:space="preserve"> </w:t>
      </w:r>
      <w:r>
        <w:t xml:space="preserve">“</w:t>
      </w:r>
      <w:r>
        <w:t xml:space="preserve">in Denali I</w:t>
      </w:r>
      <w:r>
        <w:t xml:space="preserve">”</w:t>
      </w:r>
      <w:r>
        <w:t xml:space="preserve">. These should agree.</w:t>
      </w:r>
    </w:p>
    <w:p>
      <w:pPr>
        <w:numPr>
          <w:ilvl w:val="0"/>
          <w:numId w:val="1002"/>
        </w:numPr>
        <w:pStyle w:val="Compact"/>
      </w:pPr>
      <w:r>
        <w:t xml:space="preserve">The Sale Shares section correctly refers to Denali Pooling for the share classes and the 23.9% / 25.2% figures, and to Denali I for the 6.6% / 6.3% look‑through figures. Confirm the share classes (Strip Ordinary and A–H Preference Shares) actually exist at Denali Pooling level per the chart, or whether they mirror Denali I classes.</w:t>
      </w:r>
    </w:p>
    <w:p>
      <w:pPr>
        <w:numPr>
          <w:ilvl w:val="0"/>
          <w:numId w:val="1002"/>
        </w:numPr>
        <w:pStyle w:val="Compact"/>
      </w:pPr>
      <w:r>
        <w:t xml:space="preserve">Transaction Overview:</w:t>
      </w:r>
      <w:r>
        <w:t xml:space="preserve"> </w:t>
      </w:r>
      <w:r>
        <w:t xml:space="preserve">“</w:t>
      </w:r>
      <w:r>
        <w:t xml:space="preserve">No new shares will be issued by Denali I or the Company</w:t>
      </w:r>
      <w:r>
        <w:t xml:space="preserve">”</w:t>
      </w:r>
      <w:r>
        <w:t xml:space="preserve"> </w:t>
      </w:r>
      <w:r>
        <w:t xml:space="preserve">should also cover Denali Pooling.</w:t>
      </w:r>
    </w:p>
    <w:p>
      <w:pPr>
        <w:numPr>
          <w:ilvl w:val="0"/>
          <w:numId w:val="1002"/>
        </w:numPr>
        <w:pStyle w:val="Compact"/>
      </w:pPr>
      <w:r>
        <w:t xml:space="preserve">Conditions to Completion refers to consents under</w:t>
      </w:r>
      <w:r>
        <w:t xml:space="preserve"> </w:t>
      </w:r>
      <w:r>
        <w:t xml:space="preserve">“</w:t>
      </w:r>
      <w:r>
        <w:t xml:space="preserve">the SHA and the Denali I constitutional documents</w:t>
      </w:r>
      <w:r>
        <w:t xml:space="preserve">”</w:t>
      </w:r>
      <w:r>
        <w:t xml:space="preserve">, whereas the transfer takes place at Denali Pooling. Confirm which constitutional documents and which shareholder agreement govern transfers of Denali Pooling shares, and whether the Denali Holding I SHA dated 28 March 2024 actually applies at Denali Pooling level or a separate Denali Pooling agreement is relevant.</w:t>
      </w:r>
    </w:p>
    <w:p>
      <w:pPr>
        <w:numPr>
          <w:ilvl w:val="0"/>
          <w:numId w:val="1002"/>
        </w:numPr>
        <w:pStyle w:val="Compact"/>
      </w:pPr>
      <w:r>
        <w:t xml:space="preserve">Rights Attaching to the Sale Shares, Warranties and Documentation refer to Denali Pooling. Confirm consistent.</w:t>
      </w:r>
    </w:p>
    <w:p>
      <w:pPr>
        <w:numPr>
          <w:ilvl w:val="0"/>
          <w:numId w:val="1002"/>
        </w:numPr>
        <w:pStyle w:val="Compact"/>
      </w:pPr>
      <w:r>
        <w:t xml:space="preserve">Valuation: the Purchase Price is derived from the SHA waterfall at Denali I. Confirm that applying the Denali I waterfall and then looking through to Denali Pooling is the right mechanic, and flag if a Denali Pooling‑level waterfall or pooling arrangement should be referenced instead.</w:t>
      </w:r>
    </w:p>
    <w:bookmarkEnd w:id="21"/>
    <w:bookmarkStart w:id="22" w:name="X8a0799fa45639e31754bf4fda03ebdf700c3cdd"/>
    <w:p>
      <w:pPr>
        <w:pStyle w:val="Heading2"/>
      </w:pPr>
      <w:r>
        <w:t xml:space="preserve">3. Internal consistency of defined terms and figures</w:t>
      </w:r>
    </w:p>
    <w:p>
      <w:pPr>
        <w:numPr>
          <w:ilvl w:val="0"/>
          <w:numId w:val="1003"/>
        </w:numPr>
        <w:pStyle w:val="Compact"/>
      </w:pPr>
      <w:r>
        <w:t xml:space="preserve">Defined terms: check each defined term is defined once, before first use, and used consistently (CEIS, Effinity/Seller, Denali Pooling, Denali I, MJM/Company, Proposed Transaction, SHA, Sale Shares, Agreed Valuation, FY26A Adjusted EBITDA, Reference Date, Purchase Price). Flag any term used but not defined (for example</w:t>
      </w:r>
      <w:r>
        <w:t xml:space="preserve"> </w:t>
      </w:r>
      <w:r>
        <w:t xml:space="preserve">“</w:t>
      </w:r>
      <w:r>
        <w:t xml:space="preserve">Exit</w:t>
      </w:r>
      <w:r>
        <w:t xml:space="preserve">”</w:t>
      </w:r>
      <w:r>
        <w:t xml:space="preserve">,</w:t>
      </w:r>
      <w:r>
        <w:t xml:space="preserve"> </w:t>
      </w:r>
      <w:r>
        <w:t xml:space="preserve">“</w:t>
      </w:r>
      <w:r>
        <w:t xml:space="preserve">Business Days</w:t>
      </w:r>
      <w:r>
        <w:t xml:space="preserve">”</w:t>
      </w:r>
      <w:r>
        <w:t xml:space="preserve">,</w:t>
      </w:r>
      <w:r>
        <w:t xml:space="preserve"> </w:t>
      </w:r>
      <w:r>
        <w:t xml:space="preserve">“</w:t>
      </w:r>
      <w:r>
        <w:t xml:space="preserve">Preference Shares</w:t>
      </w:r>
      <w:r>
        <w:t xml:space="preserve">”</w:t>
      </w:r>
      <w:r>
        <w:t xml:space="preserve">,</w:t>
      </w:r>
      <w:r>
        <w:t xml:space="preserve"> </w:t>
      </w:r>
      <w:r>
        <w:t xml:space="preserve">“</w:t>
      </w:r>
      <w:r>
        <w:t xml:space="preserve">Ordinary Shares</w:t>
      </w:r>
      <w:r>
        <w:t xml:space="preserve">”</w:t>
      </w:r>
      <w:r>
        <w:t xml:space="preserve">,</w:t>
      </w:r>
      <w:r>
        <w:t xml:space="preserve"> </w:t>
      </w:r>
      <w:r>
        <w:t xml:space="preserve">“</w:t>
      </w:r>
      <w:r>
        <w:t xml:space="preserve">Strip Ordinary Shares</w:t>
      </w:r>
      <w:r>
        <w:t xml:space="preserve">”</w:t>
      </w:r>
      <w:r>
        <w:t xml:space="preserve">) and say whether it is defined by reference to the SHA.</w:t>
      </w:r>
    </w:p>
    <w:p>
      <w:pPr>
        <w:numPr>
          <w:ilvl w:val="0"/>
          <w:numId w:val="1003"/>
        </w:numPr>
        <w:pStyle w:val="Compact"/>
      </w:pPr>
      <w:r>
        <w:t xml:space="preserve">“</w:t>
      </w:r>
      <w:r>
        <w:t xml:space="preserve">Reference Date</w:t>
      </w:r>
      <w:r>
        <w:t xml:space="preserve">”</w:t>
      </w:r>
      <w:r>
        <w:t xml:space="preserve"> </w:t>
      </w:r>
      <w:r>
        <w:t xml:space="preserve">is defined as the financial year ending 31 December 2026 rather than a date. Flag and suggest the precise wording.</w:t>
      </w:r>
    </w:p>
    <w:p>
      <w:pPr>
        <w:numPr>
          <w:ilvl w:val="0"/>
          <w:numId w:val="1003"/>
        </w:numPr>
        <w:pStyle w:val="Compact"/>
      </w:pPr>
      <w:r>
        <w:t xml:space="preserve">“</w:t>
      </w:r>
      <w:r>
        <w:t xml:space="preserve">FY26A Adjusted EBITDA</w:t>
      </w:r>
      <w:r>
        <w:t xml:space="preserve">”</w:t>
      </w:r>
      <w:r>
        <w:t xml:space="preserve"> </w:t>
      </w:r>
      <w:r>
        <w:t xml:space="preserve">is defined by reference to</w:t>
      </w:r>
      <w:r>
        <w:t xml:space="preserve"> </w:t>
      </w:r>
      <w:r>
        <w:t xml:space="preserve">“</w:t>
      </w:r>
      <w:r>
        <w:t xml:space="preserve">FY26 management accounts</w:t>
      </w:r>
      <w:r>
        <w:t xml:space="preserve">”</w:t>
      </w:r>
      <w:r>
        <w:t xml:space="preserve">, but the Valuation section and Timing refer to</w:t>
      </w:r>
      <w:r>
        <w:t xml:space="preserve"> </w:t>
      </w:r>
      <w:r>
        <w:t xml:space="preserve">“</w:t>
      </w:r>
      <w:r>
        <w:t xml:space="preserve">FY26A financial statements</w:t>
      </w:r>
      <w:r>
        <w:t xml:space="preserve">”</w:t>
      </w:r>
      <w:r>
        <w:t xml:space="preserve">. Confirm which document is intended and align.</w:t>
      </w:r>
    </w:p>
    <w:p>
      <w:pPr>
        <w:numPr>
          <w:ilvl w:val="0"/>
          <w:numId w:val="1003"/>
        </w:numPr>
        <w:pStyle w:val="Compact"/>
      </w:pPr>
      <w:r>
        <w:t xml:space="preserve">Share counts: confirm the nine line items sum correctly to Effinity’s holding and that the 23.9% / 25.2% (Denali Pooling) and 6.6% / 6.3% (Denali I look‑through) percentages are consistent with each other and with the cap table in the structure chart, if the chart shows percentages.</w:t>
      </w:r>
    </w:p>
    <w:p>
      <w:pPr>
        <w:numPr>
          <w:ilvl w:val="0"/>
          <w:numId w:val="1003"/>
        </w:numPr>
        <w:pStyle w:val="Compact"/>
      </w:pPr>
      <w:r>
        <w:t xml:space="preserve">The Sale Shares section says</w:t>
      </w:r>
      <w:r>
        <w:t xml:space="preserve"> </w:t>
      </w:r>
      <w:r>
        <w:t xml:space="preserve">“</w:t>
      </w:r>
      <w:r>
        <w:t xml:space="preserve">approximately 25.2% of the Ordinary Shares in issue in Denali Pooling</w:t>
      </w:r>
      <w:r>
        <w:t xml:space="preserve">”</w:t>
      </w:r>
      <w:r>
        <w:t xml:space="preserve"> </w:t>
      </w:r>
      <w:r>
        <w:t xml:space="preserve">but the look‑through line says</w:t>
      </w:r>
      <w:r>
        <w:t xml:space="preserve"> </w:t>
      </w:r>
      <w:r>
        <w:t xml:space="preserve">“</w:t>
      </w:r>
      <w:r>
        <w:t xml:space="preserve">Strip Ordinary Shares in issue in Denali I</w:t>
      </w:r>
      <w:r>
        <w:t xml:space="preserve">”</w:t>
      </w:r>
      <w:r>
        <w:t xml:space="preserve">. Confirm whether</w:t>
      </w:r>
      <w:r>
        <w:t xml:space="preserve"> </w:t>
      </w:r>
      <w:r>
        <w:t xml:space="preserve">“</w:t>
      </w:r>
      <w:r>
        <w:t xml:space="preserve">Ordinary</w:t>
      </w:r>
      <w:r>
        <w:t xml:space="preserve">”</w:t>
      </w:r>
      <w:r>
        <w:t xml:space="preserve"> </w:t>
      </w:r>
      <w:r>
        <w:t xml:space="preserve">and</w:t>
      </w:r>
      <w:r>
        <w:t xml:space="preserve"> </w:t>
      </w:r>
      <w:r>
        <w:t xml:space="preserve">“</w:t>
      </w:r>
      <w:r>
        <w:t xml:space="preserve">Strip Ordinary</w:t>
      </w:r>
      <w:r>
        <w:t xml:space="preserve">”</w:t>
      </w:r>
      <w:r>
        <w:t xml:space="preserve"> </w:t>
      </w:r>
      <w:r>
        <w:t xml:space="preserve">are the same class and use one term.</w:t>
      </w:r>
    </w:p>
    <w:p>
      <w:pPr>
        <w:numPr>
          <w:ilvl w:val="0"/>
          <w:numId w:val="1003"/>
        </w:numPr>
        <w:pStyle w:val="Compact"/>
      </w:pPr>
      <w:r>
        <w:t xml:space="preserve">Multiple: 12.5x FY26A Adjusted EBITDA is used once only. Confirm no residual reference to 14.0x, PLN 1.11bn or FY26E remains.</w:t>
      </w:r>
    </w:p>
    <w:p>
      <w:pPr>
        <w:numPr>
          <w:ilvl w:val="0"/>
          <w:numId w:val="1003"/>
        </w:numPr>
        <w:pStyle w:val="Compact"/>
      </w:pPr>
      <w:r>
        <w:t xml:space="preserve">Currency: Purchase Price is in PLN with a note to discuss PLN/EUR/USD. Confirm no other currency references conflict.</w:t>
      </w:r>
    </w:p>
    <w:bookmarkEnd w:id="22"/>
    <w:bookmarkStart w:id="23" w:name="crosssection-consistency"/>
    <w:p>
      <w:pPr>
        <w:pStyle w:val="Heading2"/>
      </w:pPr>
      <w:r>
        <w:t xml:space="preserve">4. Cross‑section consistency</w:t>
      </w:r>
    </w:p>
    <w:p>
      <w:pPr>
        <w:numPr>
          <w:ilvl w:val="0"/>
          <w:numId w:val="1004"/>
        </w:numPr>
        <w:pStyle w:val="Compact"/>
      </w:pPr>
      <w:r>
        <w:t xml:space="preserve">Timing refers to</w:t>
      </w:r>
      <w:r>
        <w:t xml:space="preserve"> </w:t>
      </w:r>
      <w:r>
        <w:t xml:space="preserve">“</w:t>
      </w:r>
      <w:r>
        <w:t xml:space="preserve">completion of any regulatory notifications</w:t>
      </w:r>
      <w:r>
        <w:t xml:space="preserve">”</w:t>
      </w:r>
      <w:r>
        <w:t xml:space="preserve">, but Conditions to Completion contains no regulatory condition. Either add a regulatory condition or remove the reference in Timing. Flag which.</w:t>
      </w:r>
    </w:p>
    <w:p>
      <w:pPr>
        <w:numPr>
          <w:ilvl w:val="0"/>
          <w:numId w:val="1004"/>
        </w:numPr>
        <w:pStyle w:val="Compact"/>
      </w:pPr>
      <w:r>
        <w:t xml:space="preserve">Timing says the SPA is signed within 10 Business Days of delivery of FY26A financial statements and completion targeted for Q1 2027; Exclusivity runs to [31 March 2027]. Confirm these dates are coherent and that exclusivity covers the expected completion date.</w:t>
      </w:r>
    </w:p>
    <w:p>
      <w:pPr>
        <w:numPr>
          <w:ilvl w:val="0"/>
          <w:numId w:val="1004"/>
        </w:numPr>
        <w:pStyle w:val="Compact"/>
      </w:pPr>
      <w:r>
        <w:t xml:space="preserve">The introductory paragraph lists</w:t>
      </w:r>
      <w:r>
        <w:t xml:space="preserve"> </w:t>
      </w:r>
      <w:r>
        <w:t xml:space="preserve">“</w:t>
      </w:r>
      <w:r>
        <w:t xml:space="preserve">Confidentiality</w:t>
      </w:r>
      <w:r>
        <w:t xml:space="preserve">”</w:t>
      </w:r>
      <w:r>
        <w:t xml:space="preserve">,</w:t>
      </w:r>
      <w:r>
        <w:t xml:space="preserve"> </w:t>
      </w:r>
      <w:r>
        <w:t xml:space="preserve">“</w:t>
      </w:r>
      <w:r>
        <w:t xml:space="preserve">Exclusivity</w:t>
      </w:r>
      <w:r>
        <w:t xml:space="preserve">”</w:t>
      </w:r>
      <w:r>
        <w:t xml:space="preserve"> </w:t>
      </w:r>
      <w:r>
        <w:t xml:space="preserve">and</w:t>
      </w:r>
      <w:r>
        <w:t xml:space="preserve"> </w:t>
      </w:r>
      <w:r>
        <w:t xml:space="preserve">“</w:t>
      </w:r>
      <w:r>
        <w:t xml:space="preserve">Governing Law</w:t>
      </w:r>
      <w:r>
        <w:t xml:space="preserve">”</w:t>
      </w:r>
      <w:r>
        <w:t xml:space="preserve"> </w:t>
      </w:r>
      <w:r>
        <w:t xml:space="preserve">as binding. Confirm each of those three sections states it is legally binding and that no other section does.</w:t>
      </w:r>
    </w:p>
    <w:p>
      <w:pPr>
        <w:numPr>
          <w:ilvl w:val="0"/>
          <w:numId w:val="1004"/>
        </w:numPr>
        <w:pStyle w:val="Compact"/>
      </w:pPr>
      <w:r>
        <w:t xml:space="preserve">Confidentiality refers to consent of</w:t>
      </w:r>
      <w:r>
        <w:t xml:space="preserve"> </w:t>
      </w:r>
      <w:r>
        <w:t xml:space="preserve">“</w:t>
      </w:r>
      <w:r>
        <w:t xml:space="preserve">the other party</w:t>
      </w:r>
      <w:r>
        <w:t xml:space="preserve">”</w:t>
      </w:r>
      <w:r>
        <w:t xml:space="preserve"> </w:t>
      </w:r>
      <w:r>
        <w:t xml:space="preserve">(singular); confirm consistent with a two‑party document and the signature page.</w:t>
      </w:r>
    </w:p>
    <w:p>
      <w:pPr>
        <w:numPr>
          <w:ilvl w:val="0"/>
          <w:numId w:val="1004"/>
        </w:numPr>
        <w:pStyle w:val="Compact"/>
      </w:pPr>
      <w:r>
        <w:t xml:space="preserve">Signature page: confirm the two signature blocks match the parties in the opening paragraph exactly, and that the Corsair block and the Effinity block use the same format (the Corsair block uses a</w:t>
      </w:r>
      <w:r>
        <w:t xml:space="preserve"> </w:t>
      </w:r>
      <w:r>
        <w:t xml:space="preserve">“</w:t>
      </w:r>
      <w:r>
        <w:t xml:space="preserve">By / Name</w:t>
      </w:r>
      <w:r>
        <w:t xml:space="preserve">”</w:t>
      </w:r>
      <w:r>
        <w:t xml:space="preserve"> </w:t>
      </w:r>
      <w:r>
        <w:t xml:space="preserve">table while the Effinity block uses a dotted line).</w:t>
      </w:r>
    </w:p>
    <w:p>
      <w:pPr>
        <w:numPr>
          <w:ilvl w:val="0"/>
          <w:numId w:val="1004"/>
        </w:numPr>
        <w:pStyle w:val="Compact"/>
      </w:pPr>
      <w:r>
        <w:t xml:space="preserve">Costs: transfer taxes borne</w:t>
      </w:r>
      <w:r>
        <w:t xml:space="preserve"> </w:t>
      </w:r>
      <w:r>
        <w:t xml:space="preserve">“</w:t>
      </w:r>
      <w:r>
        <w:t xml:space="preserve">in equal shares</w:t>
      </w:r>
      <w:r>
        <w:t xml:space="preserve">”</w:t>
      </w:r>
      <w:r>
        <w:t xml:space="preserve"> </w:t>
      </w:r>
      <w:r>
        <w:t xml:space="preserve">and no counsel named. Confirm this is intended for the illustrative draft and that nothing elsewhere assumes CEIS bears costs.</w:t>
      </w:r>
    </w:p>
    <w:bookmarkEnd w:id="23"/>
    <w:bookmarkStart w:id="24" w:name="typographical-and-drafting-cleanup"/>
    <w:p>
      <w:pPr>
        <w:pStyle w:val="Heading2"/>
      </w:pPr>
      <w:r>
        <w:t xml:space="preserve">5. Typographical and drafting clean‑up</w:t>
      </w:r>
    </w:p>
    <w:p>
      <w:pPr>
        <w:pStyle w:val="FirstParagraph"/>
      </w:pPr>
      <w:r>
        <w:t xml:space="preserve">List spelling, capitalisation and punctuation points only (for example</w:t>
      </w:r>
      <w:r>
        <w:t xml:space="preserve"> </w:t>
      </w:r>
      <w:r>
        <w:t xml:space="preserve">“</w:t>
      </w:r>
      <w:r>
        <w:t xml:space="preserve">Ackyjna</w:t>
      </w:r>
      <w:r>
        <w:t xml:space="preserve">”</w:t>
      </w:r>
      <w:r>
        <w:t xml:space="preserve">,</w:t>
      </w:r>
      <w:r>
        <w:t xml:space="preserve"> </w:t>
      </w:r>
      <w:r>
        <w:t xml:space="preserve">“</w:t>
      </w:r>
      <w:r>
        <w:t xml:space="preserve">S.a.r.L</w:t>
      </w:r>
      <w:r>
        <w:t xml:space="preserve">”</w:t>
      </w:r>
      <w:r>
        <w:t xml:space="preserve">, double spaces, inconsistent trailing full stops in bullets,</w:t>
      </w:r>
      <w:r>
        <w:t xml:space="preserve"> </w:t>
      </w:r>
      <w:r>
        <w:t xml:space="preserve">“</w:t>
      </w:r>
      <w:r>
        <w:t xml:space="preserve">look through</w:t>
      </w:r>
      <w:r>
        <w:t xml:space="preserve">”</w:t>
      </w:r>
      <w:r>
        <w:t xml:space="preserve"> </w:t>
      </w:r>
      <w:r>
        <w:t xml:space="preserve">vs</w:t>
      </w:r>
      <w:r>
        <w:t xml:space="preserve"> </w:t>
      </w:r>
      <w:r>
        <w:t xml:space="preserve">“</w:t>
      </w:r>
      <w:r>
        <w:t xml:space="preserve">look‑through</w:t>
      </w:r>
      <w:r>
        <w:t xml:space="preserve">”</w:t>
      </w:r>
      <w:r>
        <w:t xml:space="preserve">). Do not restyle.</w:t>
      </w:r>
    </w:p>
    <w:bookmarkEnd w:id="24"/>
    <w:bookmarkStart w:id="25" w:name="output"/>
    <w:p>
      <w:pPr>
        <w:pStyle w:val="Heading2"/>
      </w:pPr>
      <w:r>
        <w:t xml:space="preserve">6. Output</w:t>
      </w:r>
    </w:p>
    <w:p>
      <w:pPr>
        <w:pStyle w:val="FirstParagraph"/>
      </w:pPr>
      <w:r>
        <w:t xml:space="preserve">Return:</w:t>
      </w:r>
    </w:p>
    <w:p>
      <w:pPr>
        <w:numPr>
          <w:ilvl w:val="0"/>
          <w:numId w:val="1005"/>
        </w:numPr>
        <w:pStyle w:val="Compact"/>
      </w:pPr>
      <w:r>
        <w:t xml:space="preserve">A table of entity discrepancies (section 1).</w:t>
      </w:r>
    </w:p>
    <w:p>
      <w:pPr>
        <w:numPr>
          <w:ilvl w:val="0"/>
          <w:numId w:val="1005"/>
        </w:numPr>
        <w:pStyle w:val="Compact"/>
      </w:pPr>
      <w:r>
        <w:t xml:space="preserve">A numbered list of consistency issues, each with the section name, the text as drafted, the proposed replacement text, and a priority (must fix / should fix / optional).</w:t>
      </w:r>
    </w:p>
    <w:p>
      <w:pPr>
        <w:numPr>
          <w:ilvl w:val="0"/>
          <w:numId w:val="1005"/>
        </w:numPr>
        <w:pStyle w:val="Compact"/>
      </w:pPr>
      <w:r>
        <w:t xml:space="preserve">A one‑paragraph conclusion stating whether the term sheet, once the must‑fix items are made, is internally consistent and correctly reflects the structure chart.</w:t>
      </w:r>
    </w:p>
    <w:p>
      <w:pPr>
        <w:pStyle w:val="FirstParagraph"/>
      </w:pPr>
      <w:r>
        <w:t xml:space="preserve">Keep bracketed placeholders as they are. Do not add commercial terms, warranties, conditions or mechanics that are not already in the draft, and do not reinstate anything from the earlier primary‑investment version.</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2026-10-27T23:13:01Z</dcterms:created>
  <dcterms:modified xsi:type="dcterms:W3CDTF">2026-10-27T23:13:01Z</dcterms:modified>
</cp:coreProperties>
</file>

<file path=docProps/custom.xml><?xml version="1.0" encoding="utf-8"?>
<Properties xmlns="http://schemas.openxmlformats.org/officeDocument/2006/custom-properties" xmlns:vt="http://schemas.openxmlformats.org/officeDocument/2006/docPropsVTypes"/>
</file>