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537460495b2004a48bc17e7541b808ebe205986"/>
    <w:p>
      <w:pPr>
        <w:pStyle w:val="Heading1"/>
      </w:pPr>
      <w:r>
        <w:t xml:space="preserve">How Denali Pooling I SCA interacts with Denali Holdings I under the SHA</w:t>
      </w:r>
    </w:p>
    <w:p>
      <w:pPr>
        <w:pStyle w:val="FirstParagraph"/>
      </w:pPr>
      <w:r>
        <w:t xml:space="preserve">Source: Denali Holdings I Shareholders’ Agreement (Slaughter and May execution version,</w:t>
      </w:r>
      <w:r>
        <w:t xml:space="preserve"> </w:t>
      </w:r>
      <w:r>
        <w:t xml:space="preserve">“</w:t>
      </w:r>
      <w:r>
        <w:t xml:space="preserve">Livigno – AR Topco SHA</w:t>
      </w:r>
      <w:r>
        <w:t xml:space="preserve">”</w:t>
      </w:r>
      <w:r>
        <w:t xml:space="preserve">, 2024), read against the Secondary Term Sheet v20261027_2310 and the April 2026 structure chart.</w:t>
      </w:r>
    </w:p>
    <w:bookmarkStart w:id="20" w:name="short-answer"/>
    <w:p>
      <w:pPr>
        <w:pStyle w:val="Heading2"/>
      </w:pPr>
      <w:r>
        <w:t xml:space="preserve">1. Short answer</w:t>
      </w:r>
    </w:p>
    <w:p>
      <w:pPr>
        <w:pStyle w:val="FirstParagraph"/>
      </w:pPr>
      <w:r>
        <w:t xml:space="preserve">Denali Pooling I SCA is the</w:t>
      </w:r>
      <w:r>
        <w:t xml:space="preserve"> </w:t>
      </w:r>
      <w:r>
        <w:t xml:space="preserve">“</w:t>
      </w:r>
      <w:r>
        <w:t xml:space="preserve">Strip Vehicle</w:t>
      </w:r>
      <w:r>
        <w:t xml:space="preserve">”</w:t>
      </w:r>
      <w:r>
        <w:t xml:space="preserve"> </w:t>
      </w:r>
      <w:r>
        <w:t xml:space="preserve">under the SHA. It is a party to the SHA in its own right and holds Institutional Strip (Preference Shares and Strip Ordinary Shares) and Deferred Shares in Denali Holdings I. Its limited shareholders, including Efinity, hold</w:t>
      </w:r>
      <w:r>
        <w:t xml:space="preserve"> </w:t>
      </w:r>
      <w:r>
        <w:t xml:space="preserve">“</w:t>
      </w:r>
      <w:r>
        <w:t xml:space="preserve">Strip Vehicle Shares</w:t>
      </w:r>
      <w:r>
        <w:t xml:space="preserve">”</w:t>
      </w:r>
      <w:r>
        <w:t xml:space="preserve"> </w:t>
      </w:r>
      <w:r>
        <w:t xml:space="preserve">that mirror the Denali I classes one for one. The SHA treats those Strip Vehicle Shares as</w:t>
      </w:r>
      <w:r>
        <w:t xml:space="preserve"> </w:t>
      </w:r>
      <w:r>
        <w:t xml:space="preserve">“</w:t>
      </w:r>
      <w:r>
        <w:t xml:space="preserve">Securities</w:t>
      </w:r>
      <w:r>
        <w:t xml:space="preserve">”</w:t>
      </w:r>
      <w:r>
        <w:t xml:space="preserve">, so the SHA transfer regime applies directly to a sale of Efinity’s Strip Vehicle Shares, not only to transfers at Denali I level. Your assumption is correct: it is a look-through pooling vehicle with the same economic rights, and the term sheet’s approach of listing the Sale Shares by Denali I class and pricing them off the Denali I waterfall is the right one.</w:t>
      </w:r>
    </w:p>
    <w:p>
      <w:pPr>
        <w:pStyle w:val="BodyText"/>
      </w:pPr>
      <w:r>
        <w:t xml:space="preserve">The transfer mechanics are simpler than the term sheet currently assumes. There is no pre-emption or right of first refusal, no tag-along is triggered by a sale by Efinity, and the leaver provisions do not apply to Institutional Strip. What the sale needs is Investor Consent (Denali EIS, acting through Denali GP, or an Investor Director), a deed of adherence from CEIS, registration by the Strip Vehicle’s general partner, and whatever the Denali Pooling articles themselves require, which I have not seen.</w:t>
      </w:r>
    </w:p>
    <w:bookmarkEnd w:id="20"/>
    <w:bookmarkStart w:id="21" w:name="what-the-sha-says-about-denali-pooling"/>
    <w:p>
      <w:pPr>
        <w:pStyle w:val="Heading2"/>
      </w:pPr>
      <w:r>
        <w:t xml:space="preserve">2. What the SHA says about Denali Pooling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Point</w:t>
            </w:r>
          </w:p>
        </w:tc>
        <w:tc>
          <w:tcPr/>
          <w:p>
            <w:pPr>
              <w:pStyle w:val="Compact"/>
              <w:jc w:val="left"/>
            </w:pPr>
            <w:r>
              <w:t xml:space="preserve">SHA reference</w:t>
            </w:r>
          </w:p>
        </w:tc>
        <w:tc>
          <w:tcPr/>
          <w:p>
            <w:pPr>
              <w:pStyle w:val="Compact"/>
              <w:jc w:val="left"/>
            </w:pPr>
            <w:r>
              <w:t xml:space="preserve">What it says</w:t>
            </w:r>
          </w:p>
        </w:tc>
      </w:tr>
      <w:tr>
        <w:tc>
          <w:tcPr/>
          <w:p>
            <w:pPr>
              <w:pStyle w:val="Compact"/>
              <w:jc w:val="left"/>
            </w:pPr>
            <w:r>
              <w:t xml:space="preserve">Identity</w:t>
            </w:r>
          </w:p>
        </w:tc>
        <w:tc>
          <w:tcPr/>
          <w:p>
            <w:pPr>
              <w:pStyle w:val="Compact"/>
              <w:jc w:val="left"/>
            </w:pPr>
            <w:r>
              <w:t xml:space="preserve">Parties, item 6</w:t>
            </w:r>
          </w:p>
        </w:tc>
        <w:tc>
          <w:tcPr/>
          <w:p>
            <w:pPr>
              <w:pStyle w:val="Compact"/>
              <w:jc w:val="left"/>
            </w:pPr>
            <w:r>
              <w:t xml:space="preserve">“</w:t>
            </w:r>
            <w:r>
              <w:t xml:space="preserve">Denali Pooling I S.C.A., a partnership limited by shares … represented by its managing general partner, the General Partner (the</w:t>
            </w:r>
            <w:r>
              <w:t xml:space="preserve"> </w:t>
            </w:r>
            <w:r>
              <w:t xml:space="preserve">‘</w:t>
            </w:r>
            <w:r>
              <w:t xml:space="preserve">Strip Vehicle</w:t>
            </w:r>
            <w:r>
              <w:t xml:space="preserve">’</w:t>
            </w:r>
            <w:r>
              <w:t xml:space="preserve">)</w:t>
            </w:r>
            <w:r>
              <w:t xml:space="preserve">”</w:t>
            </w:r>
            <w:r>
              <w:t xml:space="preserve">. The General Partner is Denali GP S.à r.l. (B284081), the same GP as Denali EIS.</w:t>
            </w:r>
          </w:p>
        </w:tc>
      </w:tr>
      <w:tr>
        <w:tc>
          <w:tcPr/>
          <w:p>
            <w:pPr>
              <w:pStyle w:val="Compact"/>
              <w:jc w:val="left"/>
            </w:pPr>
            <w:r>
              <w:t xml:space="preserve">Party status</w:t>
            </w:r>
          </w:p>
        </w:tc>
        <w:tc>
          <w:tcPr/>
          <w:p>
            <w:pPr>
              <w:pStyle w:val="Compact"/>
              <w:jc w:val="left"/>
            </w:pPr>
            <w:r>
              <w:t xml:space="preserve">Parties; clause 32.11.5</w:t>
            </w:r>
          </w:p>
        </w:tc>
        <w:tc>
          <w:tcPr/>
          <w:p>
            <w:pPr>
              <w:pStyle w:val="Compact"/>
              <w:jc w:val="left"/>
            </w:pPr>
            <w:r>
              <w:t xml:space="preserve">The Strip Vehicle is a full party to the SHA and acknowledges the voting waivers for Luxembourg law purposes.</w:t>
            </w:r>
          </w:p>
        </w:tc>
      </w:tr>
      <w:tr>
        <w:tc>
          <w:tcPr/>
          <w:p>
            <w:pPr>
              <w:pStyle w:val="Compact"/>
              <w:jc w:val="left"/>
            </w:pPr>
            <w:r>
              <w:t xml:space="preserve">What it holds</w:t>
            </w:r>
          </w:p>
        </w:tc>
        <w:tc>
          <w:tcPr/>
          <w:p>
            <w:pPr>
              <w:pStyle w:val="Compact"/>
              <w:jc w:val="left"/>
            </w:pPr>
            <w:r>
              <w:t xml:space="preserve">Schedule 14; definitions of</w:t>
            </w:r>
            <w:r>
              <w:t xml:space="preserve"> </w:t>
            </w:r>
            <w:r>
              <w:t xml:space="preserve">“</w:t>
            </w:r>
            <w:r>
              <w:t xml:space="preserve">Leadenhall Earn-Out Deferred Shares</w:t>
            </w:r>
            <w:r>
              <w:t xml:space="preserve">”</w:t>
            </w:r>
          </w:p>
        </w:tc>
        <w:tc>
          <w:tcPr/>
          <w:p>
            <w:pPr>
              <w:pStyle w:val="Compact"/>
              <w:jc w:val="left"/>
            </w:pPr>
            <w:r>
              <w:t xml:space="preserve">Preference Shares (A to H), Strip Ordinary Shares and 21,878,472 Deferred Shares in Denali I.</w:t>
            </w:r>
          </w:p>
        </w:tc>
      </w:tr>
      <w:tr>
        <w:tc>
          <w:tcPr/>
          <w:p>
            <w:pPr>
              <w:pStyle w:val="Compact"/>
              <w:jc w:val="left"/>
            </w:pPr>
            <w:r>
              <w:t xml:space="preserve">Strip Vehicle Shares</w:t>
            </w:r>
          </w:p>
        </w:tc>
        <w:tc>
          <w:tcPr/>
          <w:p>
            <w:pPr>
              <w:pStyle w:val="Compact"/>
              <w:jc w:val="left"/>
            </w:pPr>
            <w:r>
              <w:t xml:space="preserve">Definition</w:t>
            </w:r>
          </w:p>
        </w:tc>
        <w:tc>
          <w:tcPr/>
          <w:p>
            <w:pPr>
              <w:pStyle w:val="Compact"/>
              <w:jc w:val="left"/>
            </w:pPr>
            <w:r>
              <w:t xml:space="preserve">“</w:t>
            </w:r>
            <w:r>
              <w:t xml:space="preserve">the shares of the Strip Vehicle having the rights and being subject to the restrictions set out in this Deed and the Strip Vehicle Articles</w:t>
            </w:r>
            <w:r>
              <w:t xml:space="preserve">”</w:t>
            </w:r>
            <w:r>
              <w:t xml:space="preserve">. Schedule 14 describes Denali I shares as</w:t>
            </w:r>
            <w:r>
              <w:t xml:space="preserve"> </w:t>
            </w:r>
            <w:r>
              <w:t xml:space="preserve">“</w:t>
            </w:r>
            <w:r>
              <w:t xml:space="preserve">representing an equivalent number and class of Strip Vehicle Shares held by the Leadenhall Sellers</w:t>
            </w:r>
            <w:r>
              <w:t xml:space="preserve">”</w:t>
            </w:r>
            <w:r>
              <w:t xml:space="preserve">, which confirms the one-for-one class mirror.</w:t>
            </w:r>
          </w:p>
        </w:tc>
      </w:tr>
      <w:tr>
        <w:tc>
          <w:tcPr/>
          <w:p>
            <w:pPr>
              <w:pStyle w:val="Compact"/>
              <w:jc w:val="left"/>
            </w:pPr>
            <w:r>
              <w:t xml:space="preserve">Securities</w:t>
            </w:r>
          </w:p>
        </w:tc>
        <w:tc>
          <w:tcPr/>
          <w:p>
            <w:pPr>
              <w:pStyle w:val="Compact"/>
              <w:jc w:val="left"/>
            </w:pPr>
            <w:r>
              <w:t xml:space="preserve">Definition</w:t>
            </w:r>
          </w:p>
        </w:tc>
        <w:tc>
          <w:tcPr/>
          <w:p>
            <w:pPr>
              <w:pStyle w:val="Compact"/>
              <w:jc w:val="left"/>
            </w:pPr>
            <w:r>
              <w:t xml:space="preserve">Expressly includes Strip Vehicle Shares. Every restriction on</w:t>
            </w:r>
            <w:r>
              <w:t xml:space="preserve"> </w:t>
            </w:r>
            <w:r>
              <w:t xml:space="preserve">“</w:t>
            </w:r>
            <w:r>
              <w:t xml:space="preserve">Securities</w:t>
            </w:r>
            <w:r>
              <w:t xml:space="preserve">”</w:t>
            </w:r>
            <w:r>
              <w:t xml:space="preserve"> </w:t>
            </w:r>
            <w:r>
              <w:t xml:space="preserve">therefore bites on Efinity’s Denali Pooling shares.</w:t>
            </w:r>
          </w:p>
        </w:tc>
      </w:tr>
      <w:tr>
        <w:tc>
          <w:tcPr/>
          <w:p>
            <w:pPr>
              <w:pStyle w:val="Compact"/>
              <w:jc w:val="left"/>
            </w:pPr>
            <w:r>
              <w:t xml:space="preserve">Strip Vehicle Shareholders are</w:t>
            </w:r>
            <w:r>
              <w:t xml:space="preserve"> </w:t>
            </w:r>
            <w:r>
              <w:t xml:space="preserve">“</w:t>
            </w:r>
            <w:r>
              <w:t xml:space="preserve">Managers</w:t>
            </w:r>
            <w:r>
              <w:t xml:space="preserve">”</w:t>
            </w:r>
          </w:p>
        </w:tc>
        <w:tc>
          <w:tcPr/>
          <w:p>
            <w:pPr>
              <w:pStyle w:val="Compact"/>
              <w:jc w:val="left"/>
            </w:pPr>
            <w:r>
              <w:t xml:space="preserve">Definition of</w:t>
            </w:r>
            <w:r>
              <w:t xml:space="preserve"> </w:t>
            </w:r>
            <w:r>
              <w:t xml:space="preserve">“</w:t>
            </w:r>
            <w:r>
              <w:t xml:space="preserve">Managers</w:t>
            </w:r>
            <w:r>
              <w:t xml:space="preserve">”</w:t>
            </w:r>
            <w:r>
              <w:t xml:space="preserve">, limb (x)</w:t>
            </w:r>
          </w:p>
        </w:tc>
        <w:tc>
          <w:tcPr/>
          <w:p>
            <w:pPr>
              <w:pStyle w:val="Compact"/>
              <w:jc w:val="left"/>
            </w:pPr>
            <w:r>
              <w:t xml:space="preserve">“</w:t>
            </w:r>
            <w:r>
              <w:t xml:space="preserve">each person who is a limited liability shareholder of the Strip Vehicle … for so long as they hold … Ordinary Shares (or Strip Vehicle Shares)</w:t>
            </w:r>
            <w:r>
              <w:t xml:space="preserve">”</w:t>
            </w:r>
            <w:r>
              <w:t xml:space="preserve">. Efinity is a Manager for SHA purposes and a listed Corporate Strip Manager (Schedule 2 Part B, UBO Maciej Bud-Gusaim).</w:t>
            </w:r>
          </w:p>
        </w:tc>
      </w:tr>
      <w:tr>
        <w:tc>
          <w:tcPr/>
          <w:p>
            <w:pPr>
              <w:pStyle w:val="Compact"/>
              <w:jc w:val="left"/>
            </w:pPr>
            <w:r>
              <w:t xml:space="preserve">Voting</w:t>
            </w:r>
          </w:p>
        </w:tc>
        <w:tc>
          <w:tcPr/>
          <w:p>
            <w:pPr>
              <w:pStyle w:val="Compact"/>
              <w:jc w:val="left"/>
            </w:pPr>
            <w:r>
              <w:t xml:space="preserve">Clause 32.11.3</w:t>
            </w:r>
          </w:p>
        </w:tc>
        <w:tc>
          <w:tcPr/>
          <w:p>
            <w:pPr>
              <w:pStyle w:val="Compact"/>
              <w:jc w:val="left"/>
            </w:pPr>
            <w:r>
              <w:t xml:space="preserve">Strip Vehicle Shareholders have waived voting rights in the Strip Vehicle and granted an irrevocable power of attorney to the General Partner, except for</w:t>
            </w:r>
            <w:r>
              <w:t xml:space="preserve"> </w:t>
            </w:r>
            <w:r>
              <w:t xml:space="preserve">“</w:t>
            </w:r>
            <w:r>
              <w:t xml:space="preserve">Voting Matters</w:t>
            </w:r>
            <w:r>
              <w:t xml:space="preserve">”</w:t>
            </w:r>
            <w:r>
              <w:t xml:space="preserve"> </w:t>
            </w:r>
            <w:r>
              <w:t xml:space="preserve">reserved under the Strip Vehicle Articles.</w:t>
            </w:r>
          </w:p>
        </w:tc>
      </w:tr>
      <w:tr>
        <w:tc>
          <w:tcPr/>
          <w:p>
            <w:pPr>
              <w:pStyle w:val="Compact"/>
              <w:jc w:val="left"/>
            </w:pPr>
            <w:r>
              <w:t xml:space="preserve">Manager Majority Consent</w:t>
            </w:r>
          </w:p>
        </w:tc>
        <w:tc>
          <w:tcPr/>
          <w:p>
            <w:pPr>
              <w:pStyle w:val="Compact"/>
              <w:jc w:val="left"/>
            </w:pPr>
            <w:r>
              <w:t xml:space="preserve">Definition</w:t>
            </w:r>
          </w:p>
        </w:tc>
        <w:tc>
          <w:tcPr/>
          <w:p>
            <w:pPr>
              <w:pStyle w:val="Compact"/>
              <w:jc w:val="left"/>
            </w:pPr>
            <w:r>
              <w:t xml:space="preserve">Counts Ordinary Shares held by the Strip Vehicle. Efinity’s look-through Strip Ordinary Shares count toward that 75% Manager threshold today.</w:t>
            </w:r>
          </w:p>
        </w:tc>
      </w:tr>
      <w:tr>
        <w:tc>
          <w:tcPr/>
          <w:p>
            <w:pPr>
              <w:pStyle w:val="Compact"/>
              <w:jc w:val="left"/>
            </w:pPr>
            <w:r>
              <w:t xml:space="preserve">Waterfall</w:t>
            </w:r>
          </w:p>
        </w:tc>
        <w:tc>
          <w:tcPr/>
          <w:p>
            <w:pPr>
              <w:pStyle w:val="Compact"/>
              <w:jc w:val="left"/>
            </w:pPr>
            <w:r>
              <w:t xml:space="preserve">Schedule 11 Part C</w:t>
            </w:r>
          </w:p>
        </w:tc>
        <w:tc>
          <w:tcPr/>
          <w:p>
            <w:pPr>
              <w:pStyle w:val="Compact"/>
              <w:jc w:val="left"/>
            </w:pPr>
            <w:r>
              <w:t xml:space="preserve">Pays each class of Denali I share in order (H down to A Preference at Redemption Amount, then Deferred Shares at a nominal amount, then Strip and Sweet Ordinary). The Strip Vehicle receives as registered holder and passes through under its articles.</w:t>
            </w:r>
          </w:p>
        </w:tc>
      </w:tr>
      <w:tr>
        <w:tc>
          <w:tcPr/>
          <w:p>
            <w:pPr>
              <w:pStyle w:val="Compact"/>
              <w:jc w:val="left"/>
            </w:pPr>
            <w:r>
              <w:t xml:space="preserve">Information rights</w:t>
            </w:r>
          </w:p>
        </w:tc>
        <w:tc>
          <w:tcPr/>
          <w:p>
            <w:pPr>
              <w:pStyle w:val="Compact"/>
              <w:jc w:val="left"/>
            </w:pPr>
            <w:r>
              <w:t xml:space="preserve">Clause 6</w:t>
            </w:r>
          </w:p>
        </w:tc>
        <w:tc>
          <w:tcPr/>
          <w:p>
            <w:pPr>
              <w:pStyle w:val="Compact"/>
              <w:jc w:val="left"/>
            </w:pPr>
            <w:r>
              <w:t xml:space="preserve">Strip Vehicle Shareholders have direct information rights against the Investors and the Company.</w:t>
            </w:r>
          </w:p>
        </w:tc>
      </w:tr>
    </w:tbl>
    <w:bookmarkEnd w:id="21"/>
    <w:bookmarkStart w:id="22" w:name="X6a13ec772615f6bd345c87ffbc99eb77fd9dbc8"/>
    <w:p>
      <w:pPr>
        <w:pStyle w:val="Heading2"/>
      </w:pPr>
      <w:r>
        <w:t xml:space="preserve">3. Transfer regime applying to a sale by Efinity to CEIS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Mechanism</w:t>
            </w:r>
          </w:p>
        </w:tc>
        <w:tc>
          <w:tcPr/>
          <w:p>
            <w:pPr>
              <w:pStyle w:val="Compact"/>
              <w:jc w:val="left"/>
            </w:pPr>
            <w:r>
              <w:t xml:space="preserve">Applies?</w:t>
            </w:r>
          </w:p>
        </w:tc>
        <w:tc>
          <w:tcPr/>
          <w:p>
            <w:pPr>
              <w:pStyle w:val="Compact"/>
              <w:jc w:val="left"/>
            </w:pPr>
            <w:r>
              <w:t xml:space="preserve">SHA reference</w:t>
            </w:r>
          </w:p>
        </w:tc>
        <w:tc>
          <w:tcPr/>
          <w:p>
            <w:pPr>
              <w:pStyle w:val="Compact"/>
              <w:jc w:val="left"/>
            </w:pPr>
            <w:r>
              <w:t xml:space="preserve">Comment</w:t>
            </w:r>
          </w:p>
        </w:tc>
      </w:tr>
      <w:tr>
        <w:tc>
          <w:tcPr/>
          <w:p>
            <w:pPr>
              <w:pStyle w:val="Compact"/>
              <w:jc w:val="left"/>
            </w:pPr>
            <w:r>
              <w:t xml:space="preserve">General prohibition</w:t>
            </w:r>
          </w:p>
        </w:tc>
        <w:tc>
          <w:tcPr/>
          <w:p>
            <w:pPr>
              <w:pStyle w:val="Compact"/>
              <w:jc w:val="left"/>
            </w:pPr>
            <w:r>
              <w:t xml:space="preserve">Yes</w:t>
            </w:r>
          </w:p>
        </w:tc>
        <w:tc>
          <w:tcPr/>
          <w:p>
            <w:pPr>
              <w:pStyle w:val="Compact"/>
              <w:jc w:val="left"/>
            </w:pPr>
            <w:r>
              <w:t xml:space="preserve">Schedule 6 para 1.1</w:t>
            </w:r>
          </w:p>
        </w:tc>
        <w:tc>
          <w:tcPr/>
          <w:p>
            <w:pPr>
              <w:pStyle w:val="Compact"/>
              <w:jc w:val="left"/>
            </w:pPr>
            <w:r>
              <w:t xml:space="preserve">No Disposal of Securities unless permitted by the SHA, the Articles, the Strip Vehicle Articles and the 1915 Law. The GP of the Strip Vehicle must not register a non-compliant transfer; a breaching transfer is void.</w:t>
            </w:r>
          </w:p>
        </w:tc>
      </w:tr>
      <w:tr>
        <w:tc>
          <w:tcPr/>
          <w:p>
            <w:pPr>
              <w:pStyle w:val="Compact"/>
              <w:jc w:val="left"/>
            </w:pPr>
            <w:r>
              <w:t xml:space="preserve">Permitted routes for a Strip Vehicle Shareholder</w:t>
            </w:r>
          </w:p>
        </w:tc>
        <w:tc>
          <w:tcPr/>
          <w:p>
            <w:pPr>
              <w:pStyle w:val="Compact"/>
              <w:jc w:val="left"/>
            </w:pPr>
            <w:r>
              <w:t xml:space="preserve">Yes</w:t>
            </w:r>
          </w:p>
        </w:tc>
        <w:tc>
          <w:tcPr/>
          <w:p>
            <w:pPr>
              <w:pStyle w:val="Compact"/>
              <w:jc w:val="left"/>
            </w:pPr>
            <w:r>
              <w:t xml:space="preserve">Schedule 6 para 2.1</w:t>
            </w:r>
          </w:p>
        </w:tc>
        <w:tc>
          <w:tcPr/>
          <w:p>
            <w:pPr>
              <w:pStyle w:val="Compact"/>
              <w:jc w:val="left"/>
            </w:pPr>
            <w:r>
              <w:t xml:space="preserve">Efinity may only Dispose: (2.1.2) to a Permitted Transferee (a Manager’s Affiliates, i.e. its Related Holders, which CEIS is not); (2.1.3)</w:t>
            </w:r>
            <w:r>
              <w:t xml:space="preserve"> </w:t>
            </w:r>
            <w:r>
              <w:rPr>
                <w:bCs/>
                <w:b/>
              </w:rPr>
              <w:t xml:space="preserve">with an Investor Consent</w:t>
            </w:r>
            <w:r>
              <w:t xml:space="preserve">, which may be unconditional or subject to terms; (2.1.5, 2.1.6) under clause 12 or the Leadenhall Call Option Deed; (2.1.12) when required by the Strip Vehicle Articles; (2.1.14) to the Company or the Strip Vehicle with Investor Consent.</w:t>
            </w:r>
            <w:r>
              <w:t xml:space="preserve"> </w:t>
            </w:r>
            <w:r>
              <w:rPr>
                <w:bCs/>
                <w:b/>
              </w:rPr>
              <w:t xml:space="preserve">The sale to CEIS is a para 2.1.3 Investor Consent transfer.</w:t>
            </w:r>
          </w:p>
        </w:tc>
      </w:tr>
      <w:tr>
        <w:tc>
          <w:tcPr/>
          <w:p>
            <w:pPr>
              <w:pStyle w:val="Compact"/>
              <w:jc w:val="left"/>
            </w:pPr>
            <w:r>
              <w:t xml:space="preserve">Pre-emption / ROFR</w:t>
            </w:r>
          </w:p>
        </w:tc>
        <w:tc>
          <w:tcPr/>
          <w:p>
            <w:pPr>
              <w:pStyle w:val="Compact"/>
              <w:jc w:val="left"/>
            </w:pPr>
            <w:r>
              <w:rPr>
                <w:bCs/>
                <w:b/>
              </w:rPr>
              <w:t xml:space="preserve">No</w:t>
            </w:r>
          </w:p>
        </w:tc>
        <w:tc>
          <w:tcPr/>
          <w:p>
            <w:pPr>
              <w:pStyle w:val="Compact"/>
              <w:jc w:val="left"/>
            </w:pPr>
            <w:r>
              <w:t xml:space="preserve">Schedule 6</w:t>
            </w:r>
          </w:p>
        </w:tc>
        <w:tc>
          <w:tcPr/>
          <w:p>
            <w:pPr>
              <w:pStyle w:val="Compact"/>
              <w:jc w:val="left"/>
            </w:pPr>
            <w:r>
              <w:t xml:space="preserve">There is no offer-round or right of first refusal in favour of other Shareholders or Strip Vehicle Shareholders anywhere in Schedule 6. The term sheet’s references to</w:t>
            </w:r>
            <w:r>
              <w:t xml:space="preserve"> </w:t>
            </w:r>
            <w:r>
              <w:t xml:space="preserve">“</w:t>
            </w:r>
            <w:r>
              <w:t xml:space="preserve">pre-emption</w:t>
            </w:r>
            <w:r>
              <w:t xml:space="preserve">”</w:t>
            </w:r>
            <w:r>
              <w:t xml:space="preserve"> </w:t>
            </w:r>
            <w:r>
              <w:t xml:space="preserve">waivers can be dropped.</w:t>
            </w:r>
          </w:p>
        </w:tc>
      </w:tr>
      <w:tr>
        <w:tc>
          <w:tcPr/>
          <w:p>
            <w:pPr>
              <w:pStyle w:val="Compact"/>
              <w:jc w:val="left"/>
            </w:pPr>
            <w:r>
              <w:t xml:space="preserve">Tag-along</w:t>
            </w:r>
          </w:p>
        </w:tc>
        <w:tc>
          <w:tcPr/>
          <w:p>
            <w:pPr>
              <w:pStyle w:val="Compact"/>
              <w:jc w:val="left"/>
            </w:pPr>
            <w:r>
              <w:rPr>
                <w:bCs/>
                <w:b/>
              </w:rPr>
              <w:t xml:space="preserve">Not triggered</w:t>
            </w:r>
          </w:p>
        </w:tc>
        <w:tc>
          <w:tcPr/>
          <w:p>
            <w:pPr>
              <w:pStyle w:val="Compact"/>
              <w:jc w:val="left"/>
            </w:pPr>
            <w:r>
              <w:t xml:space="preserve">Schedule 8 para 1.2</w:t>
            </w:r>
          </w:p>
        </w:tc>
        <w:tc>
          <w:tcPr/>
          <w:p>
            <w:pPr>
              <w:pStyle w:val="Compact"/>
              <w:jc w:val="left"/>
            </w:pPr>
            <w:r>
              <w:t xml:space="preserve">Tag is triggered only by a Disposal of Preference or Strip Ordinary Shares</w:t>
            </w:r>
            <w:r>
              <w:t xml:space="preserve"> </w:t>
            </w:r>
            <w:r>
              <w:t xml:space="preserve">“</w:t>
            </w:r>
            <w:r>
              <w:t xml:space="preserve">by the Investors</w:t>
            </w:r>
            <w:r>
              <w:t xml:space="preserve">”</w:t>
            </w:r>
            <w:r>
              <w:t xml:space="preserve">. A sale by Efinity does not trigger it. (The Strip Vehicle is a Tag Beneficiary when the Investors sell, which is relevant to CEIS as a future holder, not to this transaction.)</w:t>
            </w:r>
          </w:p>
        </w:tc>
      </w:tr>
      <w:tr>
        <w:tc>
          <w:tcPr/>
          <w:p>
            <w:pPr>
              <w:pStyle w:val="Compact"/>
              <w:jc w:val="left"/>
            </w:pPr>
            <w:r>
              <w:t xml:space="preserve">Drag-along</w:t>
            </w:r>
          </w:p>
        </w:tc>
        <w:tc>
          <w:tcPr/>
          <w:p>
            <w:pPr>
              <w:pStyle w:val="Compact"/>
              <w:jc w:val="left"/>
            </w:pPr>
            <w:r>
              <w:t xml:space="preserve">Not relevant</w:t>
            </w:r>
          </w:p>
        </w:tc>
        <w:tc>
          <w:tcPr/>
          <w:p>
            <w:pPr>
              <w:pStyle w:val="Compact"/>
              <w:jc w:val="left"/>
            </w:pPr>
            <w:r>
              <w:t xml:space="preserve">Schedule 9</w:t>
            </w:r>
          </w:p>
        </w:tc>
        <w:tc>
          <w:tcPr/>
          <w:p>
            <w:pPr>
              <w:pStyle w:val="Compact"/>
              <w:jc w:val="left"/>
            </w:pPr>
            <w:r>
              <w:t xml:space="preserve">Investor-initiated only.</w:t>
            </w:r>
          </w:p>
        </w:tc>
      </w:tr>
      <w:tr>
        <w:tc>
          <w:tcPr/>
          <w:p>
            <w:pPr>
              <w:pStyle w:val="Compact"/>
              <w:jc w:val="left"/>
            </w:pPr>
            <w:r>
              <w:t xml:space="preserve">Compulsory transfer / leaver</w:t>
            </w:r>
          </w:p>
        </w:tc>
        <w:tc>
          <w:tcPr/>
          <w:p>
            <w:pPr>
              <w:pStyle w:val="Compact"/>
              <w:jc w:val="left"/>
            </w:pPr>
            <w:r>
              <w:rPr>
                <w:bCs/>
                <w:b/>
              </w:rPr>
              <w:t xml:space="preserve">No</w:t>
            </w:r>
          </w:p>
        </w:tc>
        <w:tc>
          <w:tcPr/>
          <w:p>
            <w:pPr>
              <w:pStyle w:val="Compact"/>
              <w:jc w:val="left"/>
            </w:pPr>
            <w:r>
              <w:t xml:space="preserve">Schedule 7 para 1; definition of Compulsory Transfer Shares/Interests</w:t>
            </w:r>
          </w:p>
        </w:tc>
        <w:tc>
          <w:tcPr/>
          <w:p>
            <w:pPr>
              <w:pStyle w:val="Compact"/>
              <w:jc w:val="left"/>
            </w:pPr>
            <w:r>
              <w:t xml:space="preserve">Applies to Personnel holding Sweet Equity. Institutional Strip is expressly excluded, and Efinity is not Personnel.</w:t>
            </w:r>
          </w:p>
        </w:tc>
      </w:tr>
      <w:tr>
        <w:tc>
          <w:tcPr/>
          <w:p>
            <w:pPr>
              <w:pStyle w:val="Compact"/>
              <w:jc w:val="left"/>
            </w:pPr>
            <w:r>
              <w:t xml:space="preserve">Registration</w:t>
            </w:r>
          </w:p>
        </w:tc>
        <w:tc>
          <w:tcPr/>
          <w:p>
            <w:pPr>
              <w:pStyle w:val="Compact"/>
              <w:jc w:val="left"/>
            </w:pPr>
            <w:r>
              <w:t xml:space="preserve">Yes</w:t>
            </w:r>
          </w:p>
        </w:tc>
        <w:tc>
          <w:tcPr/>
          <w:p>
            <w:pPr>
              <w:pStyle w:val="Compact"/>
              <w:jc w:val="left"/>
            </w:pPr>
            <w:r>
              <w:t xml:space="preserve">Schedule 6 paras 1.3, 1.4</w:t>
            </w:r>
          </w:p>
        </w:tc>
        <w:tc>
          <w:tcPr/>
          <w:p>
            <w:pPr>
              <w:pStyle w:val="Compact"/>
              <w:jc w:val="left"/>
            </w:pPr>
            <w:r>
              <w:t xml:space="preserve">If the transfer complies, the GP of the Strip Vehicle</w:t>
            </w:r>
            <w:r>
              <w:t xml:space="preserve"> </w:t>
            </w:r>
            <w:r>
              <w:t xml:space="preserve">“</w:t>
            </w:r>
            <w:r>
              <w:t xml:space="preserve">shall promptly register</w:t>
            </w:r>
            <w:r>
              <w:t xml:space="preserve">”</w:t>
            </w:r>
            <w:r>
              <w:t xml:space="preserve"> </w:t>
            </w:r>
            <w:r>
              <w:t xml:space="preserve">CEIS, and may first require evidence that the Disposal is permitted.</w:t>
            </w:r>
          </w:p>
        </w:tc>
      </w:tr>
      <w:tr>
        <w:tc>
          <w:tcPr/>
          <w:p>
            <w:pPr>
              <w:pStyle w:val="Compact"/>
              <w:jc w:val="left"/>
            </w:pPr>
            <w:r>
              <w:t xml:space="preserve">Deed of adherence</w:t>
            </w:r>
          </w:p>
        </w:tc>
        <w:tc>
          <w:tcPr/>
          <w:p>
            <w:pPr>
              <w:pStyle w:val="Compact"/>
              <w:jc w:val="left"/>
            </w:pPr>
            <w:r>
              <w:t xml:space="preserve">Yes</w:t>
            </w:r>
          </w:p>
        </w:tc>
        <w:tc>
          <w:tcPr/>
          <w:p>
            <w:pPr>
              <w:pStyle w:val="Compact"/>
              <w:jc w:val="left"/>
            </w:pPr>
            <w:r>
              <w:t xml:space="preserve">Clause 20.1.4</w:t>
            </w:r>
          </w:p>
        </w:tc>
        <w:tc>
          <w:tcPr/>
          <w:p>
            <w:pPr>
              <w:pStyle w:val="Compact"/>
              <w:jc w:val="left"/>
            </w:pPr>
            <w:r>
              <w:t xml:space="preserve">A transferee of Strip Vehicle Shares must sign the Part C (New Shareholder) deed of adherence; the form may be varied with Investor Consent (clause 20.2). Clause 20.1.2 applies instead if Efinity also holds Sweet Equity (see section 5).</w:t>
            </w:r>
          </w:p>
        </w:tc>
      </w:tr>
      <w:tr>
        <w:tc>
          <w:tcPr/>
          <w:p>
            <w:pPr>
              <w:pStyle w:val="Compact"/>
              <w:jc w:val="left"/>
            </w:pPr>
            <w:r>
              <w:t xml:space="preserve">KYC</w:t>
            </w:r>
          </w:p>
        </w:tc>
        <w:tc>
          <w:tcPr/>
          <w:p>
            <w:pPr>
              <w:pStyle w:val="Compact"/>
              <w:jc w:val="left"/>
            </w:pPr>
            <w:r>
              <w:t xml:space="preserve">Yes</w:t>
            </w:r>
          </w:p>
        </w:tc>
        <w:tc>
          <w:tcPr/>
          <w:p>
            <w:pPr>
              <w:pStyle w:val="Compact"/>
              <w:jc w:val="left"/>
            </w:pPr>
            <w:r>
              <w:t xml:space="preserve">Clause 20.1.5</w:t>
            </w:r>
          </w:p>
        </w:tc>
        <w:tc>
          <w:tcPr/>
          <w:p>
            <w:pPr>
              <w:pStyle w:val="Compact"/>
              <w:jc w:val="left"/>
            </w:pPr>
            <w:r>
              <w:t xml:space="preserve">CEIS must satisfy the Investors’ KYC. Trivial here.</w:t>
            </w:r>
          </w:p>
        </w:tc>
      </w:tr>
      <w:tr>
        <w:tc>
          <w:tcPr/>
          <w:p>
            <w:pPr>
              <w:pStyle w:val="Compact"/>
              <w:jc w:val="left"/>
            </w:pPr>
            <w:r>
              <w:t xml:space="preserve">Voting waiver re-grant</w:t>
            </w:r>
          </w:p>
        </w:tc>
        <w:tc>
          <w:tcPr/>
          <w:p>
            <w:pPr>
              <w:pStyle w:val="Compact"/>
              <w:jc w:val="left"/>
            </w:pPr>
            <w:r>
              <w:rPr>
                <w:bCs/>
                <w:b/>
              </w:rPr>
              <w:t xml:space="preserve">Not required</w:t>
            </w:r>
          </w:p>
        </w:tc>
        <w:tc>
          <w:tcPr/>
          <w:p>
            <w:pPr>
              <w:pStyle w:val="Compact"/>
              <w:jc w:val="left"/>
            </w:pPr>
            <w:r>
              <w:t xml:space="preserve">Clause 32.11.6</w:t>
            </w:r>
          </w:p>
        </w:tc>
        <w:tc>
          <w:tcPr/>
          <w:p>
            <w:pPr>
              <w:pStyle w:val="Compact"/>
              <w:jc w:val="left"/>
            </w:pPr>
            <w:r>
              <w:t xml:space="preserve">A transferee must normally re-grant the voting waiver,</w:t>
            </w:r>
            <w:r>
              <w:t xml:space="preserve"> </w:t>
            </w:r>
            <w:r>
              <w:t xml:space="preserve">“</w:t>
            </w:r>
            <w:r>
              <w:t xml:space="preserve">except if such Disposal is to the Investors (or any of their Affiliates …)</w:t>
            </w:r>
            <w:r>
              <w:t xml:space="preserve">”</w:t>
            </w:r>
            <w:r>
              <w:t xml:space="preserve">. CEIS is an Affiliate of the Investor (see section 4).</w:t>
            </w:r>
          </w:p>
        </w:tc>
      </w:tr>
      <w:tr>
        <w:tc>
          <w:tcPr/>
          <w:p>
            <w:pPr>
              <w:pStyle w:val="Compact"/>
              <w:jc w:val="left"/>
            </w:pPr>
            <w:r>
              <w:t xml:space="preserve">Shareholder approval under 1915 Law</w:t>
            </w:r>
          </w:p>
        </w:tc>
        <w:tc>
          <w:tcPr/>
          <w:p>
            <w:pPr>
              <w:pStyle w:val="Compact"/>
              <w:jc w:val="left"/>
            </w:pPr>
            <w:r>
              <w:t xml:space="preserve">Deemed</w:t>
            </w:r>
          </w:p>
        </w:tc>
        <w:tc>
          <w:tcPr/>
          <w:p>
            <w:pPr>
              <w:pStyle w:val="Compact"/>
              <w:jc w:val="left"/>
            </w:pPr>
            <w:r>
              <w:t xml:space="preserve">Clause 11.2</w:t>
            </w:r>
          </w:p>
        </w:tc>
        <w:tc>
          <w:tcPr/>
          <w:p>
            <w:pPr>
              <w:pStyle w:val="Compact"/>
              <w:jc w:val="left"/>
            </w:pPr>
            <w:r>
              <w:t xml:space="preserve">Shareholders undertake to approve any Disposal made in accordance with the SHA.</w:t>
            </w:r>
          </w:p>
        </w:tc>
      </w:tr>
      <w:tr>
        <w:tc>
          <w:tcPr/>
          <w:p>
            <w:pPr>
              <w:pStyle w:val="Compact"/>
              <w:jc w:val="left"/>
            </w:pPr>
            <w:r>
              <w:t xml:space="preserve">Investor reserved matters</w:t>
            </w:r>
          </w:p>
        </w:tc>
        <w:tc>
          <w:tcPr/>
          <w:p>
            <w:pPr>
              <w:pStyle w:val="Compact"/>
              <w:jc w:val="left"/>
            </w:pPr>
            <w:r>
              <w:t xml:space="preserve">No</w:t>
            </w:r>
          </w:p>
        </w:tc>
        <w:tc>
          <w:tcPr/>
          <w:p>
            <w:pPr>
              <w:pStyle w:val="Compact"/>
              <w:jc w:val="left"/>
            </w:pPr>
            <w:r>
              <w:t xml:space="preserve">Schedule 4 Part A para 8</w:t>
            </w:r>
          </w:p>
        </w:tc>
        <w:tc>
          <w:tcPr/>
          <w:p>
            <w:pPr>
              <w:pStyle w:val="Compact"/>
              <w:jc w:val="left"/>
            </w:pPr>
            <w:r>
              <w:t xml:space="preserve">Covers transactions between the Group and the Investors or their Affiliates. A purchase from Efinity is not a Group transaction.</w:t>
            </w:r>
          </w:p>
        </w:tc>
      </w:tr>
      <w:tr>
        <w:tc>
          <w:tcPr/>
          <w:p>
            <w:pPr>
              <w:pStyle w:val="Compact"/>
              <w:jc w:val="left"/>
            </w:pPr>
            <w:r>
              <w:t xml:space="preserve">Hermes</w:t>
            </w:r>
          </w:p>
        </w:tc>
        <w:tc>
          <w:tcPr/>
          <w:p>
            <w:pPr>
              <w:pStyle w:val="Compact"/>
              <w:jc w:val="left"/>
            </w:pPr>
            <w:r>
              <w:rPr>
                <w:bCs/>
                <w:b/>
              </w:rPr>
              <w:t xml:space="preserve">No direct right</w:t>
            </w:r>
          </w:p>
        </w:tc>
        <w:tc>
          <w:tcPr/>
          <w:p>
            <w:pPr>
              <w:pStyle w:val="Compact"/>
              <w:jc w:val="left"/>
            </w:pPr>
            <w:r>
              <w:t xml:space="preserve">Parties</w:t>
            </w:r>
          </w:p>
        </w:tc>
        <w:tc>
          <w:tcPr/>
          <w:p>
            <w:pPr>
              <w:pStyle w:val="Compact"/>
              <w:jc w:val="left"/>
            </w:pPr>
            <w:r>
              <w:t xml:space="preserve">Hermes is not a party to the SHA. Investor Consent is given by Denali EIS (through Denali GP) or an Investor Director. Whether Hermes has a say over the GP giving that consent is a Denali EIS LPA question, not an SHA question.</w:t>
            </w:r>
          </w:p>
        </w:tc>
      </w:tr>
    </w:tbl>
    <w:p>
      <w:pPr>
        <w:pStyle w:val="BodyText"/>
      </w:pPr>
      <w:r>
        <w:rPr>
          <w:bCs/>
          <w:b/>
        </w:rPr>
        <w:t xml:space="preserve">Not visible from the SHA:</w:t>
      </w:r>
      <w:r>
        <w:t xml:space="preserve"> </w:t>
      </w:r>
      <w:r>
        <w:t xml:space="preserve">the Strip Vehicle Articles. Schedule 6 para 1.1 makes the transfer also subject to them, and 2.1.12 contemplates transfers</w:t>
      </w:r>
      <w:r>
        <w:t xml:space="preserve"> </w:t>
      </w:r>
      <w:r>
        <w:t xml:space="preserve">“</w:t>
      </w:r>
      <w:r>
        <w:t xml:space="preserve">required by</w:t>
      </w:r>
      <w:r>
        <w:t xml:space="preserve">”</w:t>
      </w:r>
      <w:r>
        <w:t xml:space="preserve"> </w:t>
      </w:r>
      <w:r>
        <w:t xml:space="preserve">them. They may contain GP approval rights, their own transfer restrictions, or the mechanism by which a Strip Vehicle Shareholder’s shares are matched to Denali I classes. They need to be read before the conditions section is finalised.</w:t>
      </w:r>
    </w:p>
    <w:bookmarkEnd w:id="22"/>
    <w:bookmarkStart w:id="23" w:name="ceis-as-buyer-how-the-sha-would-treat-it"/>
    <w:p>
      <w:pPr>
        <w:pStyle w:val="Heading2"/>
      </w:pPr>
      <w:r>
        <w:t xml:space="preserve">4. CEIS as buyer: how the SHA would treat it</w:t>
      </w:r>
    </w:p>
    <w:p>
      <w:pPr>
        <w:numPr>
          <w:ilvl w:val="0"/>
          <w:numId w:val="1001"/>
        </w:numPr>
        <w:pStyle w:val="Compact"/>
      </w:pPr>
      <w:r>
        <w:rPr>
          <w:bCs/>
          <w:b/>
        </w:rPr>
        <w:t xml:space="preserve">CEIS is an Affiliate of the Investor.</w:t>
      </w:r>
      <w:r>
        <w:t xml:space="preserve"> </w:t>
      </w:r>
      <w:r>
        <w:t xml:space="preserve">Under limb (d)(iii) of</w:t>
      </w:r>
      <w:r>
        <w:t xml:space="preserve"> </w:t>
      </w:r>
      <w:r>
        <w:t xml:space="preserve">“</w:t>
      </w:r>
      <w:r>
        <w:t xml:space="preserve">Affiliate</w:t>
      </w:r>
      <w:r>
        <w:t xml:space="preserve">”</w:t>
      </w:r>
      <w:r>
        <w:t xml:space="preserve">, any</w:t>
      </w:r>
      <w:r>
        <w:t xml:space="preserve"> </w:t>
      </w:r>
      <w:r>
        <w:t xml:space="preserve">“</w:t>
      </w:r>
      <w:r>
        <w:t xml:space="preserve">holder of interests (whether directly or indirectly) in that Investor</w:t>
      </w:r>
      <w:r>
        <w:t xml:space="preserve">”</w:t>
      </w:r>
      <w:r>
        <w:t xml:space="preserve"> </w:t>
      </w:r>
      <w:r>
        <w:t xml:space="preserve">is an Affiliate of the Investor. CEIS is the 79% limited partner of Denali EIS. This matters for clause 32.11.6 (no voting waiver re-grant) and could support Investor Consent being granted on terms that treat CEIS as an Investor-side holder.</w:t>
      </w:r>
    </w:p>
    <w:p>
      <w:pPr>
        <w:numPr>
          <w:ilvl w:val="0"/>
          <w:numId w:val="1001"/>
        </w:numPr>
        <w:pStyle w:val="Compact"/>
      </w:pPr>
      <w:r>
        <w:rPr>
          <w:bCs/>
          <w:b/>
        </w:rPr>
        <w:t xml:space="preserve">CEIS would technically become a</w:t>
      </w:r>
      <w:r>
        <w:rPr>
          <w:bCs/>
          <w:b/>
        </w:rPr>
        <w:t xml:space="preserve"> </w:t>
      </w:r>
      <w:r>
        <w:rPr>
          <w:bCs/>
          <w:b/>
        </w:rPr>
        <w:t xml:space="preserve">“</w:t>
      </w:r>
      <w:r>
        <w:rPr>
          <w:bCs/>
          <w:b/>
        </w:rPr>
        <w:t xml:space="preserve">Manager</w:t>
      </w:r>
      <w:r>
        <w:rPr>
          <w:bCs/>
          <w:b/>
        </w:rPr>
        <w:t xml:space="preserve">”</w:t>
      </w:r>
      <w:r>
        <w:rPr>
          <w:bCs/>
          <w:b/>
        </w:rPr>
        <w:t xml:space="preserve">.</w:t>
      </w:r>
      <w:r>
        <w:t xml:space="preserve"> </w:t>
      </w:r>
      <w:r>
        <w:t xml:space="preserve">Limb (x) of the Managers definition sweeps in every limited shareholder of the Strip Vehicle. On a literal reading CEIS would, on acquiring Strip Vehicle Shares, be a</w:t>
      </w:r>
      <w:r>
        <w:t xml:space="preserve"> </w:t>
      </w:r>
      <w:r>
        <w:t xml:space="preserve">“</w:t>
      </w:r>
      <w:r>
        <w:t xml:space="preserve">Manager</w:t>
      </w:r>
      <w:r>
        <w:t xml:space="preserve">”</w:t>
      </w:r>
      <w:r>
        <w:t xml:space="preserve"> </w:t>
      </w:r>
      <w:r>
        <w:t xml:space="preserve">and subject to the Manager restrictive covenants (clause 19), the ownership undertakings (clause 22.10) and the Manager-side voting waivers. That is plainly not intended for a Corsair vehicle. The fix is in the deed of adherence: use clause 20.2 (Investor Consent to vary the form) so that CEIS adheres in a capacity that carves it out of the Manager provisions, or adheres as an Investor under Part B. This is a drafting point for the SPA and adherence deed, and the term sheet should foreshadow it.</w:t>
      </w:r>
    </w:p>
    <w:p>
      <w:pPr>
        <w:numPr>
          <w:ilvl w:val="0"/>
          <w:numId w:val="1001"/>
        </w:numPr>
        <w:pStyle w:val="Compact"/>
      </w:pPr>
      <w:r>
        <w:rPr>
          <w:bCs/>
          <w:b/>
        </w:rPr>
        <w:t xml:space="preserve">Manager Majority Consent arithmetic.</w:t>
      </w:r>
      <w:r>
        <w:t xml:space="preserve"> </w:t>
      </w:r>
      <w:r>
        <w:t xml:space="preserve">Because Ordinary Shares held by the Strip Vehicle count toward the Manager Majority Consent (a 75% threshold), moving about a quarter of the Strip Vehicle into Corsair hands shifts that calculation. The GP votes the Strip Vehicle’s Denali I shares, so the practical effect is limited, but it should be checked against how Manager Majority Consent is actually computed in practice.</w:t>
      </w:r>
    </w:p>
    <w:p>
      <w:pPr>
        <w:numPr>
          <w:ilvl w:val="0"/>
          <w:numId w:val="1001"/>
        </w:numPr>
        <w:pStyle w:val="Compact"/>
      </w:pPr>
      <w:r>
        <w:rPr>
          <w:bCs/>
          <w:b/>
        </w:rPr>
        <w:t xml:space="preserve">Direct versus via Denali EIS.</w:t>
      </w:r>
      <w:r>
        <w:t xml:space="preserve"> </w:t>
      </w:r>
      <w:r>
        <w:t xml:space="preserve">Nothing in the SHA prevents CEIS buying directly. Buying via Denali EIS would make the shares Investor-held Securities (with tag and drag consequences for everyone else on any later Investor sale) and would require a Denali EIS drawdown in which Hermes participates or is diluted. That is a commercial and Denali EIS LPA question, not an SHA constraint.</w:t>
      </w:r>
    </w:p>
    <w:bookmarkEnd w:id="23"/>
    <w:bookmarkStart w:id="24" w:name="X900ab280332ef66a79d633ff4af12538a2e386c"/>
    <w:p>
      <w:pPr>
        <w:pStyle w:val="Heading2"/>
      </w:pPr>
      <w:r>
        <w:t xml:space="preserve">5. Efinity-specific overlays that sit on these shares</w:t>
      </w:r>
    </w:p>
    <w:p>
      <w:pPr>
        <w:pStyle w:val="FirstParagraph"/>
      </w:pPr>
      <w:r>
        <w:t xml:space="preserve">Efinity is not a plain Strip Vehicle Shareholder. It is a</w:t>
      </w:r>
      <w:r>
        <w:t xml:space="preserve"> </w:t>
      </w:r>
      <w:r>
        <w:t xml:space="preserve">“</w:t>
      </w:r>
      <w:r>
        <w:t xml:space="preserve">Leadenhall Seller</w:t>
      </w:r>
      <w:r>
        <w:t xml:space="preserve">”</w:t>
      </w:r>
      <w:r>
        <w:t xml:space="preserve"> </w:t>
      </w:r>
      <w:r>
        <w:t xml:space="preserve">and its Strip Vehicle Shares came from the Leadenhall acquisition. Four SHA provisions attach to those shares and need to be addressed in the SPA:</w:t>
      </w:r>
    </w:p>
    <w:p>
      <w:pPr>
        <w:numPr>
          <w:ilvl w:val="0"/>
          <w:numId w:val="1002"/>
        </w:numPr>
        <w:pStyle w:val="Compact"/>
      </w:pPr>
      <w:r>
        <w:rPr>
          <w:bCs/>
          <w:b/>
        </w:rPr>
        <w:t xml:space="preserve">Earn-out redesignation (clause 12.1; Schedule 14 row 1).</w:t>
      </w:r>
      <w:r>
        <w:t xml:space="preserve"> </w:t>
      </w:r>
      <w:r>
        <w:t xml:space="preserve">The Strip Vehicle holds 21,878,472 Deferred Shares in Denali I representing an equivalent number of Strip Vehicle Shares held by the Leadenhall Sellers. On the Leadenhall earn-out being achieved they redesignate into 2,715,092 or 2,715,093 of each Preference class and 157,733 Strip Ordinary Shares.</w:t>
      </w:r>
      <w:r>
        <w:t xml:space="preserve"> </w:t>
      </w:r>
      <w:r>
        <w:rPr>
          <w:bCs/>
          <w:b/>
        </w:rPr>
        <w:t xml:space="preserve">Confirm whether this has happened.</w:t>
      </w:r>
      <w:r>
        <w:t xml:space="preserve"> </w:t>
      </w:r>
      <w:r>
        <w:t xml:space="preserve">If it has not, part of Efinity’s Strip Vehicle interest corresponds to Deferred Shares, which rank after all Preference Shares and receive only a nominal amount in the waterfall. The Sale Shares list in the term sheet shows only Preference and Strip Ordinary classes, so either the redesignation has occurred, or the Deferred-class Strip Vehicle Shares are being excluded, or the list is incomplete. Each needs a different drafting answer.</w:t>
      </w:r>
    </w:p>
    <w:p>
      <w:pPr>
        <w:numPr>
          <w:ilvl w:val="0"/>
          <w:numId w:val="1002"/>
        </w:numPr>
        <w:pStyle w:val="Compact"/>
      </w:pPr>
      <w:r>
        <w:rPr>
          <w:bCs/>
          <w:b/>
        </w:rPr>
        <w:t xml:space="preserve">Clawback redesignation (clause 12.2; Schedule 14 row 2).</w:t>
      </w:r>
      <w:r>
        <w:t xml:space="preserve"> </w:t>
      </w:r>
      <w:r>
        <w:t xml:space="preserve">8,145,277 or 8,145,278 of each Preference class and 473,199 Strip Ordinary Shares are</w:t>
      </w:r>
      <w:r>
        <w:t xml:space="preserve"> </w:t>
      </w:r>
      <w:r>
        <w:t xml:space="preserve">“</w:t>
      </w:r>
      <w:r>
        <w:t xml:space="preserve">Leadenhall Clawback Strip Shares</w:t>
      </w:r>
      <w:r>
        <w:t xml:space="preserve">”</w:t>
      </w:r>
      <w:r>
        <w:t xml:space="preserve">. They redesignate into Deferred Shares on a sliding scale if the Leadenhall Clawback Trigger Event occurred on or before 31 October 2024, with 33⅓% still at risk during 2027. The trigger window has closed, so this is a factual confirmation: if the trigger event did not occur, the clawback is dead and the SPA should say so by way of a seller warranty. If it did occur, the shares being sold are partly contingent.</w:t>
      </w:r>
    </w:p>
    <w:p>
      <w:pPr>
        <w:numPr>
          <w:ilvl w:val="0"/>
          <w:numId w:val="1002"/>
        </w:numPr>
        <w:pStyle w:val="Compact"/>
      </w:pPr>
      <w:r>
        <w:rPr>
          <w:bCs/>
          <w:b/>
        </w:rPr>
        <w:t xml:space="preserve">Leadenhall Call Option Deed (clause 12.3; Schedule 6 para 2.1.6).</w:t>
      </w:r>
      <w:r>
        <w:t xml:space="preserve"> </w:t>
      </w:r>
      <w:r>
        <w:t xml:space="preserve">A call option between the Original Investor, the Strip Vehicle, the Company and Efinity over the Clawback shares if redesignation fails. It is a separate deed not in the pack. Confirm it has lapsed or carve it out, and note the SPA title warranty (</w:t>
      </w:r>
      <w:r>
        <w:t xml:space="preserve">“</w:t>
      </w:r>
      <w:r>
        <w:t xml:space="preserve">free from … options</w:t>
      </w:r>
      <w:r>
        <w:t xml:space="preserve">”</w:t>
      </w:r>
      <w:r>
        <w:t xml:space="preserve">) must be true against it.</w:t>
      </w:r>
    </w:p>
    <w:p>
      <w:pPr>
        <w:numPr>
          <w:ilvl w:val="0"/>
          <w:numId w:val="1002"/>
        </w:numPr>
        <w:pStyle w:val="Compact"/>
      </w:pPr>
      <w:r>
        <w:rPr>
          <w:bCs/>
          <w:b/>
        </w:rPr>
        <w:t xml:space="preserve">Tax covenant (clause 12.4.3).</w:t>
      </w:r>
      <w:r>
        <w:t xml:space="preserve"> </w:t>
      </w:r>
      <w:r>
        <w:t xml:space="preserve">Each Leadenhall Seller covenants to pay the Company or Strip Vehicle for any Luxembourg tax arising from the clause 12 steps, for 10 years, with a right of set-off against cash payments to the Leadenhall Sellers. Make sure the SPA leaves this liability with Efinity and does not allow set-off against amounts due to CEIS as holder of the transferred shares.</w:t>
      </w:r>
    </w:p>
    <w:p>
      <w:pPr>
        <w:pStyle w:val="FirstParagraph"/>
      </w:pPr>
      <w:r>
        <w:t xml:space="preserve">Also: clause 18 recorded Efinity’s entitlement to allocate up to 43,136 Sweet Ordinary Shares to nominated persons. Confirm Efinity itself holds no Sweet Equity or Management Sweet Vehicle Interests. If it does, clause 20.1.2 would require CEIS to adhere as a Manager, and the</w:t>
      </w:r>
      <w:r>
        <w:t xml:space="preserve"> </w:t>
      </w:r>
      <w:r>
        <w:t xml:space="preserve">“</w:t>
      </w:r>
      <w:r>
        <w:t xml:space="preserve">entire holding</w:t>
      </w:r>
      <w:r>
        <w:t xml:space="preserve">”</w:t>
      </w:r>
      <w:r>
        <w:t xml:space="preserve"> </w:t>
      </w:r>
      <w:r>
        <w:t xml:space="preserve">statement in the term sheet would need to address those interests separately.</w:t>
      </w:r>
    </w:p>
    <w:bookmarkEnd w:id="24"/>
    <w:bookmarkStart w:id="25" w:name="entity-name-points-settled-by-the-sha"/>
    <w:p>
      <w:pPr>
        <w:pStyle w:val="Heading2"/>
      </w:pPr>
      <w:r>
        <w:t xml:space="preserve">6. Entity name points settled by the SHA</w:t>
      </w:r>
    </w:p>
    <w:p>
      <w:pPr>
        <w:numPr>
          <w:ilvl w:val="0"/>
          <w:numId w:val="1003"/>
        </w:numPr>
        <w:pStyle w:val="Compact"/>
      </w:pPr>
      <w:r>
        <w:rPr>
          <w:bCs/>
          <w:b/>
        </w:rPr>
        <w:t xml:space="preserve">Efinity</w:t>
      </w:r>
      <w:r>
        <w:t xml:space="preserve"> </w:t>
      </w:r>
      <w:r>
        <w:t xml:space="preserve">is spelt with one</w:t>
      </w:r>
      <w:r>
        <w:t xml:space="preserve"> </w:t>
      </w:r>
      <w:r>
        <w:t xml:space="preserve">“</w:t>
      </w:r>
      <w:r>
        <w:t xml:space="preserve">f</w:t>
      </w:r>
      <w:r>
        <w:t xml:space="preserve">”</w:t>
      </w:r>
      <w:r>
        <w:t xml:space="preserve"> </w:t>
      </w:r>
      <w:r>
        <w:t xml:space="preserve">in the SHA:</w:t>
      </w:r>
      <w:r>
        <w:t xml:space="preserve"> </w:t>
      </w:r>
      <w:r>
        <w:t xml:space="preserve">“</w:t>
      </w:r>
      <w:r>
        <w:t xml:space="preserve">Efinity Insurance Group Spółka Akcyjna</w:t>
      </w:r>
      <w:r>
        <w:t xml:space="preserve">”</w:t>
      </w:r>
      <w:r>
        <w:t xml:space="preserve">, KRS 0001119481, NIP 5214022651, Domaniewska 42, 02-672 Warsaw. The term sheet’s legal name is right except for</w:t>
      </w:r>
      <w:r>
        <w:t xml:space="preserve"> </w:t>
      </w:r>
      <w:r>
        <w:t xml:space="preserve">“</w:t>
      </w:r>
      <w:r>
        <w:t xml:space="preserve">Ackyjna</w:t>
      </w:r>
      <w:r>
        <w:t xml:space="preserve">”</w:t>
      </w:r>
      <w:r>
        <w:t xml:space="preserve"> </w:t>
      </w:r>
      <w:r>
        <w:t xml:space="preserve">(should be</w:t>
      </w:r>
      <w:r>
        <w:t xml:space="preserve"> </w:t>
      </w:r>
      <w:r>
        <w:t xml:space="preserve">“</w:t>
      </w:r>
      <w:r>
        <w:t xml:space="preserve">Akcyjna</w:t>
      </w:r>
      <w:r>
        <w:t xml:space="preserve">”</w:t>
      </w:r>
      <w:r>
        <w:t xml:space="preserve">); the defined term</w:t>
      </w:r>
      <w:r>
        <w:t xml:space="preserve"> </w:t>
      </w:r>
      <w:r>
        <w:t xml:space="preserve">“</w:t>
      </w:r>
      <w:r>
        <w:t xml:space="preserve">Effinity</w:t>
      </w:r>
      <w:r>
        <w:t xml:space="preserve">”</w:t>
      </w:r>
      <w:r>
        <w:t xml:space="preserve"> </w:t>
      </w:r>
      <w:r>
        <w:t xml:space="preserve">is the error and should become</w:t>
      </w:r>
      <w:r>
        <w:t xml:space="preserve"> </w:t>
      </w:r>
      <w:r>
        <w:t xml:space="preserve">“</w:t>
      </w:r>
      <w:r>
        <w:t xml:space="preserve">Efinity</w:t>
      </w:r>
      <w:r>
        <w:t xml:space="preserve">”</w:t>
      </w:r>
      <w:r>
        <w:t xml:space="preserve">.</w:t>
      </w:r>
    </w:p>
    <w:p>
      <w:pPr>
        <w:numPr>
          <w:ilvl w:val="0"/>
          <w:numId w:val="1003"/>
        </w:numPr>
        <w:pStyle w:val="Compact"/>
      </w:pPr>
      <w:r>
        <w:rPr>
          <w:bCs/>
          <w:b/>
        </w:rPr>
        <w:t xml:space="preserve">Denali Holdings I</w:t>
      </w:r>
      <w:r>
        <w:t xml:space="preserve"> </w:t>
      </w:r>
      <w:r>
        <w:t xml:space="preserve">(plural) is the registered name:</w:t>
      </w:r>
      <w:r>
        <w:t xml:space="preserve"> </w:t>
      </w:r>
      <w:r>
        <w:t xml:space="preserve">“</w:t>
      </w:r>
      <w:r>
        <w:t xml:space="preserve">Denali Holdings I, a private limited liability company (société à responsabilité limitée) … B283089</w:t>
      </w:r>
      <w:r>
        <w:t xml:space="preserve">”</w:t>
      </w:r>
      <w:r>
        <w:t xml:space="preserve">. The term sheet’s</w:t>
      </w:r>
      <w:r>
        <w:t xml:space="preserve"> </w:t>
      </w:r>
      <w:r>
        <w:t xml:space="preserve">“</w:t>
      </w:r>
      <w:r>
        <w:t xml:space="preserve">Denali Holding I S.a.r.L</w:t>
      </w:r>
      <w:r>
        <w:t xml:space="preserve">”</w:t>
      </w:r>
      <w:r>
        <w:t xml:space="preserve"> </w:t>
      </w:r>
      <w:r>
        <w:t xml:space="preserve">should become</w:t>
      </w:r>
      <w:r>
        <w:t xml:space="preserve"> </w:t>
      </w:r>
      <w:r>
        <w:t xml:space="preserve">“</w:t>
      </w:r>
      <w:r>
        <w:t xml:space="preserve">Denali Holdings I S.à r.l.</w:t>
      </w:r>
      <w:r>
        <w:t xml:space="preserve">”</w:t>
      </w:r>
      <w:r>
        <w:t xml:space="preserve"> </w:t>
      </w:r>
      <w:r>
        <w:t xml:space="preserve">and the SHA should be described as the</w:t>
      </w:r>
      <w:r>
        <w:t xml:space="preserve"> </w:t>
      </w:r>
      <w:r>
        <w:t xml:space="preserve">“</w:t>
      </w:r>
      <w:r>
        <w:t xml:space="preserve">Denali Holdings I shareholders’ agreement</w:t>
      </w:r>
      <w:r>
        <w:t xml:space="preserve">”</w:t>
      </w:r>
      <w:r>
        <w:t xml:space="preserve">.</w:t>
      </w:r>
    </w:p>
    <w:p>
      <w:pPr>
        <w:numPr>
          <w:ilvl w:val="0"/>
          <w:numId w:val="1003"/>
        </w:numPr>
        <w:pStyle w:val="Compact"/>
      </w:pPr>
      <w:r>
        <w:rPr>
          <w:bCs/>
          <w:b/>
        </w:rPr>
        <w:t xml:space="preserve">Denali Pooling I S.C.A.</w:t>
      </w:r>
      <w:r>
        <w:t xml:space="preserve"> </w:t>
      </w:r>
      <w:r>
        <w:t xml:space="preserve">with the General Partner Denali GP S.à r.l. (B284081). The term sheet’s</w:t>
      </w:r>
      <w:r>
        <w:t xml:space="preserve"> </w:t>
      </w:r>
      <w:r>
        <w:t xml:space="preserve">“</w:t>
      </w:r>
      <w:r>
        <w:t xml:space="preserve">Denali Pooling I SCA</w:t>
      </w:r>
      <w:r>
        <w:t xml:space="preserve">”</w:t>
      </w:r>
      <w:r>
        <w:t xml:space="preserve"> </w:t>
      </w:r>
      <w:r>
        <w:t xml:space="preserve">is fine.</w:t>
      </w:r>
    </w:p>
    <w:p>
      <w:pPr>
        <w:numPr>
          <w:ilvl w:val="0"/>
          <w:numId w:val="1003"/>
        </w:numPr>
        <w:pStyle w:val="Compact"/>
      </w:pPr>
      <w:r>
        <w:t xml:space="preserve">The SHA predates the structure chart’s</w:t>
      </w:r>
      <w:r>
        <w:t xml:space="preserve"> </w:t>
      </w:r>
      <w:r>
        <w:t xml:space="preserve">“</w:t>
      </w:r>
      <w:r>
        <w:t xml:space="preserve">Denali EIS 47.3% / Denali Pooling 27.5%</w:t>
      </w:r>
      <w:r>
        <w:t xml:space="preserve">”</w:t>
      </w:r>
      <w:r>
        <w:t xml:space="preserve"> </w:t>
      </w:r>
      <w:r>
        <w:t xml:space="preserve">split and the Maximus transaction. The 28 March 2024 date in the term sheet does not appear in this execution version, which is dated</w:t>
      </w:r>
      <w:r>
        <w:t xml:space="preserve"> </w:t>
      </w:r>
      <w:r>
        <w:t xml:space="preserve">“</w:t>
      </w:r>
      <w:r>
        <w:t xml:space="preserve">2024</w:t>
      </w:r>
      <w:r>
        <w:t xml:space="preserve">”</w:t>
      </w:r>
      <w:r>
        <w:t xml:space="preserve"> </w:t>
      </w:r>
      <w:r>
        <w:t xml:space="preserve">with the day blank; confirm the executed date.</w:t>
      </w:r>
    </w:p>
    <w:bookmarkEnd w:id="25"/>
    <w:bookmarkStart w:id="26" w:name="suggested-changes-to-the-term-sheet"/>
    <w:p>
      <w:pPr>
        <w:pStyle w:val="Heading2"/>
      </w:pPr>
      <w:r>
        <w:t xml:space="preserve">7. Suggested changes to the term sheet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Change</w:t>
            </w:r>
          </w:p>
        </w:tc>
      </w:tr>
      <w:tr>
        <w:tc>
          <w:tcPr/>
          <w:p>
            <w:pPr>
              <w:pStyle w:val="Compact"/>
              <w:jc w:val="left"/>
            </w:pPr>
            <w:r>
              <w:t xml:space="preserve">Transaction Overview</w:t>
            </w:r>
          </w:p>
        </w:tc>
        <w:tc>
          <w:tcPr/>
          <w:p>
            <w:pPr>
              <w:pStyle w:val="Compact"/>
              <w:jc w:val="left"/>
            </w:pPr>
            <w:r>
              <w:t xml:space="preserve">Describe the Sale Shares as</w:t>
            </w:r>
            <w:r>
              <w:t xml:space="preserve"> </w:t>
            </w:r>
            <w:r>
              <w:t xml:space="preserve">“</w:t>
            </w:r>
            <w:r>
              <w:t xml:space="preserve">shares in Denali Pooling (the</w:t>
            </w:r>
            <w:r>
              <w:t xml:space="preserve"> </w:t>
            </w:r>
            <w:r>
              <w:t xml:space="preserve">‘</w:t>
            </w:r>
            <w:r>
              <w:t xml:space="preserve">Strip Vehicle</w:t>
            </w:r>
            <w:r>
              <w:t xml:space="preserve">’</w:t>
            </w:r>
            <w:r>
              <w:t xml:space="preserve"> </w:t>
            </w:r>
            <w:r>
              <w:t xml:space="preserve">under the SHA), which holds the corresponding Preference Shares and Strip Ordinary Shares in Denali I</w:t>
            </w:r>
            <w:r>
              <w:t xml:space="preserve">”</w:t>
            </w:r>
            <w:r>
              <w:t xml:space="preserve">.</w:t>
            </w:r>
          </w:p>
        </w:tc>
      </w:tr>
      <w:tr>
        <w:tc>
          <w:tcPr/>
          <w:p>
            <w:pPr>
              <w:pStyle w:val="Compact"/>
              <w:jc w:val="left"/>
            </w:pPr>
            <w:r>
              <w:t xml:space="preserve">Sale Shares</w:t>
            </w:r>
          </w:p>
        </w:tc>
        <w:tc>
          <w:tcPr/>
          <w:p>
            <w:pPr>
              <w:pStyle w:val="Compact"/>
              <w:jc w:val="left"/>
            </w:pPr>
            <w:r>
              <w:t xml:space="preserve">Add:</w:t>
            </w:r>
            <w:r>
              <w:t xml:space="preserve"> </w:t>
            </w:r>
            <w:r>
              <w:t xml:space="preserve">“</w:t>
            </w:r>
            <w:r>
              <w:t xml:space="preserve">Each class of Sale Shares corresponds one-for-one to the equivalent class of shares in Denali I held by Denali Pooling.</w:t>
            </w:r>
            <w:r>
              <w:t xml:space="preserve">”</w:t>
            </w:r>
            <w:r>
              <w:t xml:space="preserve"> </w:t>
            </w:r>
            <w:r>
              <w:t xml:space="preserve">Then address the earn-out / Deferred Share position (section 5.1) explicitly: either confirm redesignation has occurred or state which Strip Vehicle Shares are excluded.</w:t>
            </w:r>
          </w:p>
        </w:tc>
      </w:tr>
      <w:tr>
        <w:tc>
          <w:tcPr/>
          <w:p>
            <w:pPr>
              <w:pStyle w:val="Compact"/>
              <w:jc w:val="left"/>
            </w:pPr>
            <w:r>
              <w:t xml:space="preserve">Valuation and Purchase Price</w:t>
            </w:r>
          </w:p>
        </w:tc>
        <w:tc>
          <w:tcPr/>
          <w:p>
            <w:pPr>
              <w:pStyle w:val="Compact"/>
              <w:jc w:val="left"/>
            </w:pPr>
            <w:r>
              <w:t xml:space="preserve">“</w:t>
            </w:r>
            <w:r>
              <w:t xml:space="preserve">the amount which the Denali I shares corresponding to the Sale Shares would be entitled to receive under the Proceeds Waterfall in Schedule 11 of the SHA on a notional Exit at the Agreed Valuation, as passed through to the Sale Shares under the Denali Pooling articles</w:t>
            </w:r>
            <w:r>
              <w:t xml:space="preserve">”</w:t>
            </w:r>
            <w:r>
              <w:t xml:space="preserve">.</w:t>
            </w:r>
          </w:p>
        </w:tc>
      </w:tr>
      <w:tr>
        <w:tc>
          <w:tcPr/>
          <w:p>
            <w:pPr>
              <w:pStyle w:val="Compact"/>
              <w:jc w:val="left"/>
            </w:pPr>
            <w:r>
              <w:t xml:space="preserve">Rights Attaching</w:t>
            </w:r>
          </w:p>
        </w:tc>
        <w:tc>
          <w:tcPr/>
          <w:p>
            <w:pPr>
              <w:pStyle w:val="Compact"/>
              <w:jc w:val="left"/>
            </w:pPr>
            <w:r>
              <w:t xml:space="preserve">Add that the Sale Shares are transferred free of any claim under clause 12 of the SHA (earn-out, clawback, call option) and that the clause 12.4.3 tax covenant remains with Efinity.</w:t>
            </w:r>
          </w:p>
        </w:tc>
      </w:tr>
      <w:tr>
        <w:tc>
          <w:tcPr/>
          <w:p>
            <w:pPr>
              <w:pStyle w:val="Compact"/>
              <w:jc w:val="left"/>
            </w:pPr>
            <w:r>
              <w:t xml:space="preserve">Conditions to Completion</w:t>
            </w:r>
          </w:p>
        </w:tc>
        <w:tc>
          <w:tcPr/>
          <w:p>
            <w:pPr>
              <w:pStyle w:val="Compact"/>
              <w:jc w:val="left"/>
            </w:pPr>
            <w:r>
              <w:t xml:space="preserve">Replace</w:t>
            </w:r>
            <w:r>
              <w:t xml:space="preserve"> </w:t>
            </w:r>
            <w:r>
              <w:t xml:space="preserve">“</w:t>
            </w:r>
            <w:r>
              <w:t xml:space="preserve">receipt of all consents and waivers required under the SHA and the Denali I constitutional documents</w:t>
            </w:r>
            <w:r>
              <w:t xml:space="preserve">”</w:t>
            </w:r>
            <w:r>
              <w:t xml:space="preserve"> </w:t>
            </w:r>
            <w:r>
              <w:t xml:space="preserve">with:</w:t>
            </w:r>
            <w:r>
              <w:t xml:space="preserve"> </w:t>
            </w:r>
            <w:r>
              <w:t xml:space="preserve">“</w:t>
            </w:r>
            <w:r>
              <w:t xml:space="preserve">(i) Investor Consent to the transfer under paragraph 2.1.3 of Schedule 6 of the SHA; (ii) any approval of the general partner of Denali Pooling required under the Denali Pooling articles; (iii) CEIS executing a deed of adherence under clause 20.1 of the SHA in a form agreed with Investor Consent; and (iv) registration of CEIS in the Denali Pooling share register</w:t>
            </w:r>
            <w:r>
              <w:t xml:space="preserve">”</w:t>
            </w:r>
            <w:r>
              <w:t xml:space="preserve">. Delete any reference to pre-emption or tag waivers; none are needed.</w:t>
            </w:r>
          </w:p>
        </w:tc>
      </w:tr>
      <w:tr>
        <w:tc>
          <w:tcPr/>
          <w:p>
            <w:pPr>
              <w:pStyle w:val="Compact"/>
              <w:jc w:val="left"/>
            </w:pPr>
            <w:r>
              <w:t xml:space="preserve">Documentation and Process</w:t>
            </w:r>
          </w:p>
        </w:tc>
        <w:tc>
          <w:tcPr/>
          <w:p>
            <w:pPr>
              <w:pStyle w:val="Compact"/>
              <w:jc w:val="left"/>
            </w:pPr>
            <w:r>
              <w:t xml:space="preserve">Add the deed of adherence and the Investor Consent letter to the document list. Note that Investor Consent is given by Denali EIS acting through Denali GP (or an Investor Director), i.e. by Corsair.</w:t>
            </w:r>
          </w:p>
        </w:tc>
      </w:tr>
      <w:tr>
        <w:tc>
          <w:tcPr/>
          <w:p>
            <w:pPr>
              <w:pStyle w:val="Compact"/>
              <w:jc w:val="left"/>
            </w:pPr>
            <w:r>
              <w:t xml:space="preserve">Warranties</w:t>
            </w:r>
          </w:p>
        </w:tc>
        <w:tc>
          <w:tcPr/>
          <w:p>
            <w:pPr>
              <w:pStyle w:val="Compact"/>
              <w:jc w:val="left"/>
            </w:pPr>
            <w:r>
              <w:t xml:space="preserve">Add a Seller warranty that no Leadenhall Clawback Trigger Event occurred and that the Leadenhall Call Option Deed has lapsed or does not apply to the Sale Shares.</w:t>
            </w:r>
          </w:p>
        </w:tc>
      </w:tr>
    </w:tbl>
    <w:bookmarkEnd w:id="26"/>
    <w:bookmarkStart w:id="27" w:name="what-i-could-not-verify"/>
    <w:p>
      <w:pPr>
        <w:pStyle w:val="Heading2"/>
      </w:pPr>
      <w:r>
        <w:t xml:space="preserve">8. What I could not verify</w:t>
      </w:r>
    </w:p>
    <w:p>
      <w:pPr>
        <w:numPr>
          <w:ilvl w:val="0"/>
          <w:numId w:val="1004"/>
        </w:numPr>
        <w:pStyle w:val="Compact"/>
      </w:pPr>
      <w:r>
        <w:t xml:space="preserve">The Strip Vehicle Articles (Denali Pooling I SCA articles): transfer restrictions, GP approval, Voting Matters and the class-matching mechanism.</w:t>
      </w:r>
    </w:p>
    <w:p>
      <w:pPr>
        <w:numPr>
          <w:ilvl w:val="0"/>
          <w:numId w:val="1004"/>
        </w:numPr>
        <w:pStyle w:val="Compact"/>
      </w:pPr>
      <w:r>
        <w:t xml:space="preserve">The Denali EIS LPA: whether Hermes has any consent right over Denali GP giving Investor Consent or over CEIS acquiring directly.</w:t>
      </w:r>
    </w:p>
    <w:p>
      <w:pPr>
        <w:numPr>
          <w:ilvl w:val="0"/>
          <w:numId w:val="1004"/>
        </w:numPr>
        <w:pStyle w:val="Compact"/>
      </w:pPr>
      <w:r>
        <w:t xml:space="preserve">The Leadenhall Call Option Deed and Leadenhall SPA: whether the earn-out has been achieved and whether the clawback trigger occurred.</w:t>
      </w:r>
    </w:p>
    <w:p>
      <w:pPr>
        <w:numPr>
          <w:ilvl w:val="0"/>
          <w:numId w:val="1004"/>
        </w:numPr>
        <w:pStyle w:val="Compact"/>
      </w:pPr>
      <w:r>
        <w:t xml:space="preserve">Whether the SHA has been amended since this execution version (the term sheet refers to</w:t>
      </w:r>
      <w:r>
        <w:t xml:space="preserve"> </w:t>
      </w:r>
      <w:r>
        <w:t xml:space="preserve">“</w:t>
      </w:r>
      <w:r>
        <w:t xml:space="preserve">as amended from time to time</w:t>
      </w:r>
      <w:r>
        <w:t xml:space="preserve">”</w:t>
      </w:r>
      <w:r>
        <w:t xml:space="preserv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2026-10-27T23:28:51Z</dcterms:created>
  <dcterms:modified xsi:type="dcterms:W3CDTF">2026-10-27T23:28:51Z</dcterms:modified>
</cp:coreProperties>
</file>

<file path=docProps/custom.xml><?xml version="1.0" encoding="utf-8"?>
<Properties xmlns="http://schemas.openxmlformats.org/officeDocument/2006/custom-properties" xmlns:vt="http://schemas.openxmlformats.org/officeDocument/2006/docPropsVTypes"/>
</file>