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Charging rates in Nordic business law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Market data briefing for a Nordic business-law investment: rate levels, pricing trends, AI impact and international leading indicators. Compiled 13 October 2026. Amounts are SEK per hour excluding VAT unless stated; each data point shows the period it relates to in [brackets]. Sections 1–5 cover the Nordic market; section 6 covers international (mainly US/UK) trends and whether they have reached the Nordics.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Top-tier Swedish partner list rates are SEK 6,000–10,000/h, associates SEK 3,600–4,150/h, junior associates SEK 2,300–3,350/h.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g-jm5hlam24mp7fjaeuyr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Rate cards; Realtid (Olle Flygt), 31 Mar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MAQS (sell-side model) prices partners at ~SEK 5,015/h and associates at ~SEK 2,753/h: roughly 30–37% below Mannheimer Swartling and Cederquist mid-points, consistent with a mid-market positioning (to be confirmed whether model rates are list or realised).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Sell-side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Swedish firms have shown pricing power: 2024 market growth of 8.4% with only 3.7% headcount growth, and fee income per lawyer of SEK 4.1–4.2m.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[2023–2024]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jvlnf3qjwlpawapreasas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Affärsvärlden, 5 Oct 2024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AI is changing the model rather than cutting prices so far: Nordic firms report more work, not less, and some (Delphi) argue senior rates rise as AI removes junior hours; subscriptions and fixed fees are emerging.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e_aenu-3zlq430uhpzsax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15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 leading indicators (7%+ annual rate rises, USD 3,000+/h elite partners, bank "AI discounts") have largely not yet reached the Nordics; fixed-fee pressure from Nordic banks is the main exception.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[2021–2026]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See section 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Nordic rate levels by seniority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Rate cards provided directly (Mannheimer Swartling, Cederquist) and the MAQS sell-side model: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50"/>
        <w:gridCol w:w="1800"/>
        <w:gridCol w:w="187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Mannheimer Swartling (date not stated)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Cederquist (2025)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MAQS (sell-side model)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 / Senior Advisor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6,000 – 10,000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6,500 – 8,000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5,015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Senior Associate / Counsel (MSA: 60+ months, incl. PDL, Specialist Counsel)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4,550 – 8,000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4,500 – 5,800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Associate (MSA: 25–59 months)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3,650 – 4,150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3,600 – 4,100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2,753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Junior Associate (MSA: 0–24 months)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2,750 – 3,350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2,300 – 3,100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Paralegal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1,500</w:t>
            </w:r>
          </w:p>
        </w:tc>
        <w:tc>
          <w:tcPr>
            <w:tcW w:type="dxa" w:w="1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2200"/>
        <w:gridCol w:w="2200"/>
      </w:tblGrid>
      <w:tr>
        <w:trPr>
          <w:tblHeader/>
        </w:trP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Comparison (mid-points)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Associate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Mannheimer Swartling vs Cederquist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+1%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MAQS (sell-side model) vs Cederquist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−31%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−28%</w:t>
            </w:r>
          </w:p>
        </w:tc>
      </w:tr>
      <w:tr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MAQS (sell-side model) vs Mannheimer Swartling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−37%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−29%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MAQS rates are taken from the sell-side model and are single rates rather than published ranges. If they are realised (effective) rates after discounts and write-offs, the gap to list-rate cards overstates the true price difference; if they are list rates, MAQS is clearly positioned below the top tier. The Mannheimer Swartling card is undated.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Market commentary on Nordic rate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Partners at top Swedish firms bill SEK 7,000–9,000/h, with 3–5 associates per partner billing ~SEK 3,000/h who "cost at most a third" of what they bill (Olle Flygt, ex-Vinge and Mannheimer Swartling partner).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5l8w6kh3tosiaotbbbvct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31 Mar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Flygt billed SEK 7,000–8,000/h in his final years at Mannheimer Swartling and argues advice "has become too expensive".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[pre-2025]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mtflvnjeopt1ss718sbiq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26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Indicative firm-wide ranges (third-party directory, tax practices, low reliability): MSA 4,500–8,000; Roschier 4,200–7,000; Vinge and DLA Piper 4,000–7,000; Schjødt and Cederquist 3,800–6,500; Setterwalls and Bird &amp; Bird 3,500–6,000; Delphi 3,200–5,500; Lindahl 3,000–5,500.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[accessed Oct 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rtxirex4xdneu2tm2w_qw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skatterätt.se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Norway: commercial litigation rates that were ~NOK 3,000/h have "doubled in a short time" according to the Norwegian Government Attorney.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nrpnsbu-vsxonoyzk2yx7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5 Jun 2026</w:t>
        </w:r>
      </w:hyperlink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Nordic rate trends and client pushback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Affärsvärlden: market growth 8.4% and operating margin 13.5% while lawyer headcount grew only 3.7%; firms are "better at charging".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[2024]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l2m9ggvaxzlcvqr-iq30i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Affärsvärlden, 5 Oct 2024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Rates are revised annually on 1 January (Cederquist); no Swedish firm was found publicly announcing a specific percentage increase for 2025 or 2026.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Cederquist fee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Firms expect fee income to grow 6.8% in 2026; IPO work was the weakest segment in 2025.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evws--szdtbvueoyhsdyk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26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Handelsbanken (Sweden) shares Norwegian banks' concerns over fee levels and is reviewing alternative pricing models.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[2021]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yz1lrvffld9onu8amvjpm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 Dec 2021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Norwegian banks: DNB required at least 50% of mandates on fixed fees in its previous framework; Handelsbanken Norway wants fixed fees.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[2021]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3mptl8dk77vptv_ip0lfa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25 Nov 2021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Client surveys (Regi): value for money among the lowest-rated criteria since 2008; price is the most common reason for switching firm.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[2008–2017]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9ofznnvmw4tgplrxsqjig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15 Dec 2017</w:t>
        </w:r>
      </w:hyperlink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Nordic billing models and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Fees must be reasonable (skäligt) under the Swedish Bar's code (rule 4.1.1); the assessment may weigh the agreement, scope, difficulty, importance, skill and result (4.1.2). Outcome-based elements rarely matter in practice; exact success-fee restrictions to be verified.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[2019]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kwcxxv8zszz8p_opgcxiq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 op-ed, 29 Mar 2019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Time-based billing remains the default (Cederquist: "time incurred basis", open to alternative arrangements per project).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Cederquist fee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Firms owned by external investors must leave the Bar (Advokatsamfundet bars external ownership of advokat firms); AGRD's member firms did so, which also takes them outside the Bar's fee rules.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See workbook section F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AI impact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4.1 Impact on the business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Leverage model at risk: top-firm economics rely on associates billing ~SEK 3,000/h at a third of cost; AI automates much of the junior work that drives this margin.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ccvjy_-080thz4iaxk_el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31 Mar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Roschier: AI has not reduced the volume of work; output can be produced faster but the amount of searchable data is almost unlimited and everything must be source-checked.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zhkuohi3ciezdatr5e5sv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 Oct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Setterwalls: international clients increasingly require firms to use generative AI and show how it improves advice, as a condition for winning work.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-zgeryanartonpbau-bov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 Oct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Investment by leading firms: Mannheimer Swartling runs an AI incubator (MSA Innovation Lab, where Legora was founded) and has bought an AI company; Vinge partners with Harvey AI; Gernandt &amp; Danielsson uses Legora (as a "second opinion" in disputes).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5f1zjpr8pudjixn5extdf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Affärsvärlden, 12 Apr 2025; Realtid, 3 Oct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Legora (Swedish legal-AI platform) raised a USD 550m Series D at ~USD 5.5bn valuation, extended by USD 50m in April 2026, signalling capital flowing into tools that substitute for associate hours.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[Mar–Apr 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1xj_-43fhxsinu5nxzpq5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Legal Tech Monitor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MAQS split: the Malmö practice (keeping the MAQS name from 1 Jan 2027) plans an "AI-forward premium" firm, while the Stockholm/Göteborg/Sundsvall offices (Keelion Law) pursue an integrated model.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[Aug 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gzoqem5lucaysvxjyidhy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20 Aug 2026</w:t>
        </w:r>
      </w:hyperlink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4.2 Impact on pricing and charging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Delphi (Agnes Hammarstrand): AI efficiency pushes senior hourly rates up as routine junior hours disappear; Delphi favours fixed monthly subscription arrangements over hourly billing.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kktvqfhnwlflrflc856wl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15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Baker McKenzie (which has a Stockholm office) has made a "strategic decision to largely abandon the billable-hour model".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pwkdqrxpmy9yhx9u7ymrh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15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Client expectation of AI-driven fee reductions is international, not yet Nordic-specific: in a European/US GC survey, 79% say AI should lower fees, 84% have seen no reduction and 72% believe firms keep the savings.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nsqikgu9los4moawcuutt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 Oct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Nordic client or bank has publicly demanded explicit "AI discounts" yet (US banks have; see section 6).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[Oct 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dnlhtheh_1d6e-zr3q4gt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 Sep 2026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Implications for an investor: </w:t>
      </w:r>
      <w:r>
        <w:rPr>
          <w:rFonts w:ascii="Calibri" w:cs="Calibri" w:eastAsia="Calibri" w:hAnsi="Calibri"/>
          <w:sz w:val="21"/>
          <w:szCs w:val="21"/>
        </w:rPr>
        <w:t xml:space="preserve">(i) revenue per partner may hold or rise as senior rates increase, but associate-hour volumes and leverage are at risk; (ii) firms with fixed-fee, subscription or value-based offerings are better placed if clients push for AI savings; (iii) diligence should test the share of revenue from junior-heavy, automatable work (due diligence, document review, standard drafting) and the firm's AI adoption and pricing roadmap.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Revenue per lawyer and implied realised rates (Sweden)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Affärsvärlden panel fee income per lawyer: SEK 4.22m (2023) and SEK 4.13m (2024); White &amp; Case Stockholm has the highest fee per lawyer.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[2023–2024]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wcoro23_eeljai52z_ybb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Affärsvärlden, 29 Apr 2024; Realtid, 3 Oct 2025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Illustrative: SEK 4.13m per lawyer implies a blended realised rate of ~SEK 2,580/h at 1,600 billable hours or ~SEK 2,950/h at 1,400 hours, well below list rates, reflecting leverage, write-offs and discounts. Notably close to the MAQS sell-side associate rate.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[2024]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Calculation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International pricing trends (leading indicators)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Leading indicators from the US and UK markets, and whether each has reached the Nordic market: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200"/>
        <w:gridCol w:w="32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Market / period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Reached the Nordics?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Annual rate increases of ~7% (US firms +7.3% avg; average top-100 lawyer &gt; USD 1,000/h)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US, 2025 (Thomson Reuters / Georgetown)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Partly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Swedish firms show pricing power (8.4% market growth vs 3.7% headcount, 2024) but no announced rate rises of this size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 rates +5.1%; M&amp;A partner rates +8.8%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US, 2025 invoices (LexisNexis CounselLink)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evidenced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Nordic rate-inflation data published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Elite partner rates USD 3,000–3,400/h; top-lawyer rates up 16% in a year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US, 2025–26 (WSJ)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 Swedish partners at SEK 7,000–10,000/h (~USD 700–1,000), a fraction of US elite levels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UK top-10 firms average GBP 449/h (2019: GBP 321)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UK, 2024 (PwC)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Partly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Swedish top-tier blended rates are below London; Norway reports litigation rates doubling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Clients/banks demanding explicit "AI discounts" (Goldman Sachs, Morgan Stanley, Citi)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US, 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yet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public demand by Nordic banks; Nordic banks' pushback so far is on fixed fees (DNB, Handelsbanken)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GC expectation that AI should lower fees (79%) but no reductions seen (84%)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Europe/US, 2026 (Juro)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Emerging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Setterwalls: international clients require AI use and evidence of benefit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Shift from billable hour to fixed fees, subscriptions, outcome-based pricing (90% of US spend still hourly)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US/global, 2026 (Thomson Reuters)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Emerging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Delphi subscriptions; Baker McKenzie abandoning the billable hour; DNB 50% fixed-fee requirement (Norway)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/ PE capital into law firms (MSO structures)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US, 2025–26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AGRD (Axcel) roll-up in Sweden since 2025; firms must leave the Bar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US: firms raised rates 7.3% on average in 2025; average top-100 lawyer above USD 1,000/h.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vxhsm2r0te4xv-q8bkdjb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3 Oct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US: LexisNexis CounselLink partner rates +5.1%, M&amp;A partner rates +8.8%.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1pmwinq-psqbrimxiqmkh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LexisNexis, 22 Apr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US: elite partners up to USD 3,000–3,400/h; top-lawyer rates at top-50 firms +16% in a year.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[2025–2026]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jhlw8qiwroa1okyl9a7up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 (WSJ), 19 Feb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 banks demand AI discounts in 2026 panel reviews.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[2026]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12axtg2ejia8y7xuqk2kz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Realtid, 1 Sep 2026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UK: top-10 firms average GBP 449/h; firms 11–25 average GBP 325 (PwC; snippet only).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 [2024]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Source: </w:t>
      </w:r>
      <w:hyperlink w:history="1" r:id="rIdsag4zlkzca9d7hi647seu">
        <w:r>
          <w:rPr>
            <w:rStyle w:val="Hyperlink"/>
            <w:rFonts w:ascii="Calibri" w:cs="Calibri" w:eastAsia="Calibri" w:hAnsi="Calibri"/>
            <w:i/>
            <w:iCs/>
            <w:sz w:val="18"/>
            <w:szCs w:val="18"/>
          </w:rPr>
          <w:t xml:space="preserve">Legal Cheek, Apr 2025</w:t>
        </w:r>
      </w:hyperlink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Data gaps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whether MAQS sell-side model rates are list or realised rates, and obtain the rate split for senior associates/counsel and juniors.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date of the Mannheimer Swartling rate card.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published rate cards found for Vinge, Setterwalls, Lindahl, Gernandt &amp; Danielsson, Delphi, Cirio or other top-20 Nordic firms; client invoices (e.g. via Axo, requested) would add realised-rate evidence.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 Nordic data on annual rate increases or AI-related discounts; consider expert calls with Nordic GCs/procurement leads.</w:t>
      </w: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/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-jm5hlam24mp7fjaeuyr" Type="http://schemas.openxmlformats.org/officeDocument/2006/relationships/hyperlink" Target="https://www.realtid.se/perfectweekend/affarsjuridikens-karna-det-har-blivit-for-mycket-fokus-pa-pengar/" TargetMode="External"/><Relationship Id="rIdjvlnf3qjwlpawapreasas" Type="http://schemas.openxmlformats.org/officeDocument/2006/relationships/hyperlink" Target="https://www.affarsvarlden.se/artikel/rekordar-vantas-2024-byraerna-har-blivit-annu-battre-pa-att-ta-betalt" TargetMode="External"/><Relationship Id="rIde_aenu-3zlq430uhpzsax" Type="http://schemas.openxmlformats.org/officeDocument/2006/relationships/hyperlink" Target="https://www.realtid.se/juridik/timarvoden-for-jurister-en-modell-pa-vag-ut/" TargetMode="External"/><Relationship Id="rId5l8w6kh3tosiaotbbbvct" Type="http://schemas.openxmlformats.org/officeDocument/2006/relationships/hyperlink" Target="https://www.realtid.se/perfectweekend/affarsjuridikens-karna-det-har-blivit-for-mycket-fokus-pa-pengar/" TargetMode="External"/><Relationship Id="rIdmtflvnjeopt1ss718sbiq" Type="http://schemas.openxmlformats.org/officeDocument/2006/relationships/hyperlink" Target="https://www.realtid.se/juridik/affarsjuridiken-vaxer-men-sprickorna-syns/" TargetMode="External"/><Relationship Id="rIdrtxirex4xdneu2tm2w_qw" Type="http://schemas.openxmlformats.org/officeDocument/2006/relationships/hyperlink" Target="https://www.xn--skattertt-12a.se/byra/vinge-skatt/" TargetMode="External"/><Relationship Id="rIdnrpnsbu-vsxonoyzk2yx7" Type="http://schemas.openxmlformats.org/officeDocument/2006/relationships/hyperlink" Target="https://www.realtid.se/juridik/regeringsadvokaten-slar-larm-advokatkostnaderna-skenar/" TargetMode="External"/><Relationship Id="rIdl2m9ggvaxzlcvqr-iq30i" Type="http://schemas.openxmlformats.org/officeDocument/2006/relationships/hyperlink" Target="https://www.affarsvarlden.se/artikel/rekordar-vantas-2024-byraerna-har-blivit-annu-battre-pa-att-ta-betalt" TargetMode="External"/><Relationship Id="rIdevws--szdtbvueoyhsdyk" Type="http://schemas.openxmlformats.org/officeDocument/2006/relationships/hyperlink" Target="https://www.realtid.se/juridik/affarsjuridiken-vaxer-men-sprickorna-syns/" TargetMode="External"/><Relationship Id="rIdyz1lrvffld9onu8amvjpm" Type="http://schemas.openxmlformats.org/officeDocument/2006/relationships/hyperlink" Target="https://www.realtid.se/bors-finans/nu-satter-handelsbanken-press-pa-hoga-advokatarvoden/" TargetMode="External"/><Relationship Id="rId3mptl8dk77vptv_ip0lfa" Type="http://schemas.openxmlformats.org/officeDocument/2006/relationships/hyperlink" Target="https://www.realtid.se/bors-finans/norska-protester-mot-dyra-advokater-nu-kraver-bankerna-fast-pris/" TargetMode="External"/><Relationship Id="rId9ofznnvmw4tgplrxsqjig" Type="http://schemas.openxmlformats.org/officeDocument/2006/relationships/hyperlink" Target="https://www.realtid.se/bors-finans/advokatbyraernas-prismodeller-forandras/" TargetMode="External"/><Relationship Id="rIdkwcxxv8zszz8p_opgcxiq" Type="http://schemas.openxmlformats.org/officeDocument/2006/relationships/hyperlink" Target="https://www.realtid.se/debatt/rimligt-att-ersattningen-innehaller-ett-moment-av-reglering" TargetMode="External"/><Relationship Id="rIdccvjy_-080thz4iaxk_el" Type="http://schemas.openxmlformats.org/officeDocument/2006/relationships/hyperlink" Target="https://www.realtid.se/perfectweekend/affarsjuridikens-karna-det-har-blivit-for-mycket-fokus-pa-pengar/" TargetMode="External"/><Relationship Id="rIdzhkuohi3ciezdatr5e5sv" Type="http://schemas.openxmlformats.org/officeDocument/2006/relationships/hyperlink" Target="https://www.realtid.se/bors-finans/affarer/154-miljarder-sa-klarade-affarsjuristerna-tullchocken/" TargetMode="External"/><Relationship Id="rId-zgeryanartonpbau-bov" Type="http://schemas.openxmlformats.org/officeDocument/2006/relationships/hyperlink" Target="https://www.realtid.se/bors-finans/affarer/154-miljarder-sa-klarade-affarsjuristerna-tullchocken/" TargetMode="External"/><Relationship Id="rId5f1zjpr8pudjixn5extdf" Type="http://schemas.openxmlformats.org/officeDocument/2006/relationships/hyperlink" Target="https://www.affarsvarlden.se/artikel/vinge-gar-om-msa-sa-gar-det-for-affarsjuristerna" TargetMode="External"/><Relationship Id="rId1xj_-43fhxsinu5nxzpq5" Type="http://schemas.openxmlformats.org/officeDocument/2006/relationships/hyperlink" Target="https://www.legaltechmonitor.com/2026/04/legora-raises-50m-series-d-extension-atlassian-and-nvidia-fund-join-as-investors/" TargetMode="External"/><Relationship Id="rIdgzoqem5lucaysvxjyidhy" Type="http://schemas.openxmlformats.org/officeDocument/2006/relationships/hyperlink" Target="https://www.realtid.se/juridik/advokatbyra-delas-malmo-bryter-sig-loss/" TargetMode="External"/><Relationship Id="rIdkktvqfhnwlflrflc856wl" Type="http://schemas.openxmlformats.org/officeDocument/2006/relationships/hyperlink" Target="https://www.realtid.se/juridik/timarvoden-for-jurister-en-modell-pa-vag-ut/" TargetMode="External"/><Relationship Id="rIdpwkdqrxpmy9yhx9u7ymrh" Type="http://schemas.openxmlformats.org/officeDocument/2006/relationships/hyperlink" Target="https://www.realtid.se/juridik/timarvoden-for-jurister-en-modell-pa-vag-ut/" TargetMode="External"/><Relationship Id="rIdnsqikgu9los4moawcuutt" Type="http://schemas.openxmlformats.org/officeDocument/2006/relationships/hyperlink" Target="https://www.realtid.se/juridik/kunderna-vill-ha-ai-rabatt-advokatbyraerna-hojer-priset/" TargetMode="External"/><Relationship Id="rIddnlhtheh_1d6e-zr3q4gt" Type="http://schemas.openxmlformats.org/officeDocument/2006/relationships/hyperlink" Target="https://www.realtid.se/juridik/storbankerna-kraver-ai-rabatt-av-advokatbyraerna/" TargetMode="External"/><Relationship Id="rIdwcoro23_eeljai52z_ybb" Type="http://schemas.openxmlformats.org/officeDocument/2006/relationships/hyperlink" Target="https://www.affarsvarlden.se/artikel/affarsjuristerna-om-trenden-pe-bolagen-kommer-vara-motorn" TargetMode="External"/><Relationship Id="rIdvxhsm2r0te4xv-q8bkdjb" Type="http://schemas.openxmlformats.org/officeDocument/2006/relationships/hyperlink" Target="https://www.realtid.se/juridik/kunderna-vill-ha-ai-rabatt-advokatbyraerna-hojer-priset/" TargetMode="External"/><Relationship Id="rId1pmwinq-psqbrimxiqmkh" Type="http://schemas.openxmlformats.org/officeDocument/2006/relationships/hyperlink" Target="https://www.lexisnexis.com/community/amp-pressroom/lexisnexis-counsellink-releases-2026-trends-report-as-rising-rates-and-big-law-share-of-wallet-continue-to-climb" TargetMode="External"/><Relationship Id="rIdjhlw8qiwroa1okyl9a7up" Type="http://schemas.openxmlformats.org/officeDocument/2006/relationships/hyperlink" Target="https://www.realtid.se/juridik/toppjuristers-arvoden-exploderar-samtidigt-hotar-ai-botten/" TargetMode="External"/><Relationship Id="rId12axtg2ejia8y7xuqk2kz" Type="http://schemas.openxmlformats.org/officeDocument/2006/relationships/hyperlink" Target="https://www.realtid.se/juridik/storbankerna-kraver-ai-rabatt-av-advokatbyraerna/" TargetMode="External"/><Relationship Id="rIdsag4zlkzca9d7hi647seu" Type="http://schemas.openxmlformats.org/officeDocument/2006/relationships/hyperlink" Target="https://www.legalcheek.com/2025/04/the-2000-per-hour-solicitor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Charging rates in Nordic business law</dc:title>
  <dc:creator>Research</dc:creator>
  <cp:lastModifiedBy>Un-named</cp:lastModifiedBy>
  <cp:revision>1</cp:revision>
  <dcterms:created xsi:type="dcterms:W3CDTF">2026-10-13T08:30:40.069Z</dcterms:created>
  <dcterms:modified xsi:type="dcterms:W3CDTF">2026-10-13T08:30:40.079Z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