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Charging rates in Nordic business law</w:t>
      </w:r>
    </w:p>
    <w:p>
      <w:pPr>
        <w:spacing w:after="120"/>
      </w:pPr>
      <w:r>
        <w:rPr>
          <w:rFonts w:ascii="Calibri" w:cs="Calibri" w:eastAsia="Calibri" w:hAnsi="Calibri"/>
          <w:i/>
          <w:iCs/>
          <w:color w:val="595959"/>
          <w:sz w:val="20"/>
          <w:szCs w:val="20"/>
        </w:rPr>
        <w:t xml:space="preserve">Market data briefing for a Nordic business-law investment: rate levels, pricing trends, AI impact and international leading indicators. Compiled 13 October 2026. Amounts are SEK per hour excluding VAT unless stated; each data point shows the period it relates to in [brackets]. Sections 1–5 cover the Nordic market; section 6 covers international (mainly US/UK) trends and whether they have reached the Nordics.</w:t>
      </w:r>
    </w:p>
    <w:p>
      <w:pPr>
        <w:pStyle w:val="Heading1"/>
        <w:spacing w:after="120" w:before="280"/>
      </w:pPr>
      <w:r>
        <w:rPr>
          <w:rFonts w:ascii="Calibri" w:cs="Calibri" w:eastAsia="Calibri" w:hAnsi="Calibri"/>
          <w:b/>
          <w:bCs/>
          <w:color w:val="1F3864"/>
          <w:sz w:val="28"/>
          <w:szCs w:val="28"/>
        </w:rPr>
        <w:t xml:space="preserve">Key takeaways</w:t>
      </w:r>
    </w:p>
    <w:p>
      <w:pPr>
        <w:pStyle w:val="ListParagraph"/>
        <w:numPr>
          <w:ilvl w:val="0"/>
          <w:numId w:val="2"/>
        </w:numPr>
        <w:spacing w:after="80"/>
      </w:pPr>
      <w:r>
        <w:rPr>
          <w:rFonts w:ascii="Calibri" w:cs="Calibri" w:eastAsia="Calibri" w:hAnsi="Calibri"/>
          <w:sz w:val="21"/>
          <w:szCs w:val="21"/>
        </w:rPr>
        <w:t xml:space="preserve">Top-tier Swedish partner list rates are SEK 6,000–10,000/h, associates SEK 3,600–4,150/h, junior associates SEK 2,300–3,350/h.</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c-74keqdyjw002jpyddwh">
        <w:r>
          <w:rPr>
            <w:rStyle w:val="Hyperlink"/>
            <w:rFonts w:ascii="Calibri" w:cs="Calibri" w:eastAsia="Calibri" w:hAnsi="Calibri"/>
            <w:i/>
            <w:iCs/>
            <w:sz w:val="18"/>
            <w:szCs w:val="18"/>
          </w:rPr>
          <w:t xml:space="preserve">Rate cards; Realtid (Olle Flygt), 31 Mar 2026</w:t>
        </w:r>
      </w:hyperlink>
    </w:p>
    <w:p>
      <w:pPr>
        <w:pStyle w:val="ListParagraph"/>
        <w:numPr>
          <w:ilvl w:val="0"/>
          <w:numId w:val="2"/>
        </w:numPr>
        <w:spacing w:after="80"/>
      </w:pPr>
      <w:r>
        <w:rPr>
          <w:rFonts w:ascii="Calibri" w:cs="Calibri" w:eastAsia="Calibri" w:hAnsi="Calibri"/>
          <w:sz w:val="21"/>
          <w:szCs w:val="21"/>
        </w:rPr>
        <w:t xml:space="preserve">MAQS (sell-side model) prices partners at ~SEK 5,015/h and associates at ~SEK 2,753/h: roughly 30–37% below Mannheimer Swartling and Cederquist mid-points, consistent with a mid-market positioning (to be confirmed whether model rates are list or realised).</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Sell-side model</w:t>
      </w:r>
    </w:p>
    <w:p>
      <w:pPr>
        <w:pStyle w:val="ListParagraph"/>
        <w:numPr>
          <w:ilvl w:val="0"/>
          <w:numId w:val="2"/>
        </w:numPr>
        <w:spacing w:after="80"/>
      </w:pPr>
      <w:r>
        <w:rPr>
          <w:rFonts w:ascii="Calibri" w:cs="Calibri" w:eastAsia="Calibri" w:hAnsi="Calibri"/>
          <w:sz w:val="21"/>
          <w:szCs w:val="21"/>
        </w:rPr>
        <w:t xml:space="preserve">Swedish firms have shown pricing power: 2024 market growth of 8.4% with only 3.7% headcount growth, and fee income per lawyer of SEK 4.1–4.2m.</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id-fdsyvb7qt4ocgbxc4q">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AI is changing the model rather than cutting prices so far: Nordic firms report more work, not less, and some (Delphi) argue senior rates rise as AI removes junior hours; subscriptions and fixed fees are emerging.</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pr7ctmaahgd8koygawwc2">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US leading indicators (7%+ annual rate rises, USD 3,000+/h elite partners, bank "AI discounts") have largely not yet reached the Nordics; fixed-fee pressure from Nordic banks is the main exception.</w:t>
      </w:r>
      <w:r>
        <w:rPr>
          <w:rFonts w:ascii="Calibri" w:cs="Calibri" w:eastAsia="Calibri" w:hAnsi="Calibri"/>
          <w:b/>
          <w:bCs/>
          <w:color w:val="595959"/>
          <w:sz w:val="19"/>
          <w:szCs w:val="19"/>
        </w:rPr>
        <w:t xml:space="preserve"> [2021–2026]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section 6</w:t>
      </w:r>
    </w:p>
    <w:p>
      <w:pPr>
        <w:pStyle w:val="Heading1"/>
        <w:spacing w:after="120" w:before="280"/>
      </w:pPr>
      <w:r>
        <w:rPr>
          <w:rFonts w:ascii="Calibri" w:cs="Calibri" w:eastAsia="Calibri" w:hAnsi="Calibri"/>
          <w:b/>
          <w:bCs/>
          <w:color w:val="1F3864"/>
          <w:sz w:val="28"/>
          <w:szCs w:val="28"/>
        </w:rPr>
        <w:t xml:space="preserve">1. Nordic rate levels by seniority</w:t>
      </w:r>
    </w:p>
    <w:p>
      <w:pPr>
        <w:spacing w:after="120"/>
      </w:pPr>
      <w:r>
        <w:rPr>
          <w:rFonts w:ascii="Calibri" w:cs="Calibri" w:eastAsia="Calibri" w:hAnsi="Calibri"/>
          <w:sz w:val="21"/>
          <w:szCs w:val="21"/>
        </w:rPr>
        <w:t xml:space="preserve">Rate cards provided directly (Mannheimer Swartling, Cederquist) and the MAQS sell-side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50"/>
        <w:gridCol w:w="1800"/>
        <w:gridCol w:w="1876"/>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Level</w:t>
            </w:r>
          </w:p>
        </w:tc>
        <w:tc>
          <w:tcPr>
            <w:tcW w:type="dxa" w:w="20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Mannheimer Swartling (date not stated)</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Cederquist (2025)</w:t>
            </w:r>
          </w:p>
        </w:tc>
        <w:tc>
          <w:tcPr>
            <w:tcW w:type="dxa" w:w="187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MAQS (sell-side model)</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 Senior Advisor</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6,000 –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6,500 – 8,000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5,015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Senior Associate / Counsel (MSA: 60+ months, incl. PDL, Specialist Counsel)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4,550 – 8,000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4,500 – 5,800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(MSA: 25–59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3,650 – 4,150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3,600 – 4,100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2,753</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Junior Associate (MSA: 0–24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2,750 – 3,350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2,300 – 3,100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Paralegal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1,500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bl>
    <w:p>
      <w:pPr>
        <w:spacing w:after="120"/>
      </w:pPr>
      <w:r>
        <w:rPr>
          <w:rFonts w:ascii="Calibri" w:cs="Calibri" w:eastAsia="Calibri" w:hAnsi="Calibri"/>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Comparison (mid-points)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Partner</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Associate</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Mannheimer Swartling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−31%</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−28%</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Mannheimer Swartling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−37%</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−29%</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i/>
          <w:iCs/>
          <w:color w:val="595959"/>
          <w:sz w:val="18"/>
          <w:szCs w:val="18"/>
        </w:rPr>
        <w:t xml:space="preserve">MAQS rates are taken from the sell-side model and are single rates rather than published ranges. If they are realised (effective) rates after discounts and write-offs, the gap to list-rate cards overstates the true price difference; if they are list rates, MAQS is clearly positioned below the top tier. The Mannheimer Swartling card is undated.</w:t>
      </w:r>
    </w:p>
    <w:p>
      <w:pPr>
        <w:pStyle w:val="Heading2"/>
        <w:spacing w:after="80" w:before="200"/>
      </w:pPr>
      <w:r>
        <w:rPr>
          <w:rFonts w:ascii="Calibri" w:cs="Calibri" w:eastAsia="Calibri" w:hAnsi="Calibri"/>
          <w:b/>
          <w:bCs/>
          <w:color w:val="1F3864"/>
          <w:sz w:val="23"/>
          <w:szCs w:val="23"/>
        </w:rPr>
        <w:t xml:space="preserve">Market commentary on Nordic rate levels</w:t>
      </w:r>
    </w:p>
    <w:p>
      <w:pPr>
        <w:pStyle w:val="ListParagraph"/>
        <w:numPr>
          <w:ilvl w:val="0"/>
          <w:numId w:val="2"/>
        </w:numPr>
        <w:spacing w:after="80"/>
      </w:pPr>
      <w:r>
        <w:rPr>
          <w:rFonts w:ascii="Calibri" w:cs="Calibri" w:eastAsia="Calibri" w:hAnsi="Calibri"/>
          <w:sz w:val="21"/>
          <w:szCs w:val="21"/>
        </w:rPr>
        <w:t xml:space="preserve">Partners at top Swedish firms bill SEK 7,000–9,000/h, with 3–5 associates per partner billing ~SEK 3,000/h who "cost at most a third" of what they bill (Olle Flygt, ex-Vinge and Mannheimer Swartling partner).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rq642ko2g4d2bk-x-kk_e">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Flygt billed SEK 7,000–8,000/h in his final years at Mannheimer Swartling and argues advice "has become too expensive".</w:t>
      </w:r>
      <w:r>
        <w:rPr>
          <w:rFonts w:ascii="Calibri" w:cs="Calibri" w:eastAsia="Calibri" w:hAnsi="Calibri"/>
          <w:b/>
          <w:bCs/>
          <w:color w:val="595959"/>
          <w:sz w:val="19"/>
          <w:szCs w:val="19"/>
        </w:rPr>
        <w:t xml:space="preserve"> [pre-2025]</w:t>
      </w:r>
      <w:r>
        <w:rPr>
          <w:rFonts w:ascii="Calibri" w:cs="Calibri" w:eastAsia="Calibri" w:hAnsi="Calibri"/>
          <w:i/>
          <w:iCs/>
          <w:color w:val="595959"/>
          <w:sz w:val="18"/>
          <w:szCs w:val="18"/>
        </w:rPr>
        <w:t xml:space="preserve"> Source: </w:t>
      </w:r>
      <w:hyperlink w:history="1" r:id="rIddlvfy0qi0oqn5cjmtruhb">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Indicative firm-wide ranges (third-party directory, tax practices, low reliability): MSA 4,500–8,000; Roschier 4,200–7,000; Vinge and DLA Piper 4,000–7,000; Schjødt and Cederquist 3,800–6,500; Setterwalls and Bird &amp; Bird 3,500–6,000; Delphi 3,200–5,500; Lindahl 3,000–5,500.</w:t>
      </w:r>
      <w:r>
        <w:rPr>
          <w:rFonts w:ascii="Calibri" w:cs="Calibri" w:eastAsia="Calibri" w:hAnsi="Calibri"/>
          <w:b/>
          <w:bCs/>
          <w:color w:val="595959"/>
          <w:sz w:val="19"/>
          <w:szCs w:val="19"/>
        </w:rPr>
        <w:t xml:space="preserve"> [accessed Oct 2026]</w:t>
      </w:r>
      <w:r>
        <w:rPr>
          <w:rFonts w:ascii="Calibri" w:cs="Calibri" w:eastAsia="Calibri" w:hAnsi="Calibri"/>
          <w:i/>
          <w:iCs/>
          <w:color w:val="595959"/>
          <w:sz w:val="18"/>
          <w:szCs w:val="18"/>
        </w:rPr>
        <w:t xml:space="preserve"> Source: </w:t>
      </w:r>
      <w:hyperlink w:history="1" r:id="rIdgcr_oxnu0gawjer6e1c9v">
        <w:r>
          <w:rPr>
            <w:rStyle w:val="Hyperlink"/>
            <w:rFonts w:ascii="Calibri" w:cs="Calibri" w:eastAsia="Calibri" w:hAnsi="Calibri"/>
            <w:i/>
            <w:iCs/>
            <w:sz w:val="18"/>
            <w:szCs w:val="18"/>
          </w:rPr>
          <w:t xml:space="preserve">skatterätt.se</w:t>
        </w:r>
      </w:hyperlink>
    </w:p>
    <w:p>
      <w:pPr>
        <w:pStyle w:val="ListParagraph"/>
        <w:numPr>
          <w:ilvl w:val="0"/>
          <w:numId w:val="2"/>
        </w:numPr>
        <w:spacing w:after="80"/>
      </w:pPr>
      <w:r>
        <w:rPr>
          <w:rFonts w:ascii="Calibri" w:cs="Calibri" w:eastAsia="Calibri" w:hAnsi="Calibri"/>
          <w:sz w:val="21"/>
          <w:szCs w:val="21"/>
        </w:rPr>
        <w:t xml:space="preserve">Norway: commercial litigation rates that were ~NOK 3,000/h have "doubled in a short time" according to the Norwegian Government Attorney.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lzmywf5gbuk8bia7xtbln">
        <w:r>
          <w:rPr>
            <w:rStyle w:val="Hyperlink"/>
            <w:rFonts w:ascii="Calibri" w:cs="Calibri" w:eastAsia="Calibri" w:hAnsi="Calibri"/>
            <w:i/>
            <w:iCs/>
            <w:sz w:val="18"/>
            <w:szCs w:val="18"/>
          </w:rPr>
          <w:t xml:space="preserve">Realtid, 5 Jun 2026</w:t>
        </w:r>
      </w:hyperlink>
    </w:p>
    <w:p>
      <w:pPr>
        <w:pStyle w:val="Heading2"/>
        <w:spacing w:after="80" w:before="200"/>
      </w:pPr>
      <w:r>
        <w:rPr>
          <w:rFonts w:ascii="Calibri" w:cs="Calibri" w:eastAsia="Calibri" w:hAnsi="Calibri"/>
          <w:b/>
          <w:bCs/>
          <w:color w:val="1F3864"/>
          <w:sz w:val="23"/>
          <w:szCs w:val="23"/>
        </w:rPr>
        <w:t xml:space="preserve">Top-firm economics: profit distribution, rates and leverage (Vinge and Mannheimer Swartling)</w:t>
      </w:r>
    </w:p>
    <w:p>
      <w:pPr>
        <w:spacing w:after="120"/>
      </w:pPr>
      <w:r>
        <w:rPr>
          <w:rFonts w:ascii="Calibri" w:cs="Calibri" w:eastAsia="Calibri" w:hAnsi="Calibri"/>
          <w:sz w:val="21"/>
          <w:szCs w:val="21"/>
        </w:rPr>
        <w:t xml:space="preserve">Based on Realtid's interview series with Olle Flygt (advokat with three decades at Vinge and Mannheimer Swartling), published 1 April 2026, supplemented with FY2025 annual-report data:</w:t>
      </w:r>
    </w:p>
    <w:p>
      <w:pPr>
        <w:pStyle w:val="ListParagraph"/>
        <w:numPr>
          <w:ilvl w:val="0"/>
          <w:numId w:val="2"/>
        </w:numPr>
        <w:spacing w:after="80"/>
      </w:pPr>
      <w:r>
        <w:rPr>
          <w:rFonts w:ascii="Calibri" w:cs="Calibri" w:eastAsia="Calibri" w:hAnsi="Calibri"/>
          <w:sz w:val="21"/>
          <w:szCs w:val="21"/>
        </w:rPr>
        <w:t xml:space="preserve">Business model: "hours times price". A partner bills SEK 7,000–9,000/h; beneath each partner sit three to five associates billing ~SEK 3,000/h who "cost at most a third" of that. The result is "a very efficient billing machine" that takes firms such as Roschier, Vinge and Mannheimer Swartling to SEK 1bn+ revenue.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ai1loxy9rs4akcr2pdpr1">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Leverage: "It is built on leverage. The more people under you, the better." And: "the bigger you make the matters, the bigger the invoices."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i736zqvja1ino6oqdeo3n">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distribution differs: Vinge rewards the individual partner's importance and contribution; Mannheimer Swartling shares profit equally (lockstep) with a deduction for junior partners. Some partners could switch firm and earn double, but it rarely happens; the two firms watch each other closely.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bhdzuvejdxxmz052b2hef">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distributed (FY2025): Mannheimer Swartling proposed SEK 617m (up from 582m), ~SEK 6.8m per partner across 92 partners; Vinge Stockholm SEK 273m (down from 286m), ~SEK 5.5m each across 49 partners; Vinge Malmö SEK 32m to 14 partners.</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hyperlink w:history="1" r:id="rIdaawisbsk-wg8jepq7n8mi">
        <w:r>
          <w:rPr>
            <w:rStyle w:val="Hyperlink"/>
            <w:rFonts w:ascii="Calibri" w:cs="Calibri" w:eastAsia="Calibri" w:hAnsi="Calibri"/>
            <w:i/>
            <w:iCs/>
            <w:sz w:val="18"/>
            <w:szCs w:val="18"/>
          </w:rPr>
          <w:t xml:space="preserve">Realtid (Dagens Juridik), 7 Aug 2026</w:t>
        </w:r>
      </w:hyperlink>
    </w:p>
    <w:p>
      <w:pPr>
        <w:pStyle w:val="ListParagraph"/>
        <w:numPr>
          <w:ilvl w:val="0"/>
          <w:numId w:val="2"/>
        </w:numPr>
        <w:spacing w:after="80"/>
      </w:pPr>
      <w:r>
        <w:rPr>
          <w:rFonts w:ascii="Calibri" w:cs="Calibri" w:eastAsia="Calibri" w:hAnsi="Calibri"/>
          <w:sz w:val="21"/>
          <w:szCs w:val="21"/>
        </w:rPr>
        <w:t xml:space="preserve">Ownership: law firms can only be owned by their partners (no listing, unlike e.g. EQT), which brings privileges such as protection from police searches and confidentiality, and makes profit distribution central.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yojkq7zaz-jbbvgu0wvyn">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Conflict: "There is a conflict between the law firm's demand for high profitability and what is the best advice." Flygt calls big firms a "golden cage", financially attractive but hard to leave.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_oojlbrvhte8ydl3baoqy">
        <w:r>
          <w:rPr>
            <w:rStyle w:val="Hyperlink"/>
            <w:rFonts w:ascii="Calibri" w:cs="Calibri" w:eastAsia="Calibri" w:hAnsi="Calibri"/>
            <w:i/>
            <w:iCs/>
            <w:sz w:val="18"/>
            <w:szCs w:val="18"/>
          </w:rPr>
          <w:t xml:space="preserve">Realtid, 1 Apr and 26 Apr 2026</w:t>
        </w:r>
      </w:hyperlink>
    </w:p>
    <w:p>
      <w:pPr>
        <w:spacing w:after="120"/>
      </w:pPr>
      <w:r>
        <w:rPr>
          <w:rFonts w:ascii="Calibri" w:cs="Calibri" w:eastAsia="Calibri" w:hAnsi="Calibri"/>
          <w:b/>
          <w:bCs/>
          <w:sz w:val="21"/>
          <w:szCs w:val="21"/>
        </w:rPr>
        <w:t xml:space="preserve">Illustrative leverage economics: </w:t>
      </w:r>
      <w:r>
        <w:rPr>
          <w:rFonts w:ascii="Calibri" w:cs="Calibri" w:eastAsia="Calibri" w:hAnsi="Calibri"/>
          <w:sz w:val="21"/>
          <w:szCs w:val="21"/>
        </w:rPr>
        <w:t xml:space="preserve">an associate billing SEK 3,000/h at a cost of at most ~SEK 1,000/h contributes ≥SEK 2,000 per billed hour; at 1,400–1,600 billed hours that is ~SEK 2.8–3.2m per associate per year, or ~SEK 8–16m per partner with three to five associates, before overheads. This is why leverage (and its exposure to AI, see section 4) drives partner profit.</w:t>
      </w:r>
    </w:p>
    <w:p>
      <w:pPr>
        <w:pStyle w:val="Heading2"/>
        <w:spacing w:after="80" w:before="200"/>
      </w:pPr>
      <w:r>
        <w:rPr>
          <w:rFonts w:ascii="Calibri" w:cs="Calibri" w:eastAsia="Calibri" w:hAnsi="Calibri"/>
          <w:b/>
          <w:bCs/>
          <w:color w:val="1F3864"/>
          <w:sz w:val="23"/>
          <w:szCs w:val="23"/>
        </w:rPr>
        <w:t xml:space="preserve">Realised rates, 2023 onwards</w:t>
      </w:r>
    </w:p>
    <w:p>
      <w:pPr>
        <w:pStyle w:val="ListParagraph"/>
        <w:numPr>
          <w:ilvl w:val="0"/>
          <w:numId w:val="2"/>
        </w:numPr>
        <w:spacing w:after="80"/>
      </w:pPr>
      <w:r>
        <w:rPr>
          <w:rFonts w:ascii="Calibri" w:cs="Calibri" w:eastAsia="Calibri" w:hAnsi="Calibri"/>
          <w:sz w:val="21"/>
          <w:szCs w:val="21"/>
        </w:rPr>
        <w:t xml:space="preserve">Mannheimer Swartling's realised blended rate on the Northvolt restructuring was ~SEK 4,000/h (~6,000 hours, SEK 32m), the lowest of all advisers; this compares with list partner rates of SEK 6,000–10,000/h and illustrates the gap between list and realised rates.</w:t>
      </w:r>
      <w:r>
        <w:rPr>
          <w:rFonts w:ascii="Calibri" w:cs="Calibri" w:eastAsia="Calibri" w:hAnsi="Calibri"/>
          <w:b/>
          <w:bCs/>
          <w:color w:val="595959"/>
          <w:sz w:val="19"/>
          <w:szCs w:val="19"/>
        </w:rPr>
        <w:t xml:space="preserve"> [Nov 2024 – Mar 2025]</w:t>
      </w:r>
      <w:r>
        <w:rPr>
          <w:rFonts w:ascii="Calibri" w:cs="Calibri" w:eastAsia="Calibri" w:hAnsi="Calibri"/>
          <w:i/>
          <w:iCs/>
          <w:color w:val="595959"/>
          <w:sz w:val="18"/>
          <w:szCs w:val="18"/>
        </w:rPr>
        <w:t xml:space="preserve"> Source: </w:t>
      </w:r>
      <w:hyperlink w:history="1" r:id="rIdhrebrowqw8vwdhtdo9a1c">
        <w:r>
          <w:rPr>
            <w:rStyle w:val="Hyperlink"/>
            <w:rFonts w:ascii="Calibri" w:cs="Calibri" w:eastAsia="Calibri" w:hAnsi="Calibri"/>
            <w:i/>
            <w:iCs/>
            <w:sz w:val="18"/>
            <w:szCs w:val="18"/>
          </w:rPr>
          <w:t xml:space="preserve">Affärsvärlden, 2 May 2025</w:t>
        </w:r>
      </w:hyperlink>
    </w:p>
    <w:p>
      <w:pPr>
        <w:pStyle w:val="ListParagraph"/>
        <w:numPr>
          <w:ilvl w:val="0"/>
          <w:numId w:val="2"/>
        </w:numPr>
        <w:spacing w:after="80"/>
      </w:pPr>
      <w:r>
        <w:rPr>
          <w:rFonts w:ascii="Calibri" w:cs="Calibri" w:eastAsia="Calibri" w:hAnsi="Calibri"/>
          <w:sz w:val="21"/>
          <w:szCs w:val="21"/>
        </w:rPr>
        <w:t xml:space="preserve">Luleå tingsrätt held SEK 4,000/h reasonable for law-firm counsel in a cost ruling.</w:t>
      </w:r>
      <w:r>
        <w:rPr>
          <w:rFonts w:ascii="Calibri" w:cs="Calibri" w:eastAsia="Calibri" w:hAnsi="Calibri"/>
          <w:b/>
          <w:bCs/>
          <w:color w:val="595959"/>
          <w:sz w:val="19"/>
          <w:szCs w:val="19"/>
        </w:rPr>
        <w:t xml:space="preserve"> [Apr 2026]</w:t>
      </w:r>
      <w:r>
        <w:rPr>
          <w:rFonts w:ascii="Calibri" w:cs="Calibri" w:eastAsia="Calibri" w:hAnsi="Calibri"/>
          <w:i/>
          <w:iCs/>
          <w:color w:val="595959"/>
          <w:sz w:val="18"/>
          <w:szCs w:val="18"/>
        </w:rPr>
        <w:t xml:space="preserve"> Source: </w:t>
      </w:r>
      <w:hyperlink w:history="1" r:id="rIdgg6plr2tnd5yxtlqunocw">
        <w:r>
          <w:rPr>
            <w:rStyle w:val="Hyperlink"/>
            <w:rFonts w:ascii="Calibri" w:cs="Calibri" w:eastAsia="Calibri" w:hAnsi="Calibri"/>
            <w:i/>
            <w:iCs/>
            <w:sz w:val="18"/>
            <w:szCs w:val="18"/>
          </w:rPr>
          <w:t xml:space="preserve">Realtid, 25 Apr 2026</w:t>
        </w:r>
      </w:hyperlink>
    </w:p>
    <w:p>
      <w:pPr>
        <w:spacing w:after="120"/>
      </w:pPr>
      <w:r>
        <w:rPr>
          <w:rFonts w:ascii="Calibri" w:cs="Calibri" w:eastAsia="Calibri" w:hAnsi="Calibri"/>
          <w:sz w:val="21"/>
          <w:szCs w:val="21"/>
        </w:rPr>
        <w:t xml:space="preserve">Both points sit close to the ~SEK 2,600–2,950/h blended realised rate implied by industry fee income per lawyer (section 5), suggesting realised blended rates of roughly SEK 3,000–4,000/h at top firms.</w:t>
      </w:r>
    </w:p>
    <w:p>
      <w:pPr>
        <w:pStyle w:val="Heading1"/>
        <w:spacing w:after="120" w:before="280"/>
      </w:pPr>
      <w:r>
        <w:rPr>
          <w:rFonts w:ascii="Calibri" w:cs="Calibri" w:eastAsia="Calibri" w:hAnsi="Calibri"/>
          <w:b/>
          <w:bCs/>
          <w:color w:val="1F3864"/>
          <w:sz w:val="28"/>
          <w:szCs w:val="28"/>
        </w:rPr>
        <w:t xml:space="preserve">2. Nordic rate trends and client pushback</w:t>
      </w:r>
    </w:p>
    <w:p>
      <w:pPr>
        <w:pStyle w:val="ListParagraph"/>
        <w:numPr>
          <w:ilvl w:val="0"/>
          <w:numId w:val="2"/>
        </w:numPr>
        <w:spacing w:after="80"/>
      </w:pPr>
      <w:r>
        <w:rPr>
          <w:rFonts w:ascii="Calibri" w:cs="Calibri" w:eastAsia="Calibri" w:hAnsi="Calibri"/>
          <w:sz w:val="21"/>
          <w:szCs w:val="21"/>
        </w:rPr>
        <w:t xml:space="preserve">Affärsvärlden: market growth 8.4% and operating margin 13.5% while lawyer headcount grew only 3.7%; firms are "better at charging".</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icwblhao2pzdf1uocbp6i">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Rates are revised annually on 1 January (Cederquist); no Swedish firm was found publicly announcing a specific percentage increase for 2025 or 2026.</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expect fee income to grow 6.8% in 2026; IPO work was the weakest segment in 2025.</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zjiiqxnmii9pdxztgcekz">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Handelsbanken (Sweden) shares Norwegian banks' concerns over fee levels and is reviewing alternative pricing models.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lou64ribiio12snpnvwlk">
        <w:r>
          <w:rPr>
            <w:rStyle w:val="Hyperlink"/>
            <w:rFonts w:ascii="Calibri" w:cs="Calibri" w:eastAsia="Calibri" w:hAnsi="Calibri"/>
            <w:i/>
            <w:iCs/>
            <w:sz w:val="18"/>
            <w:szCs w:val="18"/>
          </w:rPr>
          <w:t xml:space="preserve">Realtid, 1 Dec 2021</w:t>
        </w:r>
      </w:hyperlink>
    </w:p>
    <w:p>
      <w:pPr>
        <w:pStyle w:val="ListParagraph"/>
        <w:numPr>
          <w:ilvl w:val="0"/>
          <w:numId w:val="2"/>
        </w:numPr>
        <w:spacing w:after="80"/>
      </w:pPr>
      <w:r>
        <w:rPr>
          <w:rFonts w:ascii="Calibri" w:cs="Calibri" w:eastAsia="Calibri" w:hAnsi="Calibri"/>
          <w:sz w:val="21"/>
          <w:szCs w:val="21"/>
        </w:rPr>
        <w:t xml:space="preserve">Norwegian banks: DNB required at least 50% of mandates on fixed fees in its previous framework; Handelsbanken Norway wants fixed fees.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2htzv39-vdt-ewvf9mvvx">
        <w:r>
          <w:rPr>
            <w:rStyle w:val="Hyperlink"/>
            <w:rFonts w:ascii="Calibri" w:cs="Calibri" w:eastAsia="Calibri" w:hAnsi="Calibri"/>
            <w:i/>
            <w:iCs/>
            <w:sz w:val="18"/>
            <w:szCs w:val="18"/>
          </w:rPr>
          <w:t xml:space="preserve">Realtid, 25 Nov 2021</w:t>
        </w:r>
      </w:hyperlink>
    </w:p>
    <w:p>
      <w:pPr>
        <w:pStyle w:val="ListParagraph"/>
        <w:numPr>
          <w:ilvl w:val="0"/>
          <w:numId w:val="2"/>
        </w:numPr>
        <w:spacing w:after="80"/>
      </w:pPr>
      <w:r>
        <w:rPr>
          <w:rFonts w:ascii="Calibri" w:cs="Calibri" w:eastAsia="Calibri" w:hAnsi="Calibri"/>
          <w:sz w:val="21"/>
          <w:szCs w:val="21"/>
        </w:rPr>
        <w:t xml:space="preserve">Client surveys (Regi): value for money among the lowest-rated criteria since 2008; price is the most common reason for switching firm.</w:t>
      </w:r>
      <w:r>
        <w:rPr>
          <w:rFonts w:ascii="Calibri" w:cs="Calibri" w:eastAsia="Calibri" w:hAnsi="Calibri"/>
          <w:b/>
          <w:bCs/>
          <w:color w:val="595959"/>
          <w:sz w:val="19"/>
          <w:szCs w:val="19"/>
        </w:rPr>
        <w:t xml:space="preserve"> [2008–2017]</w:t>
      </w:r>
      <w:r>
        <w:rPr>
          <w:rFonts w:ascii="Calibri" w:cs="Calibri" w:eastAsia="Calibri" w:hAnsi="Calibri"/>
          <w:i/>
          <w:iCs/>
          <w:color w:val="595959"/>
          <w:sz w:val="18"/>
          <w:szCs w:val="18"/>
        </w:rPr>
        <w:t xml:space="preserve"> Source: </w:t>
      </w:r>
      <w:hyperlink w:history="1" r:id="rIdqqqp1phuq9nyp-wzz-cem">
        <w:r>
          <w:rPr>
            <w:rStyle w:val="Hyperlink"/>
            <w:rFonts w:ascii="Calibri" w:cs="Calibri" w:eastAsia="Calibri" w:hAnsi="Calibri"/>
            <w:i/>
            <w:iCs/>
            <w:sz w:val="18"/>
            <w:szCs w:val="18"/>
          </w:rPr>
          <w:t xml:space="preserve">Realtid, 15 Dec 2017</w:t>
        </w:r>
      </w:hyperlink>
    </w:p>
    <w:p>
      <w:pPr>
        <w:pStyle w:val="Heading1"/>
        <w:spacing w:after="120" w:before="280"/>
      </w:pPr>
      <w:r>
        <w:rPr>
          <w:rFonts w:ascii="Calibri" w:cs="Calibri" w:eastAsia="Calibri" w:hAnsi="Calibri"/>
          <w:b/>
          <w:bCs/>
          <w:color w:val="1F3864"/>
          <w:sz w:val="28"/>
          <w:szCs w:val="28"/>
        </w:rPr>
        <w:t xml:space="preserve">3. Nordic billing models and rules</w:t>
      </w:r>
    </w:p>
    <w:p>
      <w:pPr>
        <w:pStyle w:val="ListParagraph"/>
        <w:numPr>
          <w:ilvl w:val="0"/>
          <w:numId w:val="2"/>
        </w:numPr>
        <w:spacing w:after="80"/>
      </w:pPr>
      <w:r>
        <w:rPr>
          <w:rFonts w:ascii="Calibri" w:cs="Calibri" w:eastAsia="Calibri" w:hAnsi="Calibri"/>
          <w:sz w:val="21"/>
          <w:szCs w:val="21"/>
        </w:rPr>
        <w:t xml:space="preserve">Fees must be reasonable (skäligt) under the Swedish Bar's code (rule 4.1.1); the assessment may weigh the agreement, scope, difficulty, importance, skill and result (4.1.2). Outcome-based elements rarely matter in practice; exact success-fee restrictions to be verified.</w:t>
      </w:r>
      <w:r>
        <w:rPr>
          <w:rFonts w:ascii="Calibri" w:cs="Calibri" w:eastAsia="Calibri" w:hAnsi="Calibri"/>
          <w:b/>
          <w:bCs/>
          <w:color w:val="595959"/>
          <w:sz w:val="19"/>
          <w:szCs w:val="19"/>
        </w:rPr>
        <w:t xml:space="preserve"> [2019]</w:t>
      </w:r>
      <w:r>
        <w:rPr>
          <w:rFonts w:ascii="Calibri" w:cs="Calibri" w:eastAsia="Calibri" w:hAnsi="Calibri"/>
          <w:i/>
          <w:iCs/>
          <w:color w:val="595959"/>
          <w:sz w:val="18"/>
          <w:szCs w:val="18"/>
        </w:rPr>
        <w:t xml:space="preserve"> Source: </w:t>
      </w:r>
      <w:hyperlink w:history="1" r:id="rIdckzl0scjyk4cj1c8y6max">
        <w:r>
          <w:rPr>
            <w:rStyle w:val="Hyperlink"/>
            <w:rFonts w:ascii="Calibri" w:cs="Calibri" w:eastAsia="Calibri" w:hAnsi="Calibri"/>
            <w:i/>
            <w:iCs/>
            <w:sz w:val="18"/>
            <w:szCs w:val="18"/>
          </w:rPr>
          <w:t xml:space="preserve">Realtid op-ed, 29 Mar 2019</w:t>
        </w:r>
      </w:hyperlink>
    </w:p>
    <w:p>
      <w:pPr>
        <w:pStyle w:val="ListParagraph"/>
        <w:numPr>
          <w:ilvl w:val="0"/>
          <w:numId w:val="2"/>
        </w:numPr>
        <w:spacing w:after="80"/>
      </w:pPr>
      <w:r>
        <w:rPr>
          <w:rFonts w:ascii="Calibri" w:cs="Calibri" w:eastAsia="Calibri" w:hAnsi="Calibri"/>
          <w:sz w:val="21"/>
          <w:szCs w:val="21"/>
        </w:rPr>
        <w:t xml:space="preserve">Time-based billing remains the default (Cederquist: "time incurred basis", open to alternative arrangements per project).</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owned by external investors must leave the Bar (Advokatsamfundet bars external ownership of advokat firms); AGRD's member firms did so, which also takes them outside the Bar's fee rules.</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workbook section F</w:t>
      </w:r>
    </w:p>
    <w:p>
      <w:pPr>
        <w:pStyle w:val="Heading1"/>
        <w:spacing w:after="120" w:before="280"/>
      </w:pPr>
      <w:r>
        <w:rPr>
          <w:rFonts w:ascii="Calibri" w:cs="Calibri" w:eastAsia="Calibri" w:hAnsi="Calibri"/>
          <w:b/>
          <w:bCs/>
          <w:color w:val="1F3864"/>
          <w:sz w:val="28"/>
          <w:szCs w:val="28"/>
        </w:rPr>
        <w:t xml:space="preserve">4. AI impact</w:t>
      </w:r>
    </w:p>
    <w:p>
      <w:pPr>
        <w:pStyle w:val="Heading2"/>
        <w:spacing w:after="80" w:before="200"/>
      </w:pPr>
      <w:r>
        <w:rPr>
          <w:rFonts w:ascii="Calibri" w:cs="Calibri" w:eastAsia="Calibri" w:hAnsi="Calibri"/>
          <w:b/>
          <w:bCs/>
          <w:color w:val="1F3864"/>
          <w:sz w:val="23"/>
          <w:szCs w:val="23"/>
        </w:rPr>
        <w:t xml:space="preserve">4.1 Impact on the business model</w:t>
      </w:r>
    </w:p>
    <w:p>
      <w:pPr>
        <w:pStyle w:val="ListParagraph"/>
        <w:numPr>
          <w:ilvl w:val="0"/>
          <w:numId w:val="2"/>
        </w:numPr>
        <w:spacing w:after="80"/>
      </w:pPr>
      <w:r>
        <w:rPr>
          <w:rFonts w:ascii="Calibri" w:cs="Calibri" w:eastAsia="Calibri" w:hAnsi="Calibri"/>
          <w:sz w:val="21"/>
          <w:szCs w:val="21"/>
        </w:rPr>
        <w:t xml:space="preserve">Leverage model at risk: top-firm economics rely on associates billing ~SEK 3,000/h at a third of cost; AI automates much of the junior work that drives this margin.</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s4csydqmcmjp9_idizg2u">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Roschier: AI has not reduced the volume of work; output can be produced faster but the amount of searchable data is almost unlimited and everything must be source-checked.</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cebsmnolix-qghlxtnahk">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Setterwalls: international clients increasingly require firms to use generative AI and show how it improves advice, as a condition for winning work.</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agcm6tzdyx6n35hvuxftb">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Investment by leading firms: Mannheimer Swartling runs an AI incubator (MSA Innovation Lab, where Legora was founded) and has bought an AI company; Vinge partners with Harvey AI; Gernandt &amp; Danielsson uses Legora (as a "second opinion" in disputes).</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fb5eis-w0d8lzqxah4gdf">
        <w:r>
          <w:rPr>
            <w:rStyle w:val="Hyperlink"/>
            <w:rFonts w:ascii="Calibri" w:cs="Calibri" w:eastAsia="Calibri" w:hAnsi="Calibri"/>
            <w:i/>
            <w:iCs/>
            <w:sz w:val="18"/>
            <w:szCs w:val="18"/>
          </w:rPr>
          <w:t xml:space="preserve">Affärsvärlden, 12 Apr 2025; Realtid, 3 Oct 2025</w:t>
        </w:r>
      </w:hyperlink>
    </w:p>
    <w:p>
      <w:pPr>
        <w:pStyle w:val="ListParagraph"/>
        <w:numPr>
          <w:ilvl w:val="0"/>
          <w:numId w:val="2"/>
        </w:numPr>
        <w:spacing w:after="80"/>
      </w:pPr>
      <w:r>
        <w:rPr>
          <w:rFonts w:ascii="Calibri" w:cs="Calibri" w:eastAsia="Calibri" w:hAnsi="Calibri"/>
          <w:sz w:val="21"/>
          <w:szCs w:val="21"/>
        </w:rPr>
        <w:t xml:space="preserve">Legora (Swedish legal-AI platform) raised a USD 550m Series D at ~USD 5.5bn valuation, extended by USD 50m in April 2026, signalling capital flowing into tools that substitute for associate hours.</w:t>
      </w:r>
      <w:r>
        <w:rPr>
          <w:rFonts w:ascii="Calibri" w:cs="Calibri" w:eastAsia="Calibri" w:hAnsi="Calibri"/>
          <w:b/>
          <w:bCs/>
          <w:color w:val="595959"/>
          <w:sz w:val="19"/>
          <w:szCs w:val="19"/>
        </w:rPr>
        <w:t xml:space="preserve"> [Mar–Apr 2026]</w:t>
      </w:r>
      <w:r>
        <w:rPr>
          <w:rFonts w:ascii="Calibri" w:cs="Calibri" w:eastAsia="Calibri" w:hAnsi="Calibri"/>
          <w:i/>
          <w:iCs/>
          <w:color w:val="595959"/>
          <w:sz w:val="18"/>
          <w:szCs w:val="18"/>
        </w:rPr>
        <w:t xml:space="preserve"> Source: </w:t>
      </w:r>
      <w:hyperlink w:history="1" r:id="rId_qs7erwtimoibqui7nqbg">
        <w:r>
          <w:rPr>
            <w:rStyle w:val="Hyperlink"/>
            <w:rFonts w:ascii="Calibri" w:cs="Calibri" w:eastAsia="Calibri" w:hAnsi="Calibri"/>
            <w:i/>
            <w:iCs/>
            <w:sz w:val="18"/>
            <w:szCs w:val="18"/>
          </w:rPr>
          <w:t xml:space="preserve">Legal Tech Monitor</w:t>
        </w:r>
      </w:hyperlink>
    </w:p>
    <w:p>
      <w:pPr>
        <w:pStyle w:val="ListParagraph"/>
        <w:numPr>
          <w:ilvl w:val="0"/>
          <w:numId w:val="2"/>
        </w:numPr>
        <w:spacing w:after="80"/>
      </w:pPr>
      <w:r>
        <w:rPr>
          <w:rFonts w:ascii="Calibri" w:cs="Calibri" w:eastAsia="Calibri" w:hAnsi="Calibri"/>
          <w:sz w:val="21"/>
          <w:szCs w:val="21"/>
        </w:rPr>
        <w:t xml:space="preserve">MAQS split: the Malmö practice (keeping the MAQS name from 1 Jan 2027) plans an "AI-forward premium" firm, while the Stockholm/Göteborg/Sundsvall offices (Keelion Law) pursue an integrated model.</w:t>
      </w:r>
      <w:r>
        <w:rPr>
          <w:rFonts w:ascii="Calibri" w:cs="Calibri" w:eastAsia="Calibri" w:hAnsi="Calibri"/>
          <w:b/>
          <w:bCs/>
          <w:color w:val="595959"/>
          <w:sz w:val="19"/>
          <w:szCs w:val="19"/>
        </w:rPr>
        <w:t xml:space="preserve"> [Aug 2026]</w:t>
      </w:r>
      <w:r>
        <w:rPr>
          <w:rFonts w:ascii="Calibri" w:cs="Calibri" w:eastAsia="Calibri" w:hAnsi="Calibri"/>
          <w:i/>
          <w:iCs/>
          <w:color w:val="595959"/>
          <w:sz w:val="18"/>
          <w:szCs w:val="18"/>
        </w:rPr>
        <w:t xml:space="preserve"> Source: </w:t>
      </w:r>
      <w:hyperlink w:history="1" r:id="rIduudzaynk3cekqv2uldyhv">
        <w:r>
          <w:rPr>
            <w:rStyle w:val="Hyperlink"/>
            <w:rFonts w:ascii="Calibri" w:cs="Calibri" w:eastAsia="Calibri" w:hAnsi="Calibri"/>
            <w:i/>
            <w:iCs/>
            <w:sz w:val="18"/>
            <w:szCs w:val="18"/>
          </w:rPr>
          <w:t xml:space="preserve">Realtid, 20 Aug 2026</w:t>
        </w:r>
      </w:hyperlink>
    </w:p>
    <w:p>
      <w:pPr>
        <w:pStyle w:val="Heading2"/>
        <w:spacing w:after="80" w:before="200"/>
      </w:pPr>
      <w:r>
        <w:rPr>
          <w:rFonts w:ascii="Calibri" w:cs="Calibri" w:eastAsia="Calibri" w:hAnsi="Calibri"/>
          <w:b/>
          <w:bCs/>
          <w:color w:val="1F3864"/>
          <w:sz w:val="23"/>
          <w:szCs w:val="23"/>
        </w:rPr>
        <w:t xml:space="preserve">4.2 Impact on pricing and charging rates</w:t>
      </w:r>
    </w:p>
    <w:p>
      <w:pPr>
        <w:pStyle w:val="ListParagraph"/>
        <w:numPr>
          <w:ilvl w:val="0"/>
          <w:numId w:val="2"/>
        </w:numPr>
        <w:spacing w:after="80"/>
      </w:pPr>
      <w:r>
        <w:rPr>
          <w:rFonts w:ascii="Calibri" w:cs="Calibri" w:eastAsia="Calibri" w:hAnsi="Calibri"/>
          <w:sz w:val="21"/>
          <w:szCs w:val="21"/>
        </w:rPr>
        <w:t xml:space="preserve">Delphi (Agnes Hammarstrand): "Colleagues tell me that what we did in a working day now takes five minutes. So how do we charge?" She argues hourly billing is "almost an outdated way to charge", favours fixed monthly subscriptions, and sees AI efficiency pushing senior rates up as junior hours disappear.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ynf0eyqusqdkhu2_ezpcy">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Baker McKenzie (which has a Stockholm office) has made a "strategic decision to largely abandon the billable-hour model".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4r193uvtz3oswcsgkyso1">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Client expectation of AI-driven fee reductions is international, not yet Nordic-specific: in a European/US GC survey, 79% say AI should lower fees, 84% have seen no reduction and 72% believe firms keep the savings.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u__4egedsglfa-x-qdkez">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No Nordic client or bank has publicly demanded explicit "AI discounts" yet (US banks have; see section 6).</w:t>
      </w:r>
      <w:r>
        <w:rPr>
          <w:rFonts w:ascii="Calibri" w:cs="Calibri" w:eastAsia="Calibri" w:hAnsi="Calibri"/>
          <w:b/>
          <w:bCs/>
          <w:color w:val="595959"/>
          <w:sz w:val="19"/>
          <w:szCs w:val="19"/>
        </w:rPr>
        <w:t xml:space="preserve"> [Oct 2026]</w:t>
      </w:r>
      <w:r>
        <w:rPr>
          <w:rFonts w:ascii="Calibri" w:cs="Calibri" w:eastAsia="Calibri" w:hAnsi="Calibri"/>
          <w:i/>
          <w:iCs/>
          <w:color w:val="595959"/>
          <w:sz w:val="18"/>
          <w:szCs w:val="18"/>
        </w:rPr>
        <w:t xml:space="preserve"> Source: </w:t>
      </w:r>
      <w:hyperlink w:history="1" r:id="rIddfdilceeo8j97ux627ziy">
        <w:r>
          <w:rPr>
            <w:rStyle w:val="Hyperlink"/>
            <w:rFonts w:ascii="Calibri" w:cs="Calibri" w:eastAsia="Calibri" w:hAnsi="Calibri"/>
            <w:i/>
            <w:iCs/>
            <w:sz w:val="18"/>
            <w:szCs w:val="18"/>
          </w:rPr>
          <w:t xml:space="preserve">Realtid, 1 Sep 2026</w:t>
        </w:r>
      </w:hyperlink>
    </w:p>
    <w:p>
      <w:pPr>
        <w:spacing w:after="120"/>
      </w:pPr>
      <w:r>
        <w:rPr>
          <w:rFonts w:ascii="Calibri" w:cs="Calibri" w:eastAsia="Calibri" w:hAnsi="Calibri"/>
          <w:b/>
          <w:bCs/>
          <w:sz w:val="21"/>
          <w:szCs w:val="21"/>
        </w:rPr>
        <w:t xml:space="preserve">Implications for an investor: </w:t>
      </w:r>
      <w:r>
        <w:rPr>
          <w:rFonts w:ascii="Calibri" w:cs="Calibri" w:eastAsia="Calibri" w:hAnsi="Calibri"/>
          <w:sz w:val="21"/>
          <w:szCs w:val="21"/>
        </w:rPr>
        <w:t xml:space="preserve">(i) revenue per partner may hold or rise as senior rates increase, but associate-hour volumes and leverage are at risk; (ii) firms with fixed-fee, subscription or value-based offerings are better placed if clients push for AI savings; (iii) diligence should test the share of revenue from junior-heavy, automatable work (due diligence, document review, standard drafting) and the firm's AI adoption and pricing roadmap.</w:t>
      </w:r>
    </w:p>
    <w:p>
      <w:pPr>
        <w:pStyle w:val="Heading1"/>
        <w:spacing w:after="120" w:before="280"/>
      </w:pPr>
      <w:r>
        <w:rPr>
          <w:rFonts w:ascii="Calibri" w:cs="Calibri" w:eastAsia="Calibri" w:hAnsi="Calibri"/>
          <w:b/>
          <w:bCs/>
          <w:color w:val="1F3864"/>
          <w:sz w:val="28"/>
          <w:szCs w:val="28"/>
        </w:rPr>
        <w:t xml:space="preserve">5. Revenue per lawyer and implied realised rates (Sweden)</w:t>
      </w:r>
    </w:p>
    <w:p>
      <w:pPr>
        <w:pStyle w:val="ListParagraph"/>
        <w:numPr>
          <w:ilvl w:val="0"/>
          <w:numId w:val="2"/>
        </w:numPr>
        <w:spacing w:after="80"/>
      </w:pPr>
      <w:r>
        <w:rPr>
          <w:rFonts w:ascii="Calibri" w:cs="Calibri" w:eastAsia="Calibri" w:hAnsi="Calibri"/>
          <w:sz w:val="21"/>
          <w:szCs w:val="21"/>
        </w:rPr>
        <w:t xml:space="preserve">Affärsvärlden panel fee income per lawyer: SEK 4.22m (2023) and SEK 4.13m (2024); White &amp; Case Stockholm has the highest fee per lawyer.</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iezmov4umu7_wcowo9yjz">
        <w:r>
          <w:rPr>
            <w:rStyle w:val="Hyperlink"/>
            <w:rFonts w:ascii="Calibri" w:cs="Calibri" w:eastAsia="Calibri" w:hAnsi="Calibri"/>
            <w:i/>
            <w:iCs/>
            <w:sz w:val="18"/>
            <w:szCs w:val="18"/>
          </w:rPr>
          <w:t xml:space="preserve">Affärsvärlden, 29 Apr 2024; Realtid, 3 Oct 2025</w:t>
        </w:r>
      </w:hyperlink>
    </w:p>
    <w:p>
      <w:pPr>
        <w:pStyle w:val="ListParagraph"/>
        <w:numPr>
          <w:ilvl w:val="0"/>
          <w:numId w:val="2"/>
        </w:numPr>
        <w:spacing w:after="80"/>
      </w:pPr>
      <w:r>
        <w:rPr>
          <w:rFonts w:ascii="Calibri" w:cs="Calibri" w:eastAsia="Calibri" w:hAnsi="Calibri"/>
          <w:sz w:val="21"/>
          <w:szCs w:val="21"/>
        </w:rPr>
        <w:t xml:space="preserve">Illustrative: SEK 4.13m per lawyer implies a blended realised rate of ~SEK 2,580/h at 1,600 billable hours or ~SEK 2,950/h at 1,400 hours, well below list rates, reflecting leverage, write-offs and discounts. Notably close to the MAQS sell-side associate rate.</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Calculation</w:t>
      </w:r>
    </w:p>
    <w:p>
      <w:pPr>
        <w:pStyle w:val="Heading1"/>
        <w:spacing w:after="120" w:before="280"/>
      </w:pPr>
      <w:r>
        <w:rPr>
          <w:rFonts w:ascii="Calibri" w:cs="Calibri" w:eastAsia="Calibri" w:hAnsi="Calibri"/>
          <w:b/>
          <w:bCs/>
          <w:color w:val="1F3864"/>
          <w:sz w:val="28"/>
          <w:szCs w:val="28"/>
        </w:rPr>
        <w:t xml:space="preserve">5b. Utilisation and realisation</w:t>
      </w:r>
    </w:p>
    <w:p>
      <w:pPr>
        <w:spacing w:after="120"/>
      </w:pPr>
      <w:r>
        <w:rPr>
          <w:rFonts w:ascii="Calibri" w:cs="Calibri" w:eastAsia="Calibri" w:hAnsi="Calibri"/>
          <w:sz w:val="21"/>
          <w:szCs w:val="21"/>
        </w:rPr>
        <w:t xml:space="preserve">Few Nordic business-law firms publish utilisation; the evidence is mainly industry-level. Swedish and Norwegian law-firm surveys point to ~70-72% of working time billed (~1,200-1,300 billable hours), while large business-law firms target ~1,400-1,600 hours for associates.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2900"/>
        <w:gridCol w:w="900"/>
        <w:gridCol w:w="1926"/>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Market</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Metric</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Value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Period</w:t>
            </w:r>
          </w:p>
        </w:tc>
        <w:tc>
          <w:tcPr>
            <w:tcW w:type="dxa" w:w="19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Source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Billable-hour requirement, business-law firms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1,400-1,600 h p.a.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Advokaten no. 7 2018 (snippet)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Share of worked time billed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median just over 70% (range 40-90%)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2012</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Advokaten 2012 (snippet)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targets at named firms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1,350-1,700 h (Vinge, MSA 1,500; W&amp;C 1,700; Lindahl 1,350); bonus ladders 1,400-1,800 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c.2012-14</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Anonymous crowd-sourced table (indicative)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Norway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Billing rate (faktureringsgrad)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just over 72% (~1,220 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Advokatforeningen survey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Norway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hours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46 h/week actual vs 39 h contracted; 27% under-record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Nov-2025</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Juristforbundet survey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Denmark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Billable requirement / hours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54-55% have a fixed requirement; 46-47 h/week; associate hours down from 48.3 to 44.9 h/week over 10 years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2018 / 2026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Djøf Advokat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Finland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Utilisation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public data found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
            </w:r>
          </w:p>
        </w:tc>
      </w:tr>
    </w:tbl>
    <w:p>
      <w:pPr>
        <w:spacing w:after="120"/>
      </w:pPr>
      <w:r>
        <w:rPr>
          <w:rFonts w:ascii="Calibri" w:cs="Calibri" w:eastAsia="Calibri" w:hAnsi="Calibri"/>
          <w:sz w:val="21"/>
          <w:szCs w:val="21"/>
        </w:rPr>
        <w:t xml:space="preserve"/>
      </w:r>
    </w:p>
    <w:p>
      <w:pPr>
        <w:pStyle w:val="Heading2"/>
        <w:spacing w:after="80" w:before="200"/>
      </w:pPr>
      <w:r>
        <w:rPr>
          <w:rFonts w:ascii="Calibri" w:cs="Calibri" w:eastAsia="Calibri" w:hAnsi="Calibri"/>
          <w:b/>
          <w:bCs/>
          <w:color w:val="1F3864"/>
          <w:sz w:val="23"/>
          <w:szCs w:val="23"/>
        </w:rPr>
        <w:t xml:space="preserve">International benchmarks (context)</w:t>
      </w:r>
    </w:p>
    <w:p>
      <w:pPr>
        <w:pStyle w:val="ListParagraph"/>
        <w:numPr>
          <w:ilvl w:val="0"/>
          <w:numId w:val="2"/>
        </w:numPr>
        <w:spacing w:after="80"/>
      </w:pPr>
      <w:r>
        <w:rPr>
          <w:rFonts w:ascii="Calibri" w:cs="Calibri" w:eastAsia="Calibri" w:hAnsi="Calibri"/>
          <w:sz w:val="21"/>
          <w:szCs w:val="21"/>
        </w:rPr>
        <w:t xml:space="preserve">UK top-10 firms: chargeable hours of 1,433-1,521 for associates (NQ to 5 PQE), 1,375 for 9+ PQE and 1,125 for full equity partners; senior grades down 8-9% year on year. Top 51-100 firms: ~800-1,130 h.</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PwC UK Law Firms' Survey, Oct 2025</w:t>
      </w:r>
    </w:p>
    <w:p>
      <w:pPr>
        <w:pStyle w:val="ListParagraph"/>
        <w:numPr>
          <w:ilvl w:val="0"/>
          <w:numId w:val="2"/>
        </w:numPr>
        <w:spacing w:after="80"/>
      </w:pPr>
      <w:r>
        <w:rPr>
          <w:rFonts w:ascii="Calibri" w:cs="Calibri" w:eastAsia="Calibri" w:hAnsi="Calibri"/>
          <w:sz w:val="21"/>
          <w:szCs w:val="21"/>
        </w:rPr>
        <w:t xml:space="preserve">UK: 36% of top-100 firms write off 15%+ of fee income; lock-up 135-145 days; firms expect AI to cut chargeable time by ~16%.</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PwC UK Law Firms' Survey</w:t>
      </w:r>
    </w:p>
    <w:p>
      <w:pPr>
        <w:pStyle w:val="ListParagraph"/>
        <w:numPr>
          <w:ilvl w:val="0"/>
          <w:numId w:val="2"/>
        </w:numPr>
        <w:spacing w:after="80"/>
      </w:pPr>
      <w:r>
        <w:rPr>
          <w:rFonts w:ascii="Calibri" w:cs="Calibri" w:eastAsia="Calibri" w:hAnsi="Calibri"/>
          <w:sz w:val="21"/>
          <w:szCs w:val="21"/>
        </w:rPr>
        <w:t xml:space="preserve">US: collected realisation ~90% of worked rates (associates 85.6%); hours per lawyer flat (~1,589); growth driven by rates (+7.1% worked rates, Q4 2025).</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Thomson Reuters; Wells Fargo LSG</w:t>
      </w:r>
    </w:p>
    <w:p>
      <w:pPr>
        <w:spacing w:after="120"/>
      </w:pPr>
      <w:r>
        <w:rPr>
          <w:rFonts w:ascii="Calibri" w:cs="Calibri" w:eastAsia="Calibri" w:hAnsi="Calibri"/>
          <w:b/>
          <w:bCs/>
          <w:sz w:val="21"/>
          <w:szCs w:val="21"/>
        </w:rPr>
        <w:t xml:space="preserve">Implications: </w:t>
      </w:r>
      <w:r>
        <w:rPr>
          <w:rFonts w:ascii="Calibri" w:cs="Calibri" w:eastAsia="Calibri" w:hAnsi="Calibri"/>
          <w:sz w:val="21"/>
          <w:szCs w:val="21"/>
        </w:rPr>
        <w:t xml:space="preserve">model ~1,200-1,300 billable hours as the Nordic norm and a further ~10-15% realisation haircut; utilisation is unlikely to be the main margin lever (AI and hour scrutiny cap it), so rates, leverage and alternative pricing matter more. Recorded hours understate actual effort (Norway, Denmark surveys).</w:t>
      </w:r>
    </w:p>
    <w:p>
      <w:pPr>
        <w:pStyle w:val="Heading1"/>
        <w:spacing w:after="120" w:before="280"/>
      </w:pPr>
      <w:r>
        <w:rPr>
          <w:rFonts w:ascii="Calibri" w:cs="Calibri" w:eastAsia="Calibri" w:hAnsi="Calibri"/>
          <w:b/>
          <w:bCs/>
          <w:color w:val="1F3864"/>
          <w:sz w:val="28"/>
          <w:szCs w:val="28"/>
        </w:rPr>
        <w:t xml:space="preserve">6. International pricing trends (leading indicators)</w:t>
      </w:r>
    </w:p>
    <w:p>
      <w:pPr>
        <w:spacing w:after="120"/>
      </w:pPr>
      <w:r>
        <w:rPr>
          <w:rFonts w:ascii="Calibri" w:cs="Calibri" w:eastAsia="Calibri" w:hAnsi="Calibri"/>
          <w:sz w:val="21"/>
          <w:szCs w:val="21"/>
        </w:rPr>
        <w:t xml:space="preserve">Leading indicators from the US and UK markets, and whether each has reached the Nordic market: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200"/>
        <w:gridCol w:w="322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Indicator</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Market / period</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Reached the Nordics?</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Comment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Annual rate increases of ~7% (US firms +7.3% avg; average top-100 lawyer &gt; USD 1,000/h)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(Thomson Reuters / Georgetown)</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firms show pricing power (8.4% market growth vs 3.7% headcount, 2024) but no announced rate rises of this size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rates +5.1%; M&amp;A partner rates +8.8%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invoices (LexisNexis CounselLink)</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evidenced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Nordic rate-inflation data published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Elite partner rates USD 3,000–3,400/h; top-lawyer rates up 16% in a year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 (WSJ)</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Top Swedish partners at SEK 7,000–10,000/h (~USD 700–1,000), a fraction of US elite levels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top-10 firms average GBP 449/h (2019: GBP 321)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2024 (PwC)</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top-tier blended rates are below London; Norway reports litigation rates doubling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Clients/banks demanding explicit "AI discounts" (Goldman Sachs, Morgan Stanley, Citi)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2026</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yet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public demand by Nordic banks; Nordic banks' pushback so far is on fixed fees (DNB, Handelsbanken)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GC expectation that AI should lower fees (79%) but no reductions seen (84%)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Europe/US, 2026 (Juro)</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Setterwalls: international clients require AI use and evidence of benefit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Shift from billable hour to fixed fees, subscriptions, outcome-based pricing (90% of US spend still hourly)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US/global, 2026 (Thomson Reuters)</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Delphi subscriptions; Baker McKenzie abandoning the billable hour; DNB 50% fixed-fee requirement (Norway)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External / PE capital into law firms (MSO structures)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w:t>
            </w:r>
          </w:p>
        </w:tc>
        <w:tc>
          <w:tcPr>
            <w:tcW w:type="dxa" w:w="12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Yes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AGRD (Axcel) roll-up in Sweden since 2025; firms must leave the Bar</w:t>
            </w:r>
          </w:p>
        </w:tc>
      </w:tr>
    </w:tbl>
    <w:p>
      <w:pPr>
        <w:spacing w:after="120"/>
      </w:pPr>
      <w:r>
        <w:rPr>
          <w:rFonts w:ascii="Calibri" w:cs="Calibri" w:eastAsia="Calibri" w:hAnsi="Calibri"/>
          <w:sz w:val="21"/>
          <w:szCs w:val="21"/>
        </w:rPr>
        <w:t xml:space="preserve"/>
      </w:r>
    </w:p>
    <w:p>
      <w:pPr>
        <w:pStyle w:val="ListParagraph"/>
        <w:numPr>
          <w:ilvl w:val="0"/>
          <w:numId w:val="2"/>
        </w:numPr>
        <w:spacing w:after="80"/>
      </w:pPr>
      <w:r>
        <w:rPr>
          <w:rFonts w:ascii="Calibri" w:cs="Calibri" w:eastAsia="Calibri" w:hAnsi="Calibri"/>
          <w:sz w:val="21"/>
          <w:szCs w:val="21"/>
        </w:rPr>
        <w:t xml:space="preserve">US: firms raised rates 7.3% on average in 2025; average top-100 lawyer above USD 1,000/h.</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juzyd4cspnfd6iuiyya6m">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US: LexisNexis CounselLink partner rates +5.1%, M&amp;A partner rates +8.8%.</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qpgkmzn9k08s_99dopscs">
        <w:r>
          <w:rPr>
            <w:rStyle w:val="Hyperlink"/>
            <w:rFonts w:ascii="Calibri" w:cs="Calibri" w:eastAsia="Calibri" w:hAnsi="Calibri"/>
            <w:i/>
            <w:iCs/>
            <w:sz w:val="18"/>
            <w:szCs w:val="18"/>
          </w:rPr>
          <w:t xml:space="preserve">LexisNexis, 22 Apr 2026</w:t>
        </w:r>
      </w:hyperlink>
    </w:p>
    <w:p>
      <w:pPr>
        <w:pStyle w:val="ListParagraph"/>
        <w:numPr>
          <w:ilvl w:val="0"/>
          <w:numId w:val="2"/>
        </w:numPr>
        <w:spacing w:after="80"/>
      </w:pPr>
      <w:r>
        <w:rPr>
          <w:rFonts w:ascii="Calibri" w:cs="Calibri" w:eastAsia="Calibri" w:hAnsi="Calibri"/>
          <w:sz w:val="21"/>
          <w:szCs w:val="21"/>
        </w:rPr>
        <w:t xml:space="preserve">US: elite partners up to USD 3,000–3,400/h; top-lawyer rates at top-50 firms +16% in a year.</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t48jzyesasmo37g1sqhgv">
        <w:r>
          <w:rPr>
            <w:rStyle w:val="Hyperlink"/>
            <w:rFonts w:ascii="Calibri" w:cs="Calibri" w:eastAsia="Calibri" w:hAnsi="Calibri"/>
            <w:i/>
            <w:iCs/>
            <w:sz w:val="18"/>
            <w:szCs w:val="18"/>
          </w:rPr>
          <w:t xml:space="preserve">Realtid (WSJ), 19 Feb 2026</w:t>
        </w:r>
      </w:hyperlink>
    </w:p>
    <w:p>
      <w:pPr>
        <w:pStyle w:val="ListParagraph"/>
        <w:numPr>
          <w:ilvl w:val="0"/>
          <w:numId w:val="2"/>
        </w:numPr>
        <w:spacing w:after="80"/>
      </w:pPr>
      <w:r>
        <w:rPr>
          <w:rFonts w:ascii="Calibri" w:cs="Calibri" w:eastAsia="Calibri" w:hAnsi="Calibri"/>
          <w:sz w:val="21"/>
          <w:szCs w:val="21"/>
        </w:rPr>
        <w:t xml:space="preserve">US banks demand AI discounts in 2026 panel reviews.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rtvuotykdvblvyq_uwqw7">
        <w:r>
          <w:rPr>
            <w:rStyle w:val="Hyperlink"/>
            <w:rFonts w:ascii="Calibri" w:cs="Calibri" w:eastAsia="Calibri" w:hAnsi="Calibri"/>
            <w:i/>
            <w:iCs/>
            <w:sz w:val="18"/>
            <w:szCs w:val="18"/>
          </w:rPr>
          <w:t xml:space="preserve">Realtid, 1 Sep 2026</w:t>
        </w:r>
      </w:hyperlink>
    </w:p>
    <w:p>
      <w:pPr>
        <w:pStyle w:val="ListParagraph"/>
        <w:numPr>
          <w:ilvl w:val="0"/>
          <w:numId w:val="2"/>
        </w:numPr>
        <w:spacing w:after="80"/>
      </w:pPr>
      <w:r>
        <w:rPr>
          <w:rFonts w:ascii="Calibri" w:cs="Calibri" w:eastAsia="Calibri" w:hAnsi="Calibri"/>
          <w:sz w:val="21"/>
          <w:szCs w:val="21"/>
        </w:rPr>
        <w:t xml:space="preserve">UK: top-10 firms average GBP 449/h; firms 11–25 average GBP 325 (PwC; snippet only).</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ckvyym-6ox4lc66jnqfun">
        <w:r>
          <w:rPr>
            <w:rStyle w:val="Hyperlink"/>
            <w:rFonts w:ascii="Calibri" w:cs="Calibri" w:eastAsia="Calibri" w:hAnsi="Calibri"/>
            <w:i/>
            <w:iCs/>
            <w:sz w:val="18"/>
            <w:szCs w:val="18"/>
          </w:rPr>
          <w:t xml:space="preserve">Legal Cheek, Apr 2025</w:t>
        </w:r>
      </w:hyperlink>
    </w:p>
    <w:p>
      <w:pPr>
        <w:pStyle w:val="Heading1"/>
        <w:spacing w:after="120" w:before="280"/>
      </w:pPr>
      <w:r>
        <w:rPr>
          <w:rFonts w:ascii="Calibri" w:cs="Calibri" w:eastAsia="Calibri" w:hAnsi="Calibri"/>
          <w:b/>
          <w:bCs/>
          <w:color w:val="1F3864"/>
          <w:sz w:val="28"/>
          <w:szCs w:val="28"/>
        </w:rPr>
        <w:t xml:space="preserve">7. Data gaps and next steps</w:t>
      </w:r>
    </w:p>
    <w:p>
      <w:pPr>
        <w:pStyle w:val="ListParagraph"/>
        <w:numPr>
          <w:ilvl w:val="0"/>
          <w:numId w:val="2"/>
        </w:numPr>
        <w:spacing w:after="80"/>
      </w:pPr>
      <w:r>
        <w:rPr>
          <w:rFonts w:ascii="Calibri" w:cs="Calibri" w:eastAsia="Calibri" w:hAnsi="Calibri"/>
          <w:sz w:val="21"/>
          <w:szCs w:val="21"/>
        </w:rPr>
        <w:t xml:space="preserve">Confirm whether MAQS sell-side model rates are list or realised rates, and obtain the rate split for senior associates/counsel and juniors.</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Confirm the date of the Mannheimer Swartling rate card.</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published rate cards found for Vinge, Setterwalls, Lindahl, Gernandt &amp; Danielsson, Delphi, Cirio or other top-20 Nordic firms; client invoices (e.g. via Axo, requested) would add realised-rate evidence.</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Nordic data on annual rate increases or AI-related discounts; consider expert calls with Nordic GCs/procurement leads.</w:t>
      </w:r>
      <w:r>
        <w:rPr>
          <w:rFonts w:ascii="Calibri" w:cs="Calibri" w:eastAsia="Calibri" w:hAnsi="Calibri"/>
          <w:b/>
          <w:bCs/>
          <w:color w:val="595959"/>
          <w:sz w:val="19"/>
          <w:szCs w:val="19"/>
        </w:rPr>
        <w:t xml:space="preserve"/>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74keqdyjw002jpyddwh" Type="http://schemas.openxmlformats.org/officeDocument/2006/relationships/hyperlink" Target="https://www.realtid.se/perfectweekend/affarsjuridikens-karna-det-har-blivit-for-mycket-fokus-pa-pengar/" TargetMode="External"/><Relationship Id="rIdid-fdsyvb7qt4ocgbxc4q" Type="http://schemas.openxmlformats.org/officeDocument/2006/relationships/hyperlink" Target="https://www.affarsvarlden.se/artikel/rekordar-vantas-2024-byraerna-har-blivit-annu-battre-pa-att-ta-betalt" TargetMode="External"/><Relationship Id="rIdpr7ctmaahgd8koygawwc2" Type="http://schemas.openxmlformats.org/officeDocument/2006/relationships/hyperlink" Target="https://www.realtid.se/juridik/timarvoden-for-jurister-en-modell-pa-vag-ut/" TargetMode="External"/><Relationship Id="rIdrq642ko2g4d2bk-x-kk_e" Type="http://schemas.openxmlformats.org/officeDocument/2006/relationships/hyperlink" Target="https://www.realtid.se/perfectweekend/affarsjuridikens-karna-det-har-blivit-for-mycket-fokus-pa-pengar/" TargetMode="External"/><Relationship Id="rIddlvfy0qi0oqn5cjmtruhb" Type="http://schemas.openxmlformats.org/officeDocument/2006/relationships/hyperlink" Target="https://www.realtid.se/juridik/affarsjuridiken-vaxer-men-sprickorna-syns/" TargetMode="External"/><Relationship Id="rIdgcr_oxnu0gawjer6e1c9v" Type="http://schemas.openxmlformats.org/officeDocument/2006/relationships/hyperlink" Target="https://www.xn--skattertt-12a.se/byra/vinge-skatt/" TargetMode="External"/><Relationship Id="rIdlzmywf5gbuk8bia7xtbln" Type="http://schemas.openxmlformats.org/officeDocument/2006/relationships/hyperlink" Target="https://www.realtid.se/juridik/regeringsadvokaten-slar-larm-advokatkostnaderna-skenar/" TargetMode="External"/><Relationship Id="rIdai1loxy9rs4akcr2pdpr1" Type="http://schemas.openxmlformats.org/officeDocument/2006/relationships/hyperlink" Target="https://www.realtid.se/perfectweekend/affarsjuridikens-karna-det-har-blivit-for-mycket-fokus-pa-pengar/" TargetMode="External"/><Relationship Id="rIdi736zqvja1ino6oqdeo3n" Type="http://schemas.openxmlformats.org/officeDocument/2006/relationships/hyperlink" Target="https://www.realtid.se/perfectweekend/affarsjuridikens-karna-det-har-blivit-for-mycket-fokus-pa-pengar/" TargetMode="External"/><Relationship Id="rIdbhdzuvejdxxmz052b2hef" Type="http://schemas.openxmlformats.org/officeDocument/2006/relationships/hyperlink" Target="https://www.realtid.se/perfectweekend/affarsjuridikens-karna-det-har-blivit-for-mycket-fokus-pa-pengar/" TargetMode="External"/><Relationship Id="rIdaawisbsk-wg8jepq7n8mi" Type="http://schemas.openxmlformats.org/officeDocument/2006/relationships/hyperlink" Target="https://www.realtid.se/juridik/vinge-tappar-mark-mannheimer-swartling-drar-ifran/" TargetMode="External"/><Relationship Id="rIdyojkq7zaz-jbbvgu0wvyn" Type="http://schemas.openxmlformats.org/officeDocument/2006/relationships/hyperlink" Target="https://www.realtid.se/perfectweekend/affarsjuridikens-karna-det-har-blivit-for-mycket-fokus-pa-pengar/" TargetMode="External"/><Relationship Id="rId_oojlbrvhte8ydl3baoqy" Type="http://schemas.openxmlformats.org/officeDocument/2006/relationships/hyperlink" Target="https://www.realtid.se/juridik/affarsjuridiken-vaxer-men-sprickorna-syns/" TargetMode="External"/><Relationship Id="rIdhrebrowqw8vwdhtdo9a1c" Type="http://schemas.openxmlformats.org/officeDocument/2006/relationships/hyperlink" Target="https://www.affarsvarlden.se/artikel/sa-dyrt-blev-northvolts-raddningsforsok-i-usa-debiteras-47-000-timmar" TargetMode="External"/><Relationship Id="rIdgg6plr2tnd5yxtlqunocw" Type="http://schemas.openxmlformats.org/officeDocument/2006/relationships/hyperlink" Target="https://www.realtid.se/juridik/ratten-om-timarvoden-4-000-kronor-i-timmen-ar-ok/" TargetMode="External"/><Relationship Id="rIdicwblhao2pzdf1uocbp6i" Type="http://schemas.openxmlformats.org/officeDocument/2006/relationships/hyperlink" Target="https://www.affarsvarlden.se/artikel/rekordar-vantas-2024-byraerna-har-blivit-annu-battre-pa-att-ta-betalt" TargetMode="External"/><Relationship Id="rIdzjiiqxnmii9pdxztgcekz" Type="http://schemas.openxmlformats.org/officeDocument/2006/relationships/hyperlink" Target="https://www.realtid.se/juridik/affarsjuridiken-vaxer-men-sprickorna-syns/" TargetMode="External"/><Relationship Id="rIdlou64ribiio12snpnvwlk" Type="http://schemas.openxmlformats.org/officeDocument/2006/relationships/hyperlink" Target="https://www.realtid.se/bors-finans/nu-satter-handelsbanken-press-pa-hoga-advokatarvoden/" TargetMode="External"/><Relationship Id="rId2htzv39-vdt-ewvf9mvvx" Type="http://schemas.openxmlformats.org/officeDocument/2006/relationships/hyperlink" Target="https://www.realtid.se/bors-finans/norska-protester-mot-dyra-advokater-nu-kraver-bankerna-fast-pris/" TargetMode="External"/><Relationship Id="rIdqqqp1phuq9nyp-wzz-cem" Type="http://schemas.openxmlformats.org/officeDocument/2006/relationships/hyperlink" Target="https://www.realtid.se/bors-finans/advokatbyraernas-prismodeller-forandras/" TargetMode="External"/><Relationship Id="rIdckzl0scjyk4cj1c8y6max" Type="http://schemas.openxmlformats.org/officeDocument/2006/relationships/hyperlink" Target="https://www.realtid.se/debatt/rimligt-att-ersattningen-innehaller-ett-moment-av-reglering" TargetMode="External"/><Relationship Id="rIds4csydqmcmjp9_idizg2u" Type="http://schemas.openxmlformats.org/officeDocument/2006/relationships/hyperlink" Target="https://www.realtid.se/perfectweekend/affarsjuridikens-karna-det-har-blivit-for-mycket-fokus-pa-pengar/" TargetMode="External"/><Relationship Id="rIdcebsmnolix-qghlxtnahk" Type="http://schemas.openxmlformats.org/officeDocument/2006/relationships/hyperlink" Target="https://www.realtid.se/bors-finans/affarer/154-miljarder-sa-klarade-affarsjuristerna-tullchocken/" TargetMode="External"/><Relationship Id="rIdagcm6tzdyx6n35hvuxftb" Type="http://schemas.openxmlformats.org/officeDocument/2006/relationships/hyperlink" Target="https://www.realtid.se/bors-finans/affarer/154-miljarder-sa-klarade-affarsjuristerna-tullchocken/" TargetMode="External"/><Relationship Id="rIdfb5eis-w0d8lzqxah4gdf" Type="http://schemas.openxmlformats.org/officeDocument/2006/relationships/hyperlink" Target="https://www.affarsvarlden.se/artikel/vinge-gar-om-msa-sa-gar-det-for-affarsjuristerna" TargetMode="External"/><Relationship Id="rId_qs7erwtimoibqui7nqbg" Type="http://schemas.openxmlformats.org/officeDocument/2006/relationships/hyperlink" Target="https://www.legaltechmonitor.com/2026/04/legora-raises-50m-series-d-extension-atlassian-and-nvidia-fund-join-as-investors/" TargetMode="External"/><Relationship Id="rIduudzaynk3cekqv2uldyhv" Type="http://schemas.openxmlformats.org/officeDocument/2006/relationships/hyperlink" Target="https://www.realtid.se/juridik/advokatbyra-delas-malmo-bryter-sig-loss/" TargetMode="External"/><Relationship Id="rIdynf0eyqusqdkhu2_ezpcy" Type="http://schemas.openxmlformats.org/officeDocument/2006/relationships/hyperlink" Target="https://www.realtid.se/juridik/timarvoden-for-jurister-en-modell-pa-vag-ut/" TargetMode="External"/><Relationship Id="rId4r193uvtz3oswcsgkyso1" Type="http://schemas.openxmlformats.org/officeDocument/2006/relationships/hyperlink" Target="https://www.realtid.se/juridik/timarvoden-for-jurister-en-modell-pa-vag-ut/" TargetMode="External"/><Relationship Id="rIdu__4egedsglfa-x-qdkez" Type="http://schemas.openxmlformats.org/officeDocument/2006/relationships/hyperlink" Target="https://www.realtid.se/juridik/kunderna-vill-ha-ai-rabatt-advokatbyraerna-hojer-priset/" TargetMode="External"/><Relationship Id="rIddfdilceeo8j97ux627ziy" Type="http://schemas.openxmlformats.org/officeDocument/2006/relationships/hyperlink" Target="https://www.realtid.se/juridik/storbankerna-kraver-ai-rabatt-av-advokatbyraerna/" TargetMode="External"/><Relationship Id="rIdiezmov4umu7_wcowo9yjz" Type="http://schemas.openxmlformats.org/officeDocument/2006/relationships/hyperlink" Target="https://www.affarsvarlden.se/artikel/affarsjuristerna-om-trenden-pe-bolagen-kommer-vara-motorn" TargetMode="External"/><Relationship Id="rIdjuzyd4cspnfd6iuiyya6m" Type="http://schemas.openxmlformats.org/officeDocument/2006/relationships/hyperlink" Target="https://www.realtid.se/juridik/kunderna-vill-ha-ai-rabatt-advokatbyraerna-hojer-priset/" TargetMode="External"/><Relationship Id="rIdqpgkmzn9k08s_99dopscs" Type="http://schemas.openxmlformats.org/officeDocument/2006/relationships/hyperlink" Target="https://www.lexisnexis.com/community/amp-pressroom/lexisnexis-counsellink-releases-2026-trends-report-as-rising-rates-and-big-law-share-of-wallet-continue-to-climb" TargetMode="External"/><Relationship Id="rIdt48jzyesasmo37g1sqhgv" Type="http://schemas.openxmlformats.org/officeDocument/2006/relationships/hyperlink" Target="https://www.realtid.se/juridik/toppjuristers-arvoden-exploderar-samtidigt-hotar-ai-botten/" TargetMode="External"/><Relationship Id="rIdrtvuotykdvblvyq_uwqw7" Type="http://schemas.openxmlformats.org/officeDocument/2006/relationships/hyperlink" Target="https://www.realtid.se/juridik/storbankerna-kraver-ai-rabatt-av-advokatbyraerna/" TargetMode="External"/><Relationship Id="rIdckvyym-6ox4lc66jnqfun" Type="http://schemas.openxmlformats.org/officeDocument/2006/relationships/hyperlink" Target="https://www.legalcheek.com/2025/04/the-2000-per-hour-solicitor"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Charging rates in Nordic business law</dc:title>
  <dc:creator>Research</dc:creator>
  <cp:lastModifiedBy>Un-named</cp:lastModifiedBy>
  <cp:revision>1</cp:revision>
  <dcterms:created xsi:type="dcterms:W3CDTF">2026-10-13T10:50:01.277Z</dcterms:created>
  <dcterms:modified xsi:type="dcterms:W3CDTF">2026-10-13T10:50:01.285Z</dcterms:modified>
</cp:coreProperties>
</file>

<file path=docProps/custom.xml><?xml version="1.0" encoding="utf-8"?>
<Properties xmlns="http://schemas.openxmlformats.org/officeDocument/2006/custom-properties" xmlns:vt="http://schemas.openxmlformats.org/officeDocument/2006/docPropsVTypes"/>
</file>