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Swedish and Nordic business-law market: size and data book guide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Summary of the market-size evidence for Sweden and the Nordics, and a guide to each tab of the legal market data book. Compiled October 2026. Amounts in SEK; other currencies converted at the Riksbank fixing of 12 Oct 2026 (USD 10.01, EUR 11.20, NOK 1.047, DKK 1.498 SEK).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Market size at a glance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There is no official definition of the "business-law" (affärsjuridik) market. The estimates below differ mainly because they measure different scopes: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00"/>
        <w:gridCol w:w="1300"/>
        <w:gridCol w:w="800"/>
        <w:gridCol w:w="22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(as reported)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SEK equivalent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Business law: fee income of the 56 largest firms (Affärsvärlden panel)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~SEK 16bn (+5.3%)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SEK 16bn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2025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Most-cited figure; large firms only (floor)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Same panel, prior year (revised)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SEK 15.4bn (+8.6%); SEK 4.13m per lawyer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SEK 15.4bn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Afv, 3 Oct 2025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Business-law market, total (industry estimate)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&gt;SEK 25bn p.a.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&gt;SEK 25bn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AGRD Partners op-ed; method not given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law firms (advokatbyråer), estimate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~SEK 29bn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SEK 29bn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2024e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2021 SCB share (74.5%) applied to 2024 total (ceiling: incl. non-business work)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legal activities, SCB SNI 69.1 (official)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SEK 38.9bn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SEK 38.9bn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6,965 companies; 13,446 employees; +6.6% vs 2023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legal services (MarketLine)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USD 3.1bn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SEK 31.0bn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Incl. taxes; CAGR 5.9% 2019-24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legal activities (IBISWorld)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EUR 3.5bn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SEK 39.2bn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2026e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CAGR -0.5% 2020-25 (conflicts with other sources)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Working range: </w:t>
      </w:r>
      <w:r>
        <w:rPr>
          <w:rFonts w:ascii="Calibri" w:cs="Calibri" w:eastAsia="Calibri" w:hAnsi="Calibri"/>
          <w:sz w:val="21"/>
          <w:szCs w:val="21"/>
        </w:rPr>
        <w:t xml:space="preserve">SEK ~16bn (large business-law firms) to ~29bn (all law firms), with the Swedish business-law market most often put at SEK 16-25bn.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Official statistics (SCB, net turnover SEK 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2000"/>
        <w:gridCol w:w="1900"/>
        <w:gridCol w:w="19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SNI 69.1 total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69.101 Advokatbyråer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69.102 Other legal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69.103 Patent agents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18,738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13,904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1,956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2,879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23,986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17,936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2,750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3,300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31,237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22,277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4,194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4,765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34,693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25,864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4,558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4,270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2022*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33,276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n/p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n/p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2023*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36,525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n/p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n/p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2024*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38,921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n/p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n/p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* New SCB series from 2022, not directly comparable with 2021; sub-industry splits not published. Advokatbyrå turnover grew ~5.8% p.a. 2010-21. 2024 value added SEK 25.3bn; EBITDA margin 28%.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Concentration and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Concentration: </w:t>
      </w:r>
      <w:r>
        <w:rPr>
          <w:rFonts w:ascii="Calibri" w:cs="Calibri" w:eastAsia="Calibri" w:hAnsi="Calibri"/>
          <w:sz w:val="21"/>
          <w:szCs w:val="21"/>
        </w:rPr>
        <w:t xml:space="preserve">top 5 firms ~46% and top 10 ~66% of the Affärsvärlden panel (FY2024). Vinge and Mannheimer Swartling each exceed SEK 2bn; five firms exceed SEK 1bn.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Growth: </w:t>
      </w:r>
      <w:r>
        <w:rPr>
          <w:rFonts w:ascii="Calibri" w:cs="Calibri" w:eastAsia="Calibri" w:hAnsi="Calibri"/>
          <w:sz w:val="21"/>
          <w:szCs w:val="21"/>
        </w:rPr>
        <w:t xml:space="preserve">panel fee income +8.6% (2024) and +5.3% (2025); firms expect +6.8% in 2026. 2025 growth came from international transactions, disputes and regulatory work; IPOs were weakest.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Supply: </w:t>
      </w:r>
      <w:r>
        <w:rPr>
          <w:rFonts w:ascii="Calibri" w:cs="Calibri" w:eastAsia="Calibri" w:hAnsi="Calibri"/>
          <w:sz w:val="21"/>
          <w:szCs w:val="21"/>
        </w:rPr>
        <w:t xml:space="preserve">6,712 Bar members (5,963 practising) and 2,525 associates at end-2025 (Advokatsamfundet).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Consolidation: </w:t>
      </w:r>
      <w:r>
        <w:rPr>
          <w:rFonts w:ascii="Calibri" w:cs="Calibri" w:eastAsia="Calibri" w:hAnsi="Calibri"/>
          <w:sz w:val="21"/>
          <w:szCs w:val="21"/>
        </w:rPr>
        <w:t xml:space="preserve">AGRD (Axcel) has combined 11 firms since Aug-2025; Nordic entrants (BAHR, CMS) and domestic mergers continue (data book Section F).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Nordic comparison: Sweden, Norway, Denmark, Finland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Official statistics cover all legal activities; only Norway publishes a business-law split. Business-law figures for Sweden, Denmark and Finland are estimates. SEK at the Riksbank fixing of 12 Oct 2026.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0"/>
        <w:gridCol w:w="1750"/>
        <w:gridCol w:w="1750"/>
        <w:gridCol w:w="177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Sweden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Norway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Denmark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Finland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Legal activities, official (2024)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SEK 38.9bn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NOK 27.5bn (SEK 28.8bn)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DKK 19.5bn (SEK 29.2bn)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EUR 1.18bn (SEK 13.2bn); 2025: EUR 1.28bn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Business law (official / estimate)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SEK 16bn (panel floor) to &gt;25bn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NOK 15.6bn official (SEK 16.3bn), 57% of total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~DKK 13bn est. (SEK 19.5bn), ~67% business clients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~EUR 0.55-0.65bn est. (SEK 6-7bn)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Growth (local currency)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~8% p.a. 2022-24; 5.8% p.a. 2010-21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9.3% p.a. 2019-24; business law +14.9% in 2024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4.5% p.a. 2019-24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4.9% p.a. 2019-25; +8.4% in 2025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Enterprises / employees (Eurostat 2024)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6,965 / 17,521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2,214 / 9,264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1,912 / 13,158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2,726 / 6,509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Turnover per employee (EUR k, 2024)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194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255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198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Lawyers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6,712 Bar members (5,963 practising)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10,756 Bar members incl. trainees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~7,760 incl. in-house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2,443 asianajajat + 1,778 licensed counsel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Largest firm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Vinge SEK 2.04bn (2025)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Schjødt NOK 2.50bn (2025, consolidated)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Gorrissen Federspiel DKK 1.31bn (2025)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Roschier EUR 99m (FY05/2026)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Concentration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Top-5 ~46%, top-10 ~66% of Afv panel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Top-5 ~31% of sector (NOK 9.4bn, 2025)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Top-10 ~44% (2022) to ~47-49% (2025e)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Top-5 ~27% of sector; ~55% of top-30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Revenue per employee, large firms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SEK 3.1-3.9m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NOK 4.7-5.5m (SEK 4.9-5.8m)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DKK 2.4-2.55m (SEK 3.6-3.8m)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EUR 205-384k (SEK 2.3-4.3m)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External / PE ownership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Only by leaving the Bar (AGRD precedent)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Lawyers Act 2025: no passive ownership of advokat firms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Lawyer-only ownership; advocates' court monopoly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Bar firms lawyer-owned; licensed-counsel route; Fondia listed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Nordic total: </w:t>
      </w:r>
      <w:r>
        <w:rPr>
          <w:rFonts w:ascii="Calibri" w:cs="Calibri" w:eastAsia="Calibri" w:hAnsi="Calibri"/>
          <w:sz w:val="21"/>
          <w:szCs w:val="21"/>
        </w:rPr>
        <w:t xml:space="preserve">legal activities ~SEK 110bn (2024; Eurostat basis ~SEK 107bn); business law ~SEK 59-68bn, with Sweden the largest business-law market (~30-35%), followed by Denmark, Norway and Finland.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Norway </w:t>
      </w:r>
      <w:r>
        <w:rPr>
          <w:rFonts w:ascii="Calibri" w:cs="Calibri" w:eastAsia="Calibri" w:hAnsi="Calibri"/>
          <w:sz w:val="21"/>
          <w:szCs w:val="21"/>
        </w:rPr>
        <w:t xml:space="preserve">is the most profitable per head (EUR 255k turnover per employee) and fastest growing, with strong Norwegian firms expanding into Sweden and Denmark (Schjødt, BAHR).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Denmark </w:t>
      </w:r>
      <w:r>
        <w:rPr>
          <w:rFonts w:ascii="Calibri" w:cs="Calibri" w:eastAsia="Calibri" w:hAnsi="Calibri"/>
          <w:sz w:val="21"/>
          <w:szCs w:val="21"/>
        </w:rPr>
        <w:t xml:space="preserve">is the most concentrated market among the large firms and has the strictest framework (lawyer-only ownership and a court-representation monopoly).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Finland </w:t>
      </w:r>
      <w:r>
        <w:rPr>
          <w:rFonts w:ascii="Calibri" w:cs="Calibri" w:eastAsia="Calibri" w:hAnsi="Calibri"/>
          <w:sz w:val="21"/>
          <w:szCs w:val="21"/>
        </w:rPr>
        <w:t xml:space="preserve">is the smallest, with a very profitable top tier (EBIT margins ~37-54% at Roschier, Krogerus, Avance, Borenius) and a fragmented mid-tier of firms of EUR 6-38m revenue.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Sweden </w:t>
      </w:r>
      <w:r>
        <w:rPr>
          <w:rFonts w:ascii="Calibri" w:cs="Calibri" w:eastAsia="Calibri" w:hAnsi="Calibri"/>
          <w:sz w:val="21"/>
          <w:szCs w:val="21"/>
        </w:rPr>
        <w:t xml:space="preserve">is the largest and most fragmented business-law market, and the only one with an established PE roll-up (AGRD).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Guide to the data 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A. Market size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Headline estimates and SCB official statistics (above).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A. Nordic market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FX (Riksbank) and Sweden / Norway / Denmark / Finland comparison: official statistics, business-law estimates, structure, leading firms, ownership rules, consolidation.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A. Growth drivers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Fastest growers and drivers, tagged lateral hire / M&amp;A / new office / organic / price.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A. Niche firms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Chambers / Legal 500 ranked Swedish firms: 9 full-service, ranked independents, PE-owned (AGRD), firms to watch; revenue and revenue per partner.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B. Practice rankings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Firm x practice-area matrix of Chambers bands and Legal 500 tiers; MAQS boxed, Magnusson / Delphi / Lindahl boxed as a group.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B. Rankings raw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firm-level ranking extract.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B. Top lawyers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Chambers Bands 1-3 and Legal 500 top categories in Corporate/M&amp;A, PE, Banking &amp; finance, Disputes; count per firm.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B. Partner pipeline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172 ranked lawyers scored A/B/C as lateral-hire targets, with approach angles.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C. Benchmarking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 30 firms: revenue per partner / employee / lawyer, leverage (partners / employees and partners / lawyers), medians.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D. Rate cards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Mannheimer Swartling, Cederquist and MAQS rate cards; indicative ranges; Nordic realised rates since 2023; benchmarks.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E. Partner compensation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Profit pool and dividend per partner from filed accounts; press reporting on partner incomes (firm level); SCB lawyer salaries.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F. M&amp;A &amp; team lifts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Mergers, PE roll-ups, market entries, splits, team lifts and net partner flows, 2020-26.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Companion document: "Charging rates in Nordic business law" (Word briefing on rate levels, pricing trends, AI impact and international indicators).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Key caveats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Definitions: </w:t>
      </w:r>
      <w:r>
        <w:rPr>
          <w:rFonts w:ascii="Calibri" w:cs="Calibri" w:eastAsia="Calibri" w:hAnsi="Calibri"/>
          <w:sz w:val="21"/>
          <w:szCs w:val="21"/>
        </w:rPr>
        <w:t xml:space="preserve">no official business-law market definition; SCB classifies by firm type, not client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Revenue bases: </w:t>
      </w:r>
      <w:r>
        <w:rPr>
          <w:rFonts w:ascii="Calibri" w:cs="Calibri" w:eastAsia="Calibri" w:hAnsi="Calibri"/>
          <w:sz w:val="21"/>
          <w:szCs w:val="21"/>
        </w:rPr>
        <w:t xml:space="preserve">Affärsvärlden reports fee income; company accounts report net sales of single legal entities; some firms use split financial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Headcount: </w:t>
      </w:r>
      <w:r>
        <w:rPr>
          <w:rFonts w:ascii="Calibri" w:cs="Calibri" w:eastAsia="Calibri" w:hAnsi="Calibri"/>
          <w:sz w:val="21"/>
          <w:szCs w:val="21"/>
        </w:rPr>
        <w:t xml:space="preserve">partner and lawyer counts are mostly firm-website counts (Oct-2026) or firm-supplied to directories; no FTE data is published, so employees are used as a proxy.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Timing: </w:t>
      </w:r>
      <w:r>
        <w:rPr>
          <w:rFonts w:ascii="Calibri" w:cs="Calibri" w:eastAsia="Calibri" w:hAnsi="Calibri"/>
          <w:sz w:val="21"/>
          <w:szCs w:val="21"/>
        </w:rPr>
        <w:t xml:space="preserve">headcounts are current while revenue is FY2024/25, so per-head ratios are indicative.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Gaps: </w:t>
      </w:r>
      <w:r>
        <w:rPr>
          <w:rFonts w:ascii="Calibri" w:cs="Calibri" w:eastAsia="Calibri" w:hAnsi="Calibri"/>
          <w:sz w:val="21"/>
          <w:szCs w:val="21"/>
        </w:rPr>
        <w:t xml:space="preserve">Affärsvärlden's full FY2025 table and Dagens Juridik's 2025 tables are paywalled; limited partnerships (KB) file no public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Nordic comparability: </w:t>
      </w:r>
      <w:r>
        <w:rPr>
          <w:rFonts w:ascii="Calibri" w:cs="Calibri" w:eastAsia="Calibri" w:hAnsi="Calibri"/>
          <w:sz w:val="21"/>
          <w:szCs w:val="21"/>
        </w:rPr>
        <w:t xml:space="preserve">official statistics measure all legal activities; firm revenues use different fiscal years and entity scopes; Denmark and Finland business-law figures are estimates.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Swedish business-law market: size and data book guide</dc:title>
  <dc:creator>Research</dc:creator>
  <cp:lastModifiedBy>Un-named</cp:lastModifiedBy>
  <cp:revision>1</cp:revision>
  <dcterms:created xsi:type="dcterms:W3CDTF">2026-10-13T10:50:04.239Z</dcterms:created>
  <dcterms:modified xsi:type="dcterms:W3CDTF">2026-10-13T10:50:04.239Z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