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Swedish business-law market: size and data book guide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Summary of the market-size evidence and a guide to each tab of the legal market data book. Compiled October 2026. Amounts in SEK.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Market size at a glance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There is no official definition of the "business-law" (affärsjuridik) market. The estimates below differ mainly because they measure different scopes: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100"/>
        <w:gridCol w:w="900"/>
        <w:gridCol w:w="2726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Figure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Year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Comment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Business law: fee income of the 56 largest firms (Affärsvärlden panel)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~SEK 16bn (+5.3%)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2025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Most-cited figure; large firms only (floor)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Same panel, prior year (revised)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15.4bn (+8.6%); SEK 4.13m per lawyer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2024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Afv, 3 Oct 2025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Business-law market, total (industry estimate)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&gt;SEK 25bn p.a.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n/a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AGRD Partners op-ed; method not given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All law firms (advokatbyråer), estimate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~SEK 29bn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2024e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2021 SCB share (74.5%) applied to 2024 total (ceiling: incl. non-business work)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All legal activities, SCB SNI 69.1 (official)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SEK 38.9bn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2024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6,965 companies; 13,446 employees; +6.6% vs 2023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All legal services (MarketLine)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USD 3.1bn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2024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Incl. taxes; CAGR 5.9% 2019-24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All legal activities (IBISWorld)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EUR 3.5bn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2026e</w:t>
            </w:r>
          </w:p>
        </w:tc>
        <w:tc>
          <w:tcPr>
            <w:tcW w:type="dxa" w:w="2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CAGR -0.5% 2020-25 (conflicts with other sources)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Working range: </w:t>
      </w:r>
      <w:r>
        <w:rPr>
          <w:rFonts w:ascii="Calibri" w:cs="Calibri" w:eastAsia="Calibri" w:hAnsi="Calibri"/>
          <w:sz w:val="21"/>
          <w:szCs w:val="21"/>
        </w:rPr>
        <w:t xml:space="preserve">SEK ~16bn (large business-law firms) to ~29bn (all law firms), with the Swedish business-law market most often put at SEK 16-25bn.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Official statistics (SCB, net turnover SEK 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00"/>
        <w:gridCol w:w="2000"/>
        <w:gridCol w:w="1900"/>
        <w:gridCol w:w="1926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Year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SNI 69.1 total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69.101 Advokatbyråer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69.102 Other legal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69.103 Patent agents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2010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18,738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13,904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1,956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2,879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2015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23,986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17,936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2,750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3,300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2019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31,237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22,277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4,194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4,765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34,693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25,864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4,558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4,270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2022*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33,276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2023*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36,525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2024*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38,921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  <w:tc>
          <w:tcPr>
            <w:tcW w:type="dxa" w:w="1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n/p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* New SCB series from 2022, not directly comparable with 2021; sub-industry splits not published. Advokatbyrå turnover grew ~5.8% p.a. 2010-21. 2024 value added SEK 25.3bn; EBITDA margin 28%.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Concentration and growth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Concentration: </w:t>
      </w:r>
      <w:r>
        <w:rPr>
          <w:rFonts w:ascii="Calibri" w:cs="Calibri" w:eastAsia="Calibri" w:hAnsi="Calibri"/>
          <w:sz w:val="21"/>
          <w:szCs w:val="21"/>
        </w:rPr>
        <w:t xml:space="preserve">top 5 firms ~46% and top 10 ~66% of the Affärsvärlden panel (FY2024). Vinge and Mannheimer Swartling each exceed SEK 2bn; five firms exceed SEK 1bn.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Growth: </w:t>
      </w:r>
      <w:r>
        <w:rPr>
          <w:rFonts w:ascii="Calibri" w:cs="Calibri" w:eastAsia="Calibri" w:hAnsi="Calibri"/>
          <w:sz w:val="21"/>
          <w:szCs w:val="21"/>
        </w:rPr>
        <w:t xml:space="preserve">panel fee income +8.6% (2024) and +5.3% (2025); firms expect +6.8% in 2026. 2025 growth came from international transactions, disputes and regulatory work; IPOs were weakest.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Supply: </w:t>
      </w:r>
      <w:r>
        <w:rPr>
          <w:rFonts w:ascii="Calibri" w:cs="Calibri" w:eastAsia="Calibri" w:hAnsi="Calibri"/>
          <w:sz w:val="21"/>
          <w:szCs w:val="21"/>
        </w:rPr>
        <w:t xml:space="preserve">6,712 Bar members (5,963 practising) and 2,525 associates at end-2025 (Advokatsamfundet).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Consolidation: </w:t>
      </w:r>
      <w:r>
        <w:rPr>
          <w:rFonts w:ascii="Calibri" w:cs="Calibri" w:eastAsia="Calibri" w:hAnsi="Calibri"/>
          <w:sz w:val="21"/>
          <w:szCs w:val="21"/>
        </w:rPr>
        <w:t xml:space="preserve">AGRD (Axcel) has combined 11 firms since Aug-2025; Nordic entrants (BAHR, CMS) and domestic mergers continue (data book Section F).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Guide to the data book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A. Market size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Headline estimates and SCB official statistics (above).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A. Growth drivers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Fastest growers and drivers, tagged lateral hire / M&amp;A / new office / organic / price.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A. Niche firms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All Chambers / Legal 500 ranked Swedish firms: 9 full-service, ranked independents, PE-owned (AGRD), firms to watch; revenue and revenue per partner.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B. Practice rankings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Firm x practice-area matrix of Chambers bands and Legal 500 tiers; MAQS boxed, Magnusson / Delphi / Lindahl boxed as a group.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B. Rankings raw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Full firm-level ranking extract.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B. Top lawyers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Chambers Bands 1-3 and Legal 500 top categories in Corporate/M&amp;A, PE, Banking &amp; finance, Disputes; count per firm.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B. Partner pipeline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172 ranked lawyers scored A/B/C as lateral-hire targets, with approach angles.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C. Benchmarking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Top 30 firms: revenue per partner / employee / lawyer, leverage (partners / employees and partners / lawyers), medians.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D. Rate cards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Mannheimer Swartling, Cederquist and MAQS rate cards; indicative ranges; Nordic realised rates since 2023; benchmarks.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E. Partner compensation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Profit pool and dividend per partner from filed accounts; press reporting on partner incomes (firm level); SCB lawyer salaries.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F. M&amp;A &amp; team lifts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Mergers, PE roll-ups, market entries, splits, team lifts and net partner flows, 2020-26.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Companion document: "Charging rates in Nordic business law" (Word briefing on rate levels, pricing trends, AI impact and international indicators).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Key caveats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Definitions: </w:t>
      </w:r>
      <w:r>
        <w:rPr>
          <w:rFonts w:ascii="Calibri" w:cs="Calibri" w:eastAsia="Calibri" w:hAnsi="Calibri"/>
          <w:sz w:val="21"/>
          <w:szCs w:val="21"/>
        </w:rPr>
        <w:t xml:space="preserve">no official business-law market definition; SCB classifies by firm type, not client type.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Revenue bases: </w:t>
      </w:r>
      <w:r>
        <w:rPr>
          <w:rFonts w:ascii="Calibri" w:cs="Calibri" w:eastAsia="Calibri" w:hAnsi="Calibri"/>
          <w:sz w:val="21"/>
          <w:szCs w:val="21"/>
        </w:rPr>
        <w:t xml:space="preserve">Affärsvärlden reports fee income; company accounts report net sales of single legal entities; some firms use split financial years.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Headcount: </w:t>
      </w:r>
      <w:r>
        <w:rPr>
          <w:rFonts w:ascii="Calibri" w:cs="Calibri" w:eastAsia="Calibri" w:hAnsi="Calibri"/>
          <w:sz w:val="21"/>
          <w:szCs w:val="21"/>
        </w:rPr>
        <w:t xml:space="preserve">partner and lawyer counts are mostly firm-website counts (Oct-2026) or firm-supplied to directories; no FTE data is published, so employees are used as a proxy.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Timing: </w:t>
      </w:r>
      <w:r>
        <w:rPr>
          <w:rFonts w:ascii="Calibri" w:cs="Calibri" w:eastAsia="Calibri" w:hAnsi="Calibri"/>
          <w:sz w:val="21"/>
          <w:szCs w:val="21"/>
        </w:rPr>
        <w:t xml:space="preserve">headcounts are current while revenue is FY2024/25, so per-head ratios are indicative.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Gaps: </w:t>
      </w:r>
      <w:r>
        <w:rPr>
          <w:rFonts w:ascii="Calibri" w:cs="Calibri" w:eastAsia="Calibri" w:hAnsi="Calibri"/>
          <w:sz w:val="21"/>
          <w:szCs w:val="21"/>
        </w:rPr>
        <w:t xml:space="preserve">Affärsvärlden's full FY2025 table and Dagens Juridik's 2025 tables are paywalled; limited partnerships (KB) file no public accounts.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Swedish business-law market: size and data book guide</dc:title>
  <dc:creator>Research</dc:creator>
  <cp:lastModifiedBy>Un-named</cp:lastModifiedBy>
  <cp:revision>1</cp:revision>
  <dcterms:created xsi:type="dcterms:W3CDTF">2026-10-13T10:12:09.611Z</dcterms:created>
  <dcterms:modified xsi:type="dcterms:W3CDTF">2026-10-13T10:12:09.611Z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