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699ee923cfadbd67ac521ba92b96f8bcee5c3c"/>
    <w:p>
      <w:pPr>
        <w:pStyle w:val="Heading1"/>
      </w:pPr>
      <w:r>
        <w:t xml:space="preserve">MJM – Secondary Term Sheet (v20261027_2310): consistency and entity review</w:t>
      </w:r>
    </w:p>
    <w:p>
      <w:pPr>
        <w:pStyle w:val="FirstParagraph"/>
      </w:pPr>
      <w:r>
        <w:t xml:space="preserve">Reviewed against the Project Denali structure chart dated 28 April 2026 (</w:t>
      </w:r>
      <w:r>
        <w:t xml:space="preserve">“</w:t>
      </w:r>
      <w:r>
        <w:t xml:space="preserve">with Hermes</w:t>
      </w:r>
      <w:r>
        <w:t xml:space="preserve">”</w:t>
      </w:r>
      <w:r>
        <w:t xml:space="preserve"> </w:t>
      </w:r>
      <w:r>
        <w:t xml:space="preserve">version). Scope: entity accuracy and internal consistency only. No redrafting, no new commercial terms.</w:t>
      </w:r>
    </w:p>
    <w:bookmarkStart w:id="20" w:name="entity-discrepancies"/>
    <w:p>
      <w:pPr>
        <w:pStyle w:val="Heading2"/>
      </w:pPr>
      <w:r>
        <w:t xml:space="preserve">1. Entity discrepancies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Entity as drafted</w:t>
            </w:r>
          </w:p>
        </w:tc>
        <w:tc>
          <w:tcPr/>
          <w:p>
            <w:pPr>
              <w:pStyle w:val="Compact"/>
              <w:jc w:val="left"/>
            </w:pPr>
            <w:r>
              <w:t xml:space="preserve">Entity per structure chart</w:t>
            </w:r>
          </w:p>
        </w:tc>
        <w:tc>
          <w:tcPr/>
          <w:p>
            <w:pPr>
              <w:pStyle w:val="Compact"/>
              <w:jc w:val="left"/>
            </w:pPr>
            <w:r>
              <w:t xml:space="preserve">Action</w:t>
            </w:r>
          </w:p>
        </w:tc>
      </w:tr>
      <w:tr>
        <w:tc>
          <w:tcPr/>
          <w:p>
            <w:pPr>
              <w:pStyle w:val="Compact"/>
              <w:jc w:val="left"/>
            </w:pPr>
            <w:r>
              <w:t xml:space="preserve">E1</w:t>
            </w:r>
          </w:p>
        </w:tc>
        <w:tc>
          <w:tcPr/>
          <w:p>
            <w:pPr>
              <w:pStyle w:val="Compact"/>
              <w:jc w:val="left"/>
            </w:pPr>
            <w:r>
              <w:t xml:space="preserve">Corsair European Insurance Services L.P. (</w:t>
            </w:r>
            <w:r>
              <w:t xml:space="preserve">“</w:t>
            </w:r>
            <w:r>
              <w:t xml:space="preserve">CEIS</w:t>
            </w:r>
            <w:r>
              <w:t xml:space="preserve">”</w:t>
            </w:r>
            <w:r>
              <w:t xml:space="preserve">), described as</w:t>
            </w:r>
            <w:r>
              <w:t xml:space="preserve"> </w:t>
            </w:r>
            <w:r>
              <w:t xml:space="preserve">“</w:t>
            </w:r>
            <w:r>
              <w:t xml:space="preserve">an existing indirect shareholder of the Company</w:t>
            </w:r>
            <w:r>
              <w:t xml:space="preserve">”</w:t>
            </w:r>
          </w:p>
        </w:tc>
        <w:tc>
          <w:tcPr/>
          <w:p>
            <w:pPr>
              <w:pStyle w:val="Compact"/>
              <w:jc w:val="left"/>
            </w:pPr>
            <w:r>
              <w:t xml:space="preserve">Corsair European Insurance Services LP (Cayman). Holds only as 79.0% LP of Denali EIS SCSp, which holds 47.3% of Denali Holdings I SARL. Not a shareholder of Denali Pooling I SCA</w:t>
            </w:r>
          </w:p>
        </w:tc>
        <w:tc>
          <w:tcPr/>
          <w:p>
            <w:pPr>
              <w:pStyle w:val="Compact"/>
              <w:jc w:val="left"/>
            </w:pPr>
            <w:r>
              <w:t xml:space="preserve">Name is correct.</w:t>
            </w:r>
            <w:r>
              <w:t xml:space="preserve"> </w:t>
            </w:r>
            <w:r>
              <w:t xml:space="preserve">“</w:t>
            </w:r>
            <w:r>
              <w:t xml:space="preserve">Indirect shareholder</w:t>
            </w:r>
            <w:r>
              <w:t xml:space="preserve">”</w:t>
            </w:r>
            <w:r>
              <w:t xml:space="preserve"> </w:t>
            </w:r>
            <w:r>
              <w:t xml:space="preserve">is accurate.</w:t>
            </w:r>
            <w:r>
              <w:t xml:space="preserve"> </w:t>
            </w:r>
            <w:r>
              <w:rPr>
                <w:bCs/>
                <w:b/>
              </w:rPr>
              <w:t xml:space="preserve">Decision needed</w:t>
            </w:r>
            <w:r>
              <w:t xml:space="preserve">: CEIS buying Denali Pooling shares directly creates a new direct line into Denali Pooling that does not exist today and sits outside the Denali EIS vehicle in which Hermes has 21%. If the intent is to keep Hermes alongside, Denali EIS SCSp should be the buyer. If the intent is Corsair-only, CEIS is right. Add</w:t>
            </w:r>
            <w:r>
              <w:t xml:space="preserve"> </w:t>
            </w:r>
            <w:r>
              <w:t xml:space="preserve">“</w:t>
            </w:r>
            <w:r>
              <w:t xml:space="preserve">(Cayman)</w:t>
            </w:r>
            <w:r>
              <w:t xml:space="preserve">”</w:t>
            </w:r>
            <w:r>
              <w:t xml:space="preserve"> </w:t>
            </w:r>
            <w:r>
              <w:t xml:space="preserve">on first reference for consistency with the chart.</w:t>
            </w:r>
            <w:r>
              <w:t xml:space="preserve"> </w:t>
            </w:r>
            <w:r>
              <w:t xml:space="preserve">“</w:t>
            </w:r>
            <w:r>
              <w:t xml:space="preserve">L.P.</w:t>
            </w:r>
            <w:r>
              <w:t xml:space="preserve">”</w:t>
            </w:r>
            <w:r>
              <w:t xml:space="preserve"> </w:t>
            </w:r>
            <w:r>
              <w:t xml:space="preserve">vs</w:t>
            </w:r>
            <w:r>
              <w:t xml:space="preserve"> </w:t>
            </w:r>
            <w:r>
              <w:t xml:space="preserve">“</w:t>
            </w:r>
            <w:r>
              <w:t xml:space="preserve">LP</w:t>
            </w:r>
            <w:r>
              <w:t xml:space="preserve">”</w:t>
            </w:r>
            <w:r>
              <w:t xml:space="preserve">: confirm from the Cayman register; the chart uses</w:t>
            </w:r>
            <w:r>
              <w:t xml:space="preserve"> </w:t>
            </w:r>
            <w:r>
              <w:t xml:space="preserve">“</w:t>
            </w:r>
            <w:r>
              <w:t xml:space="preserve">LP</w:t>
            </w:r>
            <w:r>
              <w:t xml:space="preserve">”</w:t>
            </w:r>
            <w:r>
              <w:t xml:space="preserve">.</w:t>
            </w:r>
          </w:p>
        </w:tc>
      </w:tr>
      <w:tr>
        <w:tc>
          <w:tcPr/>
          <w:p>
            <w:pPr>
              <w:pStyle w:val="Compact"/>
              <w:jc w:val="left"/>
            </w:pPr>
            <w:r>
              <w:t xml:space="preserve">E2</w:t>
            </w:r>
          </w:p>
        </w:tc>
        <w:tc>
          <w:tcPr/>
          <w:p>
            <w:pPr>
              <w:pStyle w:val="Compact"/>
              <w:jc w:val="left"/>
            </w:pPr>
            <w:r>
              <w:t xml:space="preserve">Efinity Insurance Group Spółka Ackyjna (</w:t>
            </w:r>
            <w:r>
              <w:t xml:space="preserve">“</w:t>
            </w:r>
            <w:r>
              <w:t xml:space="preserve">Effinity</w:t>
            </w:r>
            <w:r>
              <w:t xml:space="preserve">”</w:t>
            </w:r>
            <w:r>
              <w:t xml:space="preserve"> </w:t>
            </w:r>
            <w:r>
              <w:t xml:space="preserve">or the</w:t>
            </w:r>
            <w:r>
              <w:t xml:space="preserve"> </w:t>
            </w:r>
            <w:r>
              <w:t xml:space="preserve">“</w:t>
            </w:r>
            <w:r>
              <w:t xml:space="preserve">Seller</w:t>
            </w:r>
            <w:r>
              <w:t xml:space="preserve">”</w:t>
            </w:r>
            <w:r>
              <w:t xml:space="preserve">)</w:t>
            </w:r>
          </w:p>
        </w:tc>
        <w:tc>
          <w:tcPr/>
          <w:p>
            <w:pPr>
              <w:pStyle w:val="Compact"/>
              <w:jc w:val="left"/>
            </w:pPr>
            <w:r>
              <w:t xml:space="preserve">Not on the chart (the chart does not show Denali Pooling’s shareholders)</w:t>
            </w:r>
          </w:p>
        </w:tc>
        <w:tc>
          <w:tcPr/>
          <w:p>
            <w:pPr>
              <w:pStyle w:val="Compact"/>
              <w:jc w:val="left"/>
            </w:pPr>
            <w:r>
              <w:t xml:space="preserve">Cannot be verified from the chart.</w:t>
            </w:r>
            <w:r>
              <w:t xml:space="preserve"> </w:t>
            </w:r>
            <w:r>
              <w:t xml:space="preserve">“</w:t>
            </w:r>
            <w:r>
              <w:t xml:space="preserve">Ackyjna</w:t>
            </w:r>
            <w:r>
              <w:t xml:space="preserve">”</w:t>
            </w:r>
            <w:r>
              <w:t xml:space="preserve"> </w:t>
            </w:r>
            <w:r>
              <w:t xml:space="preserve">is a misspelling of</w:t>
            </w:r>
            <w:r>
              <w:t xml:space="preserve"> </w:t>
            </w:r>
            <w:r>
              <w:t xml:space="preserve">“</w:t>
            </w:r>
            <w:r>
              <w:t xml:space="preserve">Akcyjna</w:t>
            </w:r>
            <w:r>
              <w:t xml:space="preserve">”</w:t>
            </w:r>
            <w:r>
              <w:t xml:space="preserve">. The entity name is spelt</w:t>
            </w:r>
            <w:r>
              <w:t xml:space="preserve"> </w:t>
            </w:r>
            <w:r>
              <w:t xml:space="preserve">“</w:t>
            </w:r>
            <w:r>
              <w:t xml:space="preserve">Efinity</w:t>
            </w:r>
            <w:r>
              <w:t xml:space="preserve">”</w:t>
            </w:r>
            <w:r>
              <w:t xml:space="preserve"> </w:t>
            </w:r>
            <w:r>
              <w:t xml:space="preserve">in the legal name and</w:t>
            </w:r>
            <w:r>
              <w:t xml:space="preserve"> </w:t>
            </w:r>
            <w:r>
              <w:t xml:space="preserve">“</w:t>
            </w:r>
            <w:r>
              <w:t xml:space="preserve">Effinity</w:t>
            </w:r>
            <w:r>
              <w:t xml:space="preserve">”</w:t>
            </w:r>
            <w:r>
              <w:t xml:space="preserve"> </w:t>
            </w:r>
            <w:r>
              <w:t xml:space="preserve">in the defined term and throughout; one is wrong. Confirm the registered name from the Polish KRS extract and align the opening paragraph, defined term and signature block. Recommend updating the structure chart to show Denali Pooling’s shareholders.</w:t>
            </w:r>
          </w:p>
        </w:tc>
      </w:tr>
      <w:tr>
        <w:tc>
          <w:tcPr/>
          <w:p>
            <w:pPr>
              <w:pStyle w:val="Compact"/>
              <w:jc w:val="left"/>
            </w:pPr>
            <w:r>
              <w:t xml:space="preserve">E3</w:t>
            </w:r>
          </w:p>
        </w:tc>
        <w:tc>
          <w:tcPr/>
          <w:p>
            <w:pPr>
              <w:pStyle w:val="Compact"/>
              <w:jc w:val="left"/>
            </w:pPr>
            <w:r>
              <w:t xml:space="preserve">Denali Pooling I SCA (</w:t>
            </w:r>
            <w:r>
              <w:t xml:space="preserve">“</w:t>
            </w:r>
            <w:r>
              <w:t xml:space="preserve">Denali Pooling</w:t>
            </w:r>
            <w:r>
              <w:t xml:space="preserve">”</w:t>
            </w:r>
            <w:r>
              <w:t xml:space="preserve">)</w:t>
            </w:r>
          </w:p>
        </w:tc>
        <w:tc>
          <w:tcPr/>
          <w:p>
            <w:pPr>
              <w:pStyle w:val="Compact"/>
              <w:jc w:val="left"/>
            </w:pPr>
            <w:r>
              <w:t xml:space="preserve">Denali Pooling I SCA (Luxembourg), 27.5% shareholder of Denali Holdings I SARL</w:t>
            </w:r>
          </w:p>
        </w:tc>
        <w:tc>
          <w:tcPr/>
          <w:p>
            <w:pPr>
              <w:pStyle w:val="Compact"/>
              <w:jc w:val="left"/>
            </w:pPr>
            <w:r>
              <w:t xml:space="preserve">Matches. Add</w:t>
            </w:r>
            <w:r>
              <w:t xml:space="preserve"> </w:t>
            </w:r>
            <w:r>
              <w:t xml:space="preserve">“</w:t>
            </w:r>
            <w:r>
              <w:t xml:space="preserve">(Luxembourg)</w:t>
            </w:r>
            <w:r>
              <w:t xml:space="preserve">”</w:t>
            </w:r>
            <w:r>
              <w:t xml:space="preserve"> </w:t>
            </w:r>
            <w:r>
              <w:t xml:space="preserve">on first reference if jurisdictions are being shown. The chart does not confirm that Effinity’s shares sit here rather than at Denali I; confirm from the Denali Pooling share register.</w:t>
            </w:r>
          </w:p>
        </w:tc>
      </w:tr>
      <w:tr>
        <w:tc>
          <w:tcPr/>
          <w:p>
            <w:pPr>
              <w:pStyle w:val="Compact"/>
              <w:jc w:val="left"/>
            </w:pPr>
            <w:r>
              <w:t xml:space="preserve">E4</w:t>
            </w:r>
          </w:p>
        </w:tc>
        <w:tc>
          <w:tcPr/>
          <w:p>
            <w:pPr>
              <w:pStyle w:val="Compact"/>
              <w:jc w:val="left"/>
            </w:pPr>
            <w:r>
              <w:t xml:space="preserve">Denali Holding I S.a.r.L (</w:t>
            </w:r>
            <w:r>
              <w:t xml:space="preserve">“</w:t>
            </w:r>
            <w:r>
              <w:t xml:space="preserve">Denali I</w:t>
            </w:r>
            <w:r>
              <w:t xml:space="preserve">”</w:t>
            </w:r>
            <w:r>
              <w:t xml:space="preserve">); SHA defined as</w:t>
            </w:r>
            <w:r>
              <w:t xml:space="preserve"> </w:t>
            </w:r>
            <w:r>
              <w:t xml:space="preserve">“</w:t>
            </w:r>
            <w:r>
              <w:t xml:space="preserve">the Denali Holding I Shareholders Agreement dated 28 March 2024</w:t>
            </w:r>
            <w:r>
              <w:t xml:space="preserve">”</w:t>
            </w:r>
          </w:p>
        </w:tc>
        <w:tc>
          <w:tcPr/>
          <w:p>
            <w:pPr>
              <w:pStyle w:val="Compact"/>
              <w:jc w:val="left"/>
            </w:pPr>
            <w:r>
              <w:t xml:space="preserve">Denali Holdings I SARL (Luxembourg)</w:t>
            </w:r>
          </w:p>
        </w:tc>
        <w:tc>
          <w:tcPr/>
          <w:p>
            <w:pPr>
              <w:pStyle w:val="Compact"/>
              <w:jc w:val="left"/>
            </w:pPr>
            <w:r>
              <w:t xml:space="preserve">Mismatch:</w:t>
            </w:r>
            <w:r>
              <w:t xml:space="preserve"> </w:t>
            </w:r>
            <w:r>
              <w:t xml:space="preserve">“</w:t>
            </w:r>
            <w:r>
              <w:t xml:space="preserve">Holding</w:t>
            </w:r>
            <w:r>
              <w:t xml:space="preserve">”</w:t>
            </w:r>
            <w:r>
              <w:t xml:space="preserve"> </w:t>
            </w:r>
            <w:r>
              <w:t xml:space="preserve">vs</w:t>
            </w:r>
            <w:r>
              <w:t xml:space="preserve"> </w:t>
            </w:r>
            <w:r>
              <w:t xml:space="preserve">“</w:t>
            </w:r>
            <w:r>
              <w:t xml:space="preserve">Holdings</w:t>
            </w:r>
            <w:r>
              <w:t xml:space="preserve">”</w:t>
            </w:r>
            <w:r>
              <w:t xml:space="preserve">. Confirm from the Luxembourg RCS and use the registered name in the entity reference and the SHA title. Form should be</w:t>
            </w:r>
            <w:r>
              <w:t xml:space="preserve"> </w:t>
            </w:r>
            <w:r>
              <w:t xml:space="preserve">“</w:t>
            </w:r>
            <w:r>
              <w:t xml:space="preserve">S.à r.l.</w:t>
            </w:r>
            <w:r>
              <w:t xml:space="preserve">”</w:t>
            </w:r>
            <w:r>
              <w:t xml:space="preserve"> </w:t>
            </w:r>
            <w:r>
              <w:t xml:space="preserve">(or</w:t>
            </w:r>
            <w:r>
              <w:t xml:space="preserve"> </w:t>
            </w:r>
            <w:r>
              <w:t xml:space="preserve">“</w:t>
            </w:r>
            <w:r>
              <w:t xml:space="preserve">SARL</w:t>
            </w:r>
            <w:r>
              <w:t xml:space="preserve">”</w:t>
            </w:r>
            <w:r>
              <w:t xml:space="preserve"> </w:t>
            </w:r>
            <w:r>
              <w:t xml:space="preserve">if the chart convention is followed), not</w:t>
            </w:r>
            <w:r>
              <w:t xml:space="preserve"> </w:t>
            </w:r>
            <w:r>
              <w:t xml:space="preserve">“</w:t>
            </w:r>
            <w:r>
              <w:t xml:space="preserve">S.a.r.L</w:t>
            </w:r>
            <w:r>
              <w:t xml:space="preserve">”</w:t>
            </w:r>
            <w:r>
              <w:t xml:space="preserve">.</w:t>
            </w:r>
          </w:p>
        </w:tc>
      </w:tr>
      <w:tr>
        <w:tc>
          <w:tcPr/>
          <w:p>
            <w:pPr>
              <w:pStyle w:val="Compact"/>
              <w:jc w:val="left"/>
            </w:pPr>
            <w:r>
              <w:t xml:space="preserve">E5</w:t>
            </w:r>
          </w:p>
        </w:tc>
        <w:tc>
          <w:tcPr/>
          <w:p>
            <w:pPr>
              <w:pStyle w:val="Compact"/>
              <w:jc w:val="left"/>
            </w:pPr>
            <w:r>
              <w:t xml:space="preserve">MJM Holdings (</w:t>
            </w:r>
            <w:r>
              <w:t xml:space="preserve">“</w:t>
            </w:r>
            <w:r>
              <w:t xml:space="preserve">MJM</w:t>
            </w:r>
            <w:r>
              <w:t xml:space="preserve">”</w:t>
            </w:r>
            <w:r>
              <w:t xml:space="preserve"> </w:t>
            </w:r>
            <w:r>
              <w:t xml:space="preserve">or the</w:t>
            </w:r>
            <w:r>
              <w:t xml:space="preserve"> </w:t>
            </w:r>
            <w:r>
              <w:t xml:space="preserve">“</w:t>
            </w:r>
            <w:r>
              <w:t xml:space="preserve">Company</w:t>
            </w:r>
            <w:r>
              <w:t xml:space="preserve">”</w:t>
            </w:r>
            <w:r>
              <w:t xml:space="preserve">)</w:t>
            </w:r>
          </w:p>
        </w:tc>
        <w:tc>
          <w:tcPr/>
          <w:p>
            <w:pPr>
              <w:pStyle w:val="Compact"/>
              <w:jc w:val="left"/>
            </w:pPr>
            <w:r>
              <w:t xml:space="preserve">MJM Holdings Sp. z o.o. (Poland), held via Denali Holdings II SARL, Denali Holdings III SARL and Qualefortill Investments Sp. z o.o.</w:t>
            </w:r>
          </w:p>
        </w:tc>
        <w:tc>
          <w:tcPr/>
          <w:p>
            <w:pPr>
              <w:pStyle w:val="Compact"/>
              <w:jc w:val="left"/>
            </w:pPr>
            <w:r>
              <w:t xml:space="preserve">Use</w:t>
            </w:r>
            <w:r>
              <w:t xml:space="preserve"> </w:t>
            </w:r>
            <w:r>
              <w:t xml:space="preserve">“</w:t>
            </w:r>
            <w:r>
              <w:t xml:space="preserve">MJM Holdings Sp. z o.o.</w:t>
            </w:r>
            <w:r>
              <w:t xml:space="preserve">”</w:t>
            </w:r>
            <w:r>
              <w:t xml:space="preserve"> </w:t>
            </w:r>
            <w:r>
              <w:t xml:space="preserve">on first reference.</w:t>
            </w:r>
            <w:r>
              <w:t xml:space="preserve"> </w:t>
            </w:r>
            <w:r>
              <w:t xml:space="preserve">“</w:t>
            </w:r>
            <w:r>
              <w:t xml:space="preserve">Indirect holding company</w:t>
            </w:r>
            <w:r>
              <w:t xml:space="preserve">”</w:t>
            </w:r>
            <w:r>
              <w:t xml:space="preserve"> </w:t>
            </w:r>
            <w:r>
              <w:t xml:space="preserve">is correct. Qualefortill and the intermediate holdcos need not be named, but see C6 on net debt.</w:t>
            </w:r>
          </w:p>
        </w:tc>
      </w:tr>
      <w:tr>
        <w:tc>
          <w:tcPr/>
          <w:p>
            <w:pPr>
              <w:pStyle w:val="Compact"/>
              <w:jc w:val="left"/>
            </w:pPr>
            <w:r>
              <w:t xml:space="preserve">E6</w:t>
            </w:r>
          </w:p>
        </w:tc>
        <w:tc>
          <w:tcPr/>
          <w:p>
            <w:pPr>
              <w:pStyle w:val="Compact"/>
              <w:jc w:val="left"/>
            </w:pPr>
            <w:r>
              <w:t xml:space="preserve">Hermes: not mentioned</w:t>
            </w:r>
          </w:p>
        </w:tc>
        <w:tc>
          <w:tcPr/>
          <w:p>
            <w:pPr>
              <w:pStyle w:val="Compact"/>
              <w:jc w:val="left"/>
            </w:pPr>
            <w:r>
              <w:t xml:space="preserve">Federated Hermes GPE Horizon III Holdings LP and Hermes GPE PEC V Non-US LP hold 21.0% of Denali EIS SCSp</w:t>
            </w:r>
          </w:p>
        </w:tc>
        <w:tc>
          <w:tcPr/>
          <w:p>
            <w:pPr>
              <w:pStyle w:val="Compact"/>
              <w:jc w:val="left"/>
            </w:pPr>
            <w:r>
              <w:t xml:space="preserve">Omission is appropriate for a two-party term sheet. Whether Hermes has any consent, pre-emption or tag right over a Denali Pooling transfer depends on the SHA and the Denali EIS LPA; that is covered generically by the SHA consents condition. No change, but confirm with counsel.</w:t>
            </w:r>
          </w:p>
        </w:tc>
      </w:tr>
      <w:tr>
        <w:tc>
          <w:tcPr/>
          <w:p>
            <w:pPr>
              <w:pStyle w:val="Compact"/>
              <w:jc w:val="left"/>
            </w:pPr>
            <w:r>
              <w:t xml:space="preserve">E7</w:t>
            </w:r>
          </w:p>
        </w:tc>
        <w:tc>
          <w:tcPr/>
          <w:p>
            <w:pPr>
              <w:pStyle w:val="Compact"/>
              <w:jc w:val="left"/>
            </w:pPr>
            <w:r>
              <w:t xml:space="preserve">Denali EIS SCSp: not mentioned</w:t>
            </w:r>
          </w:p>
        </w:tc>
        <w:tc>
          <w:tcPr/>
          <w:p>
            <w:pPr>
              <w:pStyle w:val="Compact"/>
              <w:jc w:val="left"/>
            </w:pPr>
            <w:r>
              <w:t xml:space="preserve">47.3% shareholder of Denali Holdings I; CEIS’s existing route into the structure</w:t>
            </w:r>
          </w:p>
        </w:tc>
        <w:tc>
          <w:tcPr/>
          <w:p>
            <w:pPr>
              <w:pStyle w:val="Compact"/>
              <w:jc w:val="left"/>
            </w:pPr>
            <w:r>
              <w:t xml:space="preserve">Not required unless Denali EIS becomes the buyer (see E1).</w:t>
            </w:r>
          </w:p>
        </w:tc>
      </w:tr>
    </w:tbl>
    <w:bookmarkEnd w:id="20"/>
    <w:bookmarkStart w:id="21" w:name="consistency-issues"/>
    <w:p>
      <w:pPr>
        <w:pStyle w:val="Heading2"/>
      </w:pPr>
      <w:r>
        <w:t xml:space="preserve">2. Consistency issues</w:t>
      </w:r>
    </w:p>
    <w:p>
      <w:pPr>
        <w:pStyle w:val="FirstParagraph"/>
      </w:pPr>
      <w:r>
        <w:t xml:space="preserve">Priority:</w:t>
      </w:r>
      <w:r>
        <w:t xml:space="preserve"> </w:t>
      </w:r>
      <w:r>
        <w:rPr>
          <w:bCs/>
          <w:b/>
        </w:rPr>
        <w:t xml:space="preserve">M</w:t>
      </w:r>
      <w:r>
        <w:t xml:space="preserve"> </w:t>
      </w:r>
      <w:r>
        <w:t xml:space="preserve">= must fix,</w:t>
      </w:r>
      <w:r>
        <w:t xml:space="preserve"> </w:t>
      </w:r>
      <w:r>
        <w:rPr>
          <w:bCs/>
          <w:b/>
        </w:rPr>
        <w:t xml:space="preserve">S</w:t>
      </w:r>
      <w:r>
        <w:t xml:space="preserve"> </w:t>
      </w:r>
      <w:r>
        <w:t xml:space="preserve">= should fix,</w:t>
      </w:r>
      <w:r>
        <w:t xml:space="preserve"> </w:t>
      </w:r>
      <w:r>
        <w:rPr>
          <w:bCs/>
          <w:b/>
        </w:rPr>
        <w:t xml:space="preserve">O</w:t>
      </w:r>
      <w:r>
        <w:t xml:space="preserve"> </w:t>
      </w:r>
      <w:r>
        <w:t xml:space="preserve">= optional.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Pri</w:t>
            </w:r>
          </w:p>
        </w:tc>
        <w:tc>
          <w:tcPr/>
          <w:p>
            <w:pPr>
              <w:pStyle w:val="Compact"/>
              <w:jc w:val="left"/>
            </w:pPr>
            <w:r>
              <w:t xml:space="preserve">Section</w:t>
            </w:r>
          </w:p>
        </w:tc>
        <w:tc>
          <w:tcPr/>
          <w:p>
            <w:pPr>
              <w:pStyle w:val="Compact"/>
              <w:jc w:val="left"/>
            </w:pPr>
            <w:r>
              <w:t xml:space="preserve">As drafted</w:t>
            </w:r>
          </w:p>
        </w:tc>
        <w:tc>
          <w:tcPr/>
          <w:p>
            <w:pPr>
              <w:pStyle w:val="Compact"/>
              <w:jc w:val="left"/>
            </w:pPr>
            <w:r>
              <w:t xml:space="preserve">Proposed</w:t>
            </w:r>
          </w:p>
        </w:tc>
        <w:tc>
          <w:tcPr/>
          <w:p>
            <w:pPr>
              <w:pStyle w:val="Compact"/>
              <w:jc w:val="left"/>
            </w:pPr>
            <w:r>
              <w:t xml:space="preserve">Comment</w:t>
            </w:r>
          </w:p>
        </w:tc>
      </w:tr>
      <w:tr>
        <w:tc>
          <w:tcPr/>
          <w:p>
            <w:pPr>
              <w:pStyle w:val="Compact"/>
              <w:jc w:val="left"/>
            </w:pPr>
            <w:r>
              <w:t xml:space="preserve">C1</w:t>
            </w:r>
          </w:p>
        </w:tc>
        <w:tc>
          <w:tcPr/>
          <w:p>
            <w:pPr>
              <w:pStyle w:val="Compact"/>
              <w:jc w:val="left"/>
            </w:pPr>
            <w:r>
              <w:t xml:space="preserve">M</w:t>
            </w:r>
          </w:p>
        </w:tc>
        <w:tc>
          <w:tcPr/>
          <w:p>
            <w:pPr>
              <w:pStyle w:val="Compact"/>
              <w:jc w:val="left"/>
            </w:pPr>
            <w:r>
              <w:t xml:space="preserve">Transaction Overview, bullet 1</w:t>
            </w:r>
          </w:p>
        </w:tc>
        <w:tc>
          <w:tcPr/>
          <w:p>
            <w:pPr>
              <w:pStyle w:val="Compact"/>
              <w:jc w:val="left"/>
            </w:pPr>
            <w:r>
              <w:t xml:space="preserve">“</w:t>
            </w:r>
            <w:r>
              <w:t xml:space="preserve">the Sale Shares (as defined below) in Denali I, the indirect holding company of MJM</w:t>
            </w:r>
            <w:r>
              <w:t xml:space="preserve">”</w:t>
            </w:r>
          </w:p>
        </w:tc>
        <w:tc>
          <w:tcPr/>
          <w:p>
            <w:pPr>
              <w:pStyle w:val="Compact"/>
              <w:jc w:val="left"/>
            </w:pPr>
            <w:r>
              <w:t xml:space="preserve">“</w:t>
            </w:r>
            <w:r>
              <w:t xml:space="preserve">the Sale Shares (as defined below) in Denali Pooling, a shareholder in Denali I, the indirect holding company of MJM</w:t>
            </w:r>
            <w:r>
              <w:t xml:space="preserve">”</w:t>
            </w:r>
          </w:p>
        </w:tc>
        <w:tc>
          <w:tcPr/>
          <w:p>
            <w:pPr>
              <w:pStyle w:val="Compact"/>
              <w:jc w:val="left"/>
            </w:pPr>
            <w:r>
              <w:t xml:space="preserve">Conflicts with the opening paragraph and the Sale Shares section, which place the Sale Shares at Denali Pooling.</w:t>
            </w:r>
          </w:p>
        </w:tc>
      </w:tr>
      <w:tr>
        <w:tc>
          <w:tcPr/>
          <w:p>
            <w:pPr>
              <w:pStyle w:val="Compact"/>
              <w:jc w:val="left"/>
            </w:pPr>
            <w:r>
              <w:t xml:space="preserve">C2</w:t>
            </w:r>
          </w:p>
        </w:tc>
        <w:tc>
          <w:tcPr/>
          <w:p>
            <w:pPr>
              <w:pStyle w:val="Compact"/>
              <w:jc w:val="left"/>
            </w:pPr>
            <w:r>
              <w:t xml:space="preserve">M</w:t>
            </w:r>
          </w:p>
        </w:tc>
        <w:tc>
          <w:tcPr/>
          <w:p>
            <w:pPr>
              <w:pStyle w:val="Compact"/>
              <w:jc w:val="left"/>
            </w:pPr>
            <w:r>
              <w:t xml:space="preserve">Transaction Overview, bullet 2</w:t>
            </w:r>
          </w:p>
        </w:tc>
        <w:tc>
          <w:tcPr/>
          <w:p>
            <w:pPr>
              <w:pStyle w:val="Compact"/>
              <w:jc w:val="left"/>
            </w:pPr>
            <w:r>
              <w:t xml:space="preserve">“</w:t>
            </w:r>
            <w:r>
              <w:t xml:space="preserve">No new shares will be issued by Denali I or the Company and no proceeds will be received by Denali I or the Company</w:t>
            </w:r>
            <w:r>
              <w:t xml:space="preserve">”</w:t>
            </w:r>
          </w:p>
        </w:tc>
        <w:tc>
          <w:tcPr/>
          <w:p>
            <w:pPr>
              <w:pStyle w:val="Compact"/>
              <w:jc w:val="left"/>
            </w:pPr>
            <w:r>
              <w:t xml:space="preserve">“</w:t>
            </w:r>
            <w:r>
              <w:t xml:space="preserve">No new shares will be issued by Denali Pooling, Denali I or the Company and no proceeds will be received by Denali Pooling, Denali I or the Company</w:t>
            </w:r>
            <w:r>
              <w:t xml:space="preserve">”</w:t>
            </w:r>
          </w:p>
        </w:tc>
        <w:tc>
          <w:tcPr/>
          <w:p>
            <w:pPr>
              <w:pStyle w:val="Compact"/>
              <w:jc w:val="left"/>
            </w:pPr>
            <w:r>
              <w:t xml:space="preserve">Denali Pooling is the issuer of the Sale Shares and should be covered.</w:t>
            </w:r>
          </w:p>
        </w:tc>
      </w:tr>
      <w:tr>
        <w:tc>
          <w:tcPr/>
          <w:p>
            <w:pPr>
              <w:pStyle w:val="Compact"/>
              <w:jc w:val="left"/>
            </w:pPr>
            <w:r>
              <w:t xml:space="preserve">C3</w:t>
            </w:r>
          </w:p>
        </w:tc>
        <w:tc>
          <w:tcPr/>
          <w:p>
            <w:pPr>
              <w:pStyle w:val="Compact"/>
              <w:jc w:val="left"/>
            </w:pPr>
            <w:r>
              <w:t xml:space="preserve">M</w:t>
            </w:r>
          </w:p>
        </w:tc>
        <w:tc>
          <w:tcPr/>
          <w:p>
            <w:pPr>
              <w:pStyle w:val="Compact"/>
              <w:jc w:val="left"/>
            </w:pPr>
            <w:r>
              <w:t xml:space="preserve">Conditions to Completion, bullet 2</w:t>
            </w:r>
          </w:p>
        </w:tc>
        <w:tc>
          <w:tcPr/>
          <w:p>
            <w:pPr>
              <w:pStyle w:val="Compact"/>
              <w:jc w:val="left"/>
            </w:pPr>
            <w:r>
              <w:t xml:space="preserve">“</w:t>
            </w:r>
            <w:r>
              <w:t xml:space="preserve">receipt of all consents and waivers required under the SHA and the Denali I constitutional documents</w:t>
            </w:r>
            <w:r>
              <w:t xml:space="preserve">”</w:t>
            </w:r>
          </w:p>
        </w:tc>
        <w:tc>
          <w:tcPr/>
          <w:p>
            <w:pPr>
              <w:pStyle w:val="Compact"/>
              <w:jc w:val="left"/>
            </w:pPr>
            <w:r>
              <w:t xml:space="preserve">“</w:t>
            </w:r>
            <w:r>
              <w:t xml:space="preserve">receipt of all consents and waivers required under the SHA and the Denali Pooling and Denali I constitutional documents</w:t>
            </w:r>
            <w:r>
              <w:t xml:space="preserve">”</w:t>
            </w:r>
          </w:p>
        </w:tc>
        <w:tc>
          <w:tcPr/>
          <w:p>
            <w:pPr>
              <w:pStyle w:val="Compact"/>
              <w:jc w:val="left"/>
            </w:pPr>
            <w:r>
              <w:t xml:space="preserve">The transfer occurs at Denali Pooling. Rights Attaching, Warranties and Documentation all correctly refer to Denali Pooling; this bullet is the outlier. Confirm with counsel whether the Denali I SHA governs transfers of Denali Pooling shares at all, or whether a separate Denali Pooling shareholders’ agreement or the SCA articles govern. If the latter, the SHA definition should be widened or a second agreement defined.</w:t>
            </w:r>
          </w:p>
        </w:tc>
      </w:tr>
      <w:tr>
        <w:tc>
          <w:tcPr/>
          <w:p>
            <w:pPr>
              <w:pStyle w:val="Compact"/>
              <w:jc w:val="left"/>
            </w:pPr>
            <w:r>
              <w:t xml:space="preserve">C4</w:t>
            </w:r>
          </w:p>
        </w:tc>
        <w:tc>
          <w:tcPr/>
          <w:p>
            <w:pPr>
              <w:pStyle w:val="Compact"/>
              <w:jc w:val="left"/>
            </w:pPr>
            <w:r>
              <w:t xml:space="preserve">M</w:t>
            </w:r>
          </w:p>
        </w:tc>
        <w:tc>
          <w:tcPr/>
          <w:p>
            <w:pPr>
              <w:pStyle w:val="Compact"/>
              <w:jc w:val="left"/>
            </w:pPr>
            <w:r>
              <w:t xml:space="preserve">Valuation and Purchase Price, bullet 2</w:t>
            </w:r>
          </w:p>
        </w:tc>
        <w:tc>
          <w:tcPr/>
          <w:p>
            <w:pPr>
              <w:pStyle w:val="Compact"/>
              <w:jc w:val="left"/>
            </w:pPr>
            <w:r>
              <w:t xml:space="preserve">“</w:t>
            </w:r>
            <w:r>
              <w:t xml:space="preserve">“FY26A Adjusted EBITDA</w:t>
            </w:r>
            <w:r>
              <w:t xml:space="preserve">”</w:t>
            </w:r>
            <w:r>
              <w:t xml:space="preserve"> </w:t>
            </w:r>
            <w:r>
              <w:t xml:space="preserve">means the Adjusted EBITDA of the Company for the financial year ending 31 December 2026 (</w:t>
            </w:r>
            <w:r>
              <w:t xml:space="preserve">“</w:t>
            </w:r>
            <w:r>
              <w:t xml:space="preserve">Reference Date</w:t>
            </w:r>
            <w:r>
              <w:t xml:space="preserve">”</w:t>
            </w:r>
            <w:r>
              <w:t xml:space="preserve">) as shown in the Company’s FY26 management accounts”</w:t>
            </w:r>
          </w:p>
        </w:tc>
        <w:tc>
          <w:tcPr/>
          <w:p>
            <w:pPr>
              <w:pStyle w:val="Compact"/>
              <w:jc w:val="left"/>
            </w:pPr>
            <w:r>
              <w:t xml:space="preserve">“</w:t>
            </w:r>
            <w:r>
              <w:t xml:space="preserve">“FY26A Adjusted EBITDA</w:t>
            </w:r>
            <w:r>
              <w:t xml:space="preserve">”</w:t>
            </w:r>
            <w:r>
              <w:t xml:space="preserve"> </w:t>
            </w:r>
            <w:r>
              <w:t xml:space="preserve">means the Adjusted EBITDA of the Company for the financial year ending on 31 December 2026 (the</w:t>
            </w:r>
            <w:r>
              <w:t xml:space="preserve"> </w:t>
            </w:r>
            <w:r>
              <w:t xml:space="preserve">“</w:t>
            </w:r>
            <w:r>
              <w:t xml:space="preserve">Reference Date</w:t>
            </w:r>
            <w:r>
              <w:t xml:space="preserve">”</w:t>
            </w:r>
            <w:r>
              <w:t xml:space="preserve">), as shown in the Company’s FY26A financial statements”</w:t>
            </w:r>
          </w:p>
        </w:tc>
        <w:tc>
          <w:tcPr/>
          <w:p>
            <w:pPr>
              <w:pStyle w:val="Compact"/>
              <w:jc w:val="left"/>
            </w:pPr>
            <w:r>
              <w:t xml:space="preserve">Two points. (i)</w:t>
            </w:r>
            <w:r>
              <w:t xml:space="preserve"> </w:t>
            </w:r>
            <w:r>
              <w:t xml:space="preserve">“</w:t>
            </w:r>
            <w:r>
              <w:t xml:space="preserve">Reference Date</w:t>
            </w:r>
            <w:r>
              <w:t xml:space="preserve">”</w:t>
            </w:r>
            <w:r>
              <w:t xml:space="preserve"> </w:t>
            </w:r>
            <w:r>
              <w:t xml:space="preserve">is attached to a period, not a date, yet is used as a date in bullet 3 (</w:t>
            </w:r>
            <w:r>
              <w:t xml:space="preserve">“</w:t>
            </w:r>
            <w:r>
              <w:t xml:space="preserve">as at the Reference Date</w:t>
            </w:r>
            <w:r>
              <w:t xml:space="preserve">”</w:t>
            </w:r>
            <w:r>
              <w:t xml:space="preserve">) and in Rights Attaching (</w:t>
            </w:r>
            <w:r>
              <w:t xml:space="preserve">“</w:t>
            </w:r>
            <w:r>
              <w:t xml:space="preserve">after the Reference Date</w:t>
            </w:r>
            <w:r>
              <w:t xml:space="preserve">”</w:t>
            </w:r>
            <w:r>
              <w:t xml:space="preserve">). (ii) The definition points to</w:t>
            </w:r>
            <w:r>
              <w:t xml:space="preserve"> </w:t>
            </w:r>
            <w:r>
              <w:t xml:space="preserve">“</w:t>
            </w:r>
            <w:r>
              <w:t xml:space="preserve">management accounts</w:t>
            </w:r>
            <w:r>
              <w:t xml:space="preserve">”</w:t>
            </w:r>
            <w:r>
              <w:t xml:space="preserve"> </w:t>
            </w:r>
            <w:r>
              <w:t xml:space="preserve">while bullets 4 and 5, Conditions and Timing all point to</w:t>
            </w:r>
            <w:r>
              <w:t xml:space="preserve"> </w:t>
            </w:r>
            <w:r>
              <w:t xml:space="preserve">“</w:t>
            </w:r>
            <w:r>
              <w:t xml:space="preserve">FY26A financial statements</w:t>
            </w:r>
            <w:r>
              <w:t xml:space="preserve">”</w:t>
            </w:r>
            <w:r>
              <w:t xml:space="preserve">. Pick one source document. If management accounts are intended because audited accounts will not be ready by February, change the other four references instead.</w:t>
            </w:r>
          </w:p>
        </w:tc>
      </w:tr>
      <w:tr>
        <w:tc>
          <w:tcPr/>
          <w:p>
            <w:pPr>
              <w:pStyle w:val="Compact"/>
              <w:jc w:val="left"/>
            </w:pPr>
            <w:r>
              <w:t xml:space="preserve">C5</w:t>
            </w:r>
          </w:p>
        </w:tc>
        <w:tc>
          <w:tcPr/>
          <w:p>
            <w:pPr>
              <w:pStyle w:val="Compact"/>
              <w:jc w:val="left"/>
            </w:pPr>
            <w:r>
              <w:t xml:space="preserve">M</w:t>
            </w:r>
          </w:p>
        </w:tc>
        <w:tc>
          <w:tcPr/>
          <w:p>
            <w:pPr>
              <w:pStyle w:val="Compact"/>
              <w:jc w:val="left"/>
            </w:pPr>
            <w:r>
              <w:t xml:space="preserve">Opening paragraph, signature page</w:t>
            </w:r>
          </w:p>
        </w:tc>
        <w:tc>
          <w:tcPr/>
          <w:p>
            <w:pPr>
              <w:pStyle w:val="Compact"/>
              <w:jc w:val="left"/>
            </w:pPr>
            <w:r>
              <w:t xml:space="preserve">“</w:t>
            </w:r>
            <w:r>
              <w:t xml:space="preserve">Efinity Insurance Group Spółka Ackyjna</w:t>
            </w:r>
            <w:r>
              <w:t xml:space="preserve">”</w:t>
            </w:r>
            <w:r>
              <w:t xml:space="preserve"> </w:t>
            </w:r>
            <w:r>
              <w:t xml:space="preserve">/</w:t>
            </w:r>
            <w:r>
              <w:t xml:space="preserve"> </w:t>
            </w:r>
            <w:r>
              <w:t xml:space="preserve">“</w:t>
            </w:r>
            <w:r>
              <w:t xml:space="preserve">EFINITY INSURANCE GROUP SPÓŁKA ACKYJNA</w:t>
            </w:r>
            <w:r>
              <w:t xml:space="preserve">”</w:t>
            </w:r>
            <w:r>
              <w:t xml:space="preserve"> </w:t>
            </w:r>
            <w:r>
              <w:t xml:space="preserve">vs defined term</w:t>
            </w:r>
            <w:r>
              <w:t xml:space="preserve"> </w:t>
            </w:r>
            <w:r>
              <w:t xml:space="preserve">“</w:t>
            </w:r>
            <w:r>
              <w:t xml:space="preserve">Effinity</w:t>
            </w:r>
            <w:r>
              <w:t xml:space="preserve">”</w:t>
            </w:r>
          </w:p>
        </w:tc>
        <w:tc>
          <w:tcPr/>
          <w:p>
            <w:pPr>
              <w:pStyle w:val="Compact"/>
              <w:jc w:val="left"/>
            </w:pPr>
            <w:r>
              <w:t xml:space="preserve">Registered name from the KRS, e.g. </w:t>
            </w:r>
            <w:r>
              <w:t xml:space="preserve">“</w:t>
            </w:r>
            <w:r>
              <w:t xml:space="preserve">Effinity Insurance Group Spółka Akcyjna</w:t>
            </w:r>
            <w:r>
              <w:t xml:space="preserve">”</w:t>
            </w:r>
            <w:r>
              <w:t xml:space="preserve"> </w:t>
            </w:r>
            <w:r>
              <w:t xml:space="preserve">/</w:t>
            </w:r>
            <w:r>
              <w:t xml:space="preserve"> </w:t>
            </w:r>
            <w:r>
              <w:t xml:space="preserve">“</w:t>
            </w:r>
            <w:r>
              <w:t xml:space="preserve">EFFINITY INSURANCE GROUP SPÓŁKA AKCYJNA</w:t>
            </w:r>
            <w:r>
              <w:t xml:space="preserve">”</w:t>
            </w:r>
          </w:p>
        </w:tc>
        <w:tc>
          <w:tcPr/>
          <w:p>
            <w:pPr>
              <w:pStyle w:val="Compact"/>
              <w:jc w:val="left"/>
            </w:pPr>
            <w:r>
              <w:t xml:space="preserve">See E2. The legal name and the defined term currently differ in spelling.</w:t>
            </w:r>
          </w:p>
        </w:tc>
      </w:tr>
      <w:tr>
        <w:tc>
          <w:tcPr/>
          <w:p>
            <w:pPr>
              <w:pStyle w:val="Compact"/>
              <w:jc w:val="left"/>
            </w:pPr>
            <w:r>
              <w:t xml:space="preserve">C6</w:t>
            </w:r>
          </w:p>
        </w:tc>
        <w:tc>
          <w:tcPr/>
          <w:p>
            <w:pPr>
              <w:pStyle w:val="Compact"/>
              <w:jc w:val="left"/>
            </w:pPr>
            <w:r>
              <w:t xml:space="preserve">S</w:t>
            </w:r>
          </w:p>
        </w:tc>
        <w:tc>
          <w:tcPr/>
          <w:p>
            <w:pPr>
              <w:pStyle w:val="Compact"/>
              <w:jc w:val="left"/>
            </w:pPr>
            <w:r>
              <w:t xml:space="preserve">Valuation and Purchase Price, bullet 3</w:t>
            </w:r>
          </w:p>
        </w:tc>
        <w:tc>
          <w:tcPr/>
          <w:p>
            <w:pPr>
              <w:pStyle w:val="Compact"/>
              <w:jc w:val="left"/>
            </w:pPr>
            <w:r>
              <w:t xml:space="preserve">“</w:t>
            </w:r>
            <w:r>
              <w:t xml:space="preserve">after deduction of net debt and accrued and unpaid preference share coupons as at the Reference Date</w:t>
            </w:r>
            <w:r>
              <w:t xml:space="preserve">”</w:t>
            </w:r>
          </w:p>
        </w:tc>
        <w:tc>
          <w:tcPr/>
          <w:p>
            <w:pPr>
              <w:pStyle w:val="Compact"/>
              <w:jc w:val="left"/>
            </w:pPr>
            <w:r>
              <w:t xml:space="preserve">“</w:t>
            </w:r>
            <w:r>
              <w:t xml:space="preserve">after deduction of the net debt of the Denali I group (including debt at Denali Holdings III and Qualefortill Investments) as at the Reference Date</w:t>
            </w:r>
            <w:r>
              <w:t xml:space="preserve">”</w:t>
            </w:r>
          </w:p>
        </w:tc>
        <w:tc>
          <w:tcPr/>
          <w:p>
            <w:pPr>
              <w:pStyle w:val="Compact"/>
              <w:jc w:val="left"/>
            </w:pPr>
            <w:r>
              <w:t xml:space="preserve">Two points. (i)</w:t>
            </w:r>
            <w:r>
              <w:t xml:space="preserve"> </w:t>
            </w:r>
            <w:r>
              <w:t xml:space="preserve">“</w:t>
            </w:r>
            <w:r>
              <w:t xml:space="preserve">Net debt</w:t>
            </w:r>
            <w:r>
              <w:t xml:space="preserve">”</w:t>
            </w:r>
            <w:r>
              <w:t xml:space="preserve"> </w:t>
            </w:r>
            <w:r>
              <w:t xml:space="preserve">is undefined and the debt and hedge sit at Denali Holdings III and Qualefortill, below Denali I; make clear the deduction is on a consolidated basis. (ii) Deducting accrued preference coupons from equity value and then running the Sale Shares through the SHA waterfall (which pays accrued coupon first) risks a double deduction. Rights Attaching also gives CEIS</w:t>
            </w:r>
            <w:r>
              <w:t xml:space="preserve"> </w:t>
            </w:r>
            <w:r>
              <w:t xml:space="preserve">“</w:t>
            </w:r>
            <w:r>
              <w:t xml:space="preserve">the right to all accrued and unpaid preference coupon</w:t>
            </w:r>
            <w:r>
              <w:t xml:space="preserve">”</w:t>
            </w:r>
            <w:r>
              <w:t xml:space="preserve">. Confirm the intended mechanic with the model and align the three references. This is a consistency point, not a new term.</w:t>
            </w:r>
          </w:p>
        </w:tc>
      </w:tr>
      <w:tr>
        <w:tc>
          <w:tcPr/>
          <w:p>
            <w:pPr>
              <w:pStyle w:val="Compact"/>
              <w:jc w:val="left"/>
            </w:pPr>
            <w:r>
              <w:t xml:space="preserve">C7</w:t>
            </w:r>
          </w:p>
        </w:tc>
        <w:tc>
          <w:tcPr/>
          <w:p>
            <w:pPr>
              <w:pStyle w:val="Compact"/>
              <w:jc w:val="left"/>
            </w:pPr>
            <w:r>
              <w:t xml:space="preserve">S</w:t>
            </w:r>
          </w:p>
        </w:tc>
        <w:tc>
          <w:tcPr/>
          <w:p>
            <w:pPr>
              <w:pStyle w:val="Compact"/>
              <w:jc w:val="left"/>
            </w:pPr>
            <w:r>
              <w:t xml:space="preserve">Sale Shares, percentage bullets</w:t>
            </w:r>
          </w:p>
        </w:tc>
        <w:tc>
          <w:tcPr/>
          <w:p>
            <w:pPr>
              <w:pStyle w:val="Compact"/>
              <w:jc w:val="left"/>
            </w:pPr>
            <w:r>
              <w:t xml:space="preserve">“</w:t>
            </w:r>
            <w:r>
              <w:t xml:space="preserve">approximately 23.9% of the total Preference Shares and approximately 25.2% of the Ordinary Shares in issue in Denali Pooling</w:t>
            </w:r>
            <w:r>
              <w:t xml:space="preserve">”</w:t>
            </w:r>
            <w:r>
              <w:t xml:space="preserve"> </w:t>
            </w:r>
            <w:r>
              <w:t xml:space="preserve">/</w:t>
            </w:r>
            <w:r>
              <w:t xml:space="preserve"> </w:t>
            </w:r>
            <w:r>
              <w:t xml:space="preserve">“</w:t>
            </w:r>
            <w:r>
              <w:t xml:space="preserve">approximately 6.6% of the total Preference Shares and approximately 6.3% of the Strip Ordinary Shares in issue in Denali I</w:t>
            </w:r>
            <w:r>
              <w:t xml:space="preserve">”</w:t>
            </w:r>
          </w:p>
        </w:tc>
        <w:tc>
          <w:tcPr/>
          <w:p>
            <w:pPr>
              <w:pStyle w:val="Compact"/>
              <w:jc w:val="left"/>
            </w:pPr>
            <w:r>
              <w:t xml:space="preserve">Confirm figures; align the class name</w:t>
            </w:r>
          </w:p>
        </w:tc>
        <w:tc>
          <w:tcPr/>
          <w:p>
            <w:pPr>
              <w:pStyle w:val="Compact"/>
              <w:jc w:val="left"/>
            </w:pPr>
            <w:r>
              <w:t xml:space="preserve">Arithmetic against the chart: Denali Pooling holds 27.5% of Denali I. 23.9% × 27.5% = 6.6%, which agrees. 25.2% × 27.5% = 6.9%, not 6.3%. For 6.3% to be right, Denali Pooling would need to hold about 25.0% of Denali I’s Strip Ordinary Shares against about 27.6% of its Preference Shares. That is plausible if the chart’s single 27.5% is a blended or preference-only figure, but it should be checked against the Denali I register. Also use one class name: the share list and the look-through line say</w:t>
            </w:r>
            <w:r>
              <w:t xml:space="preserve"> </w:t>
            </w:r>
            <w:r>
              <w:t xml:space="preserve">“</w:t>
            </w:r>
            <w:r>
              <w:t xml:space="preserve">Strip Ordinary</w:t>
            </w:r>
            <w:r>
              <w:t xml:space="preserve">”</w:t>
            </w:r>
            <w:r>
              <w:t xml:space="preserve">, the Denali Pooling percentage line says</w:t>
            </w:r>
            <w:r>
              <w:t xml:space="preserve"> </w:t>
            </w:r>
            <w:r>
              <w:t xml:space="preserve">“</w:t>
            </w:r>
            <w:r>
              <w:t xml:space="preserve">Ordinary</w:t>
            </w:r>
            <w:r>
              <w:t xml:space="preserve">”</w:t>
            </w:r>
            <w:r>
              <w:t xml:space="preserve">.</w:t>
            </w:r>
          </w:p>
        </w:tc>
      </w:tr>
      <w:tr>
        <w:tc>
          <w:tcPr/>
          <w:p>
            <w:pPr>
              <w:pStyle w:val="Compact"/>
              <w:jc w:val="left"/>
            </w:pPr>
            <w:r>
              <w:t xml:space="preserve">C8</w:t>
            </w:r>
          </w:p>
        </w:tc>
        <w:tc>
          <w:tcPr/>
          <w:p>
            <w:pPr>
              <w:pStyle w:val="Compact"/>
              <w:jc w:val="left"/>
            </w:pPr>
            <w:r>
              <w:t xml:space="preserve">S</w:t>
            </w:r>
          </w:p>
        </w:tc>
        <w:tc>
          <w:tcPr/>
          <w:p>
            <w:pPr>
              <w:pStyle w:val="Compact"/>
              <w:jc w:val="left"/>
            </w:pPr>
            <w:r>
              <w:t xml:space="preserve">Timing, last bullet vs Conditions to Completion</w:t>
            </w:r>
          </w:p>
        </w:tc>
        <w:tc>
          <w:tcPr/>
          <w:p>
            <w:pPr>
              <w:pStyle w:val="Compact"/>
              <w:jc w:val="left"/>
            </w:pPr>
            <w:r>
              <w:t xml:space="preserve">Timing:</w:t>
            </w:r>
            <w:r>
              <w:t xml:space="preserve"> </w:t>
            </w:r>
            <w:r>
              <w:t xml:space="preserve">“</w:t>
            </w:r>
            <w:r>
              <w:t xml:space="preserve">including receipt of SHA consents and waivers and completion of any regulatory notifications</w:t>
            </w:r>
            <w:r>
              <w:t xml:space="preserve">”</w:t>
            </w:r>
          </w:p>
        </w:tc>
        <w:tc>
          <w:tcPr/>
          <w:p>
            <w:pPr>
              <w:pStyle w:val="Compact"/>
              <w:jc w:val="left"/>
            </w:pPr>
            <w:r>
              <w:t xml:space="preserve">Delete</w:t>
            </w:r>
            <w:r>
              <w:t xml:space="preserve"> </w:t>
            </w:r>
            <w:r>
              <w:t xml:space="preserve">“</w:t>
            </w:r>
            <w:r>
              <w:t xml:space="preserve">and completion of any regulatory notifications</w:t>
            </w:r>
            <w:r>
              <w:t xml:space="preserve">”</w:t>
            </w:r>
          </w:p>
        </w:tc>
        <w:tc>
          <w:tcPr/>
          <w:p>
            <w:pPr>
              <w:pStyle w:val="Compact"/>
              <w:jc w:val="left"/>
            </w:pPr>
            <w:r>
              <w:t xml:space="preserve">Conditions to Completion has no regulatory condition and Documentation has no regulatory step. For an illustrative draft the simpler fix is to delete the Timing reference. If a KNF or other notification is in fact expected for a change in indirect ownership of a Polish broker, add it as a Conditions bullet instead and keep the Timing reference.</w:t>
            </w:r>
          </w:p>
        </w:tc>
      </w:tr>
      <w:tr>
        <w:tc>
          <w:tcPr/>
          <w:p>
            <w:pPr>
              <w:pStyle w:val="Compact"/>
              <w:jc w:val="left"/>
            </w:pPr>
            <w:r>
              <w:t xml:space="preserve">C9</w:t>
            </w:r>
          </w:p>
        </w:tc>
        <w:tc>
          <w:tcPr/>
          <w:p>
            <w:pPr>
              <w:pStyle w:val="Compact"/>
              <w:jc w:val="left"/>
            </w:pPr>
            <w:r>
              <w:t xml:space="preserve">S</w:t>
            </w:r>
          </w:p>
        </w:tc>
        <w:tc>
          <w:tcPr/>
          <w:p>
            <w:pPr>
              <w:pStyle w:val="Compact"/>
              <w:jc w:val="left"/>
            </w:pPr>
            <w:r>
              <w:t xml:space="preserve">Signature page</w:t>
            </w:r>
          </w:p>
        </w:tc>
        <w:tc>
          <w:tcPr/>
          <w:p>
            <w:pPr>
              <w:pStyle w:val="Compact"/>
              <w:jc w:val="left"/>
            </w:pPr>
            <w:r>
              <w:t xml:space="preserve">Corsair block uses a</w:t>
            </w:r>
            <w:r>
              <w:t xml:space="preserve"> </w:t>
            </w:r>
            <w:r>
              <w:t xml:space="preserve">“</w:t>
            </w:r>
            <w:r>
              <w:t xml:space="preserve">By: / Name:</w:t>
            </w:r>
            <w:r>
              <w:t xml:space="preserve">”</w:t>
            </w:r>
            <w:r>
              <w:t xml:space="preserve"> </w:t>
            </w:r>
            <w:r>
              <w:t xml:space="preserve">boxed table; Effinity block uses a dotted signature line and</w:t>
            </w:r>
            <w:r>
              <w:t xml:space="preserve"> </w:t>
            </w:r>
            <w:r>
              <w:t xml:space="preserve">“</w:t>
            </w:r>
            <w:r>
              <w:t xml:space="preserve">Name:</w:t>
            </w:r>
            <w:r>
              <w:t xml:space="preserve">”</w:t>
            </w:r>
          </w:p>
        </w:tc>
        <w:tc>
          <w:tcPr/>
          <w:p>
            <w:pPr>
              <w:pStyle w:val="Compact"/>
              <w:jc w:val="left"/>
            </w:pPr>
            <w:r>
              <w:t xml:space="preserve">Use the same format for both</w:t>
            </w:r>
          </w:p>
        </w:tc>
        <w:tc>
          <w:tcPr/>
          <w:p>
            <w:pPr>
              <w:pStyle w:val="Compact"/>
              <w:jc w:val="left"/>
            </w:pPr>
            <w:r>
              <w:t xml:space="preserve">Formatting inconsistency carried over from the original, where the second format was used for Hermes.</w:t>
            </w:r>
          </w:p>
        </w:tc>
      </w:tr>
      <w:tr>
        <w:tc>
          <w:tcPr/>
          <w:p>
            <w:pPr>
              <w:pStyle w:val="Compact"/>
              <w:jc w:val="left"/>
            </w:pPr>
            <w:r>
              <w:t xml:space="preserve">C10</w:t>
            </w:r>
          </w:p>
        </w:tc>
        <w:tc>
          <w:tcPr/>
          <w:p>
            <w:pPr>
              <w:pStyle w:val="Compact"/>
              <w:jc w:val="left"/>
            </w:pPr>
            <w:r>
              <w:t xml:space="preserve">S</w:t>
            </w:r>
          </w:p>
        </w:tc>
        <w:tc>
          <w:tcPr/>
          <w:p>
            <w:pPr>
              <w:pStyle w:val="Compact"/>
              <w:jc w:val="left"/>
            </w:pPr>
            <w:r>
              <w:t xml:space="preserve">Sale Shares, bullet 1</w:t>
            </w:r>
          </w:p>
        </w:tc>
        <w:tc>
          <w:tcPr/>
          <w:p>
            <w:pPr>
              <w:pStyle w:val="Compact"/>
              <w:jc w:val="left"/>
            </w:pPr>
            <w:r>
              <w:t xml:space="preserve">“</w:t>
            </w:r>
            <w:r>
              <w:t xml:space="preserve">comprise all of the following shares in Denali Pooling held by Effinity</w:t>
            </w:r>
            <w:r>
              <w:t xml:space="preserve">”</w:t>
            </w:r>
          </w:p>
        </w:tc>
        <w:tc>
          <w:tcPr/>
          <w:p>
            <w:pPr>
              <w:pStyle w:val="Compact"/>
              <w:jc w:val="left"/>
            </w:pPr>
            <w:r>
              <w:t xml:space="preserve">Confirm share classes exist at Denali Pooling</w:t>
            </w:r>
          </w:p>
        </w:tc>
        <w:tc>
          <w:tcPr/>
          <w:p>
            <w:pPr>
              <w:pStyle w:val="Compact"/>
              <w:jc w:val="left"/>
            </w:pPr>
            <w:r>
              <w:t xml:space="preserve">The nine classes (Strip Ordinary, A to H Preference) mirror the Denali I institutional strip. Confirm from the Denali Pooling articles that the SCA has the same class structure; if Denali Pooling issues a single class of shares and only holds the strip at Denali I level, the list is describing the wrong entity’s shares. The share counts themselves are internally consistent: 85,171,083 Preference Shares in total, five classes of 10,646,385 and three of 10,646,386.</w:t>
            </w:r>
          </w:p>
        </w:tc>
      </w:tr>
      <w:tr>
        <w:tc>
          <w:tcPr/>
          <w:p>
            <w:pPr>
              <w:pStyle w:val="Compact"/>
              <w:jc w:val="left"/>
            </w:pPr>
            <w:r>
              <w:t xml:space="preserve">C11</w:t>
            </w:r>
          </w:p>
        </w:tc>
        <w:tc>
          <w:tcPr/>
          <w:p>
            <w:pPr>
              <w:pStyle w:val="Compact"/>
              <w:jc w:val="left"/>
            </w:pPr>
            <w:r>
              <w:t xml:space="preserve">O</w:t>
            </w:r>
          </w:p>
        </w:tc>
        <w:tc>
          <w:tcPr/>
          <w:p>
            <w:pPr>
              <w:pStyle w:val="Compact"/>
              <w:jc w:val="left"/>
            </w:pPr>
            <w:r>
              <w:t xml:space="preserve">Timing vs Exclusivity</w:t>
            </w:r>
          </w:p>
        </w:tc>
        <w:tc>
          <w:tcPr/>
          <w:p>
            <w:pPr>
              <w:pStyle w:val="Compact"/>
              <w:jc w:val="left"/>
            </w:pPr>
            <w:r>
              <w:t xml:space="preserve">SPA within 10 Business Days of FY26A delivery (late Jan / early Feb 2027); completion</w:t>
            </w:r>
            <w:r>
              <w:t xml:space="preserve"> </w:t>
            </w:r>
            <w:r>
              <w:t xml:space="preserve">“</w:t>
            </w:r>
            <w:r>
              <w:t xml:space="preserve">targeted for Q1 2027</w:t>
            </w:r>
            <w:r>
              <w:t xml:space="preserve">”</w:t>
            </w:r>
            <w:r>
              <w:t xml:space="preserve">; exclusivity to [31 March 2027]</w:t>
            </w:r>
          </w:p>
        </w:tc>
        <w:tc>
          <w:tcPr/>
          <w:p>
            <w:pPr>
              <w:pStyle w:val="Compact"/>
              <w:jc w:val="left"/>
            </w:pPr>
            <w:r>
              <w:t xml:space="preserve">Consider [30 April 2027] or</w:t>
            </w:r>
            <w:r>
              <w:t xml:space="preserve"> </w:t>
            </w:r>
            <w:r>
              <w:t xml:space="preserve">“</w:t>
            </w:r>
            <w:r>
              <w:t xml:space="preserve">the later of 31 March 2027 and completion</w:t>
            </w:r>
            <w:r>
              <w:t xml:space="preserve">”</w:t>
            </w:r>
          </w:p>
        </w:tc>
        <w:tc>
          <w:tcPr/>
          <w:p>
            <w:pPr>
              <w:pStyle w:val="Compact"/>
              <w:jc w:val="left"/>
            </w:pPr>
            <w:r>
              <w:t xml:space="preserve">Dates are coherent but leave little headroom. A February delivery plus 10 Business Days plus SHA consents could run past 31 March, at which point exclusivity lapses before completion.</w:t>
            </w:r>
          </w:p>
        </w:tc>
      </w:tr>
      <w:tr>
        <w:tc>
          <w:tcPr/>
          <w:p>
            <w:pPr>
              <w:pStyle w:val="Compact"/>
              <w:jc w:val="left"/>
            </w:pPr>
            <w:r>
              <w:t xml:space="preserve">C12</w:t>
            </w:r>
          </w:p>
        </w:tc>
        <w:tc>
          <w:tcPr/>
          <w:p>
            <w:pPr>
              <w:pStyle w:val="Compact"/>
              <w:jc w:val="left"/>
            </w:pPr>
            <w:r>
              <w:t xml:space="preserve">O</w:t>
            </w:r>
          </w:p>
        </w:tc>
        <w:tc>
          <w:tcPr/>
          <w:p>
            <w:pPr>
              <w:pStyle w:val="Compact"/>
              <w:jc w:val="left"/>
            </w:pPr>
            <w:r>
              <w:t xml:space="preserve">Defined and undefined terms</w:t>
            </w:r>
          </w:p>
        </w:tc>
        <w:tc>
          <w:tcPr/>
          <w:p>
            <w:pPr>
              <w:pStyle w:val="Compact"/>
              <w:jc w:val="left"/>
            </w:pPr>
            <w:r>
              <w:t xml:space="preserve">“</w:t>
            </w:r>
            <w:r>
              <w:t xml:space="preserve">Exit</w:t>
            </w:r>
            <w:r>
              <w:t xml:space="preserve">”</w:t>
            </w:r>
            <w:r>
              <w:t xml:space="preserve">,</w:t>
            </w:r>
            <w:r>
              <w:t xml:space="preserve"> </w:t>
            </w:r>
            <w:r>
              <w:t xml:space="preserve">“</w:t>
            </w:r>
            <w:r>
              <w:t xml:space="preserve">Business Days</w:t>
            </w:r>
            <w:r>
              <w:t xml:space="preserve">”</w:t>
            </w:r>
            <w:r>
              <w:t xml:space="preserve">,</w:t>
            </w:r>
            <w:r>
              <w:t xml:space="preserve"> </w:t>
            </w:r>
            <w:r>
              <w:t xml:space="preserve">“</w:t>
            </w:r>
            <w:r>
              <w:t xml:space="preserve">Preference Shares</w:t>
            </w:r>
            <w:r>
              <w:t xml:space="preserve">”</w:t>
            </w:r>
            <w:r>
              <w:t xml:space="preserve">,</w:t>
            </w:r>
            <w:r>
              <w:t xml:space="preserve"> </w:t>
            </w:r>
            <w:r>
              <w:t xml:space="preserve">“</w:t>
            </w:r>
            <w:r>
              <w:t xml:space="preserve">Ordinary Shares</w:t>
            </w:r>
            <w:r>
              <w:t xml:space="preserve">”</w:t>
            </w:r>
            <w:r>
              <w:t xml:space="preserve">,</w:t>
            </w:r>
            <w:r>
              <w:t xml:space="preserve"> </w:t>
            </w:r>
            <w:r>
              <w:t xml:space="preserve">“</w:t>
            </w:r>
            <w:r>
              <w:t xml:space="preserve">Strip Ordinary Shares</w:t>
            </w:r>
            <w:r>
              <w:t xml:space="preserve">”</w:t>
            </w:r>
            <w:r>
              <w:t xml:space="preserve">,</w:t>
            </w:r>
            <w:r>
              <w:t xml:space="preserve"> </w:t>
            </w:r>
            <w:r>
              <w:t xml:space="preserve">“</w:t>
            </w:r>
            <w:r>
              <w:t xml:space="preserve">Adjusted EBITDA</w:t>
            </w:r>
            <w:r>
              <w:t xml:space="preserve">”</w:t>
            </w:r>
            <w:r>
              <w:t xml:space="preserve"> </w:t>
            </w:r>
            <w:r>
              <w:t xml:space="preserve">used without definition</w:t>
            </w:r>
          </w:p>
        </w:tc>
        <w:tc>
          <w:tcPr/>
          <w:p>
            <w:pPr>
              <w:pStyle w:val="Compact"/>
              <w:jc w:val="left"/>
            </w:pPr>
            <w:r>
              <w:t xml:space="preserve">Add after the SHA reference:</w:t>
            </w:r>
            <w:r>
              <w:t xml:space="preserve"> </w:t>
            </w:r>
            <w:r>
              <w:t xml:space="preserve">“</w:t>
            </w:r>
            <w:r>
              <w:t xml:space="preserve">Capitalised terms used but not defined in this term sheet have the meaning given in the SHA</w:t>
            </w:r>
            <w:r>
              <w:t xml:space="preserve">”</w:t>
            </w:r>
          </w:p>
        </w:tc>
        <w:tc>
          <w:tcPr/>
          <w:p>
            <w:pPr>
              <w:pStyle w:val="Compact"/>
              <w:jc w:val="left"/>
            </w:pPr>
            <w:r>
              <w:t xml:space="preserve">“</w:t>
            </w:r>
            <w:r>
              <w:t xml:space="preserve">Exit</w:t>
            </w:r>
            <w:r>
              <w:t xml:space="preserve">”</w:t>
            </w:r>
            <w:r>
              <w:t xml:space="preserve"> </w:t>
            </w:r>
            <w:r>
              <w:t xml:space="preserve">and</w:t>
            </w:r>
            <w:r>
              <w:t xml:space="preserve"> </w:t>
            </w:r>
            <w:r>
              <w:t xml:space="preserve">“</w:t>
            </w:r>
            <w:r>
              <w:t xml:space="preserve">Adjusted EBITDA</w:t>
            </w:r>
            <w:r>
              <w:t xml:space="preserve">”</w:t>
            </w:r>
            <w:r>
              <w:t xml:space="preserve"> </w:t>
            </w:r>
            <w:r>
              <w:t xml:space="preserve">are almost certainly SHA terms.</w:t>
            </w:r>
            <w:r>
              <w:t xml:space="preserve"> </w:t>
            </w:r>
            <w:r>
              <w:t xml:space="preserve">“</w:t>
            </w:r>
            <w:r>
              <w:t xml:space="preserve">Business Days</w:t>
            </w:r>
            <w:r>
              <w:t xml:space="preserve">”</w:t>
            </w:r>
            <w:r>
              <w:t xml:space="preserve"> </w:t>
            </w:r>
            <w:r>
              <w:t xml:space="preserve">is not and should either be defined or replaced with</w:t>
            </w:r>
            <w:r>
              <w:t xml:space="preserve"> </w:t>
            </w:r>
            <w:r>
              <w:t xml:space="preserve">“</w:t>
            </w:r>
            <w:r>
              <w:t xml:space="preserve">10 business days</w:t>
            </w:r>
            <w:r>
              <w:t xml:space="preserve">”</w:t>
            </w:r>
            <w:r>
              <w:t xml:space="preserve">. Defined terms that are defined are each defined once, before first use, and used consistently (CEIS, Effinity/Seller, Denali Pooling, Denali I, MJM/Company, Proposed Transaction, SHA, Sale Shares, Agreed Valuation, FY26A Adjusted EBITDA, Purchase Price).</w:t>
            </w:r>
            <w:r>
              <w:t xml:space="preserve"> </w:t>
            </w:r>
            <w:r>
              <w:t xml:space="preserve">“</w:t>
            </w:r>
            <w:r>
              <w:t xml:space="preserve">Seller</w:t>
            </w:r>
            <w:r>
              <w:t xml:space="preserve">”</w:t>
            </w:r>
            <w:r>
              <w:t xml:space="preserve"> </w:t>
            </w:r>
            <w:r>
              <w:t xml:space="preserve">is defined but never used; delete it or use it.</w:t>
            </w:r>
          </w:p>
        </w:tc>
      </w:tr>
      <w:tr>
        <w:tc>
          <w:tcPr/>
          <w:p>
            <w:pPr>
              <w:pStyle w:val="Compact"/>
              <w:jc w:val="left"/>
            </w:pPr>
            <w:r>
              <w:t xml:space="preserve">C13</w:t>
            </w:r>
          </w:p>
        </w:tc>
        <w:tc>
          <w:tcPr/>
          <w:p>
            <w:pPr>
              <w:pStyle w:val="Compact"/>
              <w:jc w:val="left"/>
            </w:pPr>
            <w:r>
              <w:t xml:space="preserve">O</w:t>
            </w:r>
          </w:p>
        </w:tc>
        <w:tc>
          <w:tcPr/>
          <w:p>
            <w:pPr>
              <w:pStyle w:val="Compact"/>
              <w:jc w:val="left"/>
            </w:pPr>
            <w:r>
              <w:t xml:space="preserve">Opening paragraph, binding sections</w:t>
            </w:r>
          </w:p>
        </w:tc>
        <w:tc>
          <w:tcPr/>
          <w:p>
            <w:pPr>
              <w:pStyle w:val="Compact"/>
              <w:jc w:val="left"/>
            </w:pPr>
            <w:r>
              <w:t xml:space="preserve">Lists Confidentiality, Exclusivity and Governing Law as binding</w:t>
            </w:r>
          </w:p>
        </w:tc>
        <w:tc>
          <w:tcPr/>
          <w:p>
            <w:pPr>
              <w:pStyle w:val="Compact"/>
              <w:jc w:val="left"/>
            </w:pPr>
            <w:r>
              <w:t xml:space="preserve">No change</w:t>
            </w:r>
          </w:p>
        </w:tc>
        <w:tc>
          <w:tcPr/>
          <w:p>
            <w:pPr>
              <w:pStyle w:val="Compact"/>
              <w:jc w:val="left"/>
            </w:pPr>
            <w:r>
              <w:t xml:space="preserve">Checked: each of the three sections states</w:t>
            </w:r>
            <w:r>
              <w:t xml:space="preserve"> </w:t>
            </w:r>
            <w:r>
              <w:t xml:space="preserve">“</w:t>
            </w:r>
            <w:r>
              <w:t xml:space="preserve">This section is legally binding</w:t>
            </w:r>
            <w:r>
              <w:t xml:space="preserve">”</w:t>
            </w:r>
            <w:r>
              <w:t xml:space="preserve"> </w:t>
            </w:r>
            <w:r>
              <w:t xml:space="preserve">and no other section does. Consistent.</w:t>
            </w:r>
          </w:p>
        </w:tc>
      </w:tr>
      <w:tr>
        <w:tc>
          <w:tcPr/>
          <w:p>
            <w:pPr>
              <w:pStyle w:val="Compact"/>
              <w:jc w:val="left"/>
            </w:pPr>
            <w:r>
              <w:t xml:space="preserve">C14</w:t>
            </w:r>
          </w:p>
        </w:tc>
        <w:tc>
          <w:tcPr/>
          <w:p>
            <w:pPr>
              <w:pStyle w:val="Compact"/>
              <w:jc w:val="left"/>
            </w:pPr>
            <w:r>
              <w:t xml:space="preserve">O</w:t>
            </w:r>
          </w:p>
        </w:tc>
        <w:tc>
          <w:tcPr/>
          <w:p>
            <w:pPr>
              <w:pStyle w:val="Compact"/>
              <w:jc w:val="left"/>
            </w:pPr>
            <w:r>
              <w:t xml:space="preserve">Confidentiality</w:t>
            </w:r>
          </w:p>
        </w:tc>
        <w:tc>
          <w:tcPr/>
          <w:p>
            <w:pPr>
              <w:pStyle w:val="Compact"/>
              <w:jc w:val="left"/>
            </w:pPr>
            <w:r>
              <w:t xml:space="preserve">“</w:t>
            </w:r>
            <w:r>
              <w:t xml:space="preserve">without the prior written consent of the other party</w:t>
            </w:r>
            <w:r>
              <w:t xml:space="preserve">”</w:t>
            </w:r>
          </w:p>
        </w:tc>
        <w:tc>
          <w:tcPr/>
          <w:p>
            <w:pPr>
              <w:pStyle w:val="Compact"/>
              <w:jc w:val="left"/>
            </w:pPr>
            <w:r>
              <w:t xml:space="preserve">No change</w:t>
            </w:r>
          </w:p>
        </w:tc>
        <w:tc>
          <w:tcPr/>
          <w:p>
            <w:pPr>
              <w:pStyle w:val="Compact"/>
              <w:jc w:val="left"/>
            </w:pPr>
            <w:r>
              <w:t xml:space="preserve">Consistent with a two-party document and the two signature blocks.</w:t>
            </w:r>
          </w:p>
        </w:tc>
      </w:tr>
      <w:tr>
        <w:tc>
          <w:tcPr/>
          <w:p>
            <w:pPr>
              <w:pStyle w:val="Compact"/>
              <w:jc w:val="left"/>
            </w:pPr>
            <w:r>
              <w:t xml:space="preserve">C15</w:t>
            </w:r>
          </w:p>
        </w:tc>
        <w:tc>
          <w:tcPr/>
          <w:p>
            <w:pPr>
              <w:pStyle w:val="Compact"/>
              <w:jc w:val="left"/>
            </w:pPr>
            <w:r>
              <w:t xml:space="preserve">O</w:t>
            </w:r>
          </w:p>
        </w:tc>
        <w:tc>
          <w:tcPr/>
          <w:p>
            <w:pPr>
              <w:pStyle w:val="Compact"/>
              <w:jc w:val="left"/>
            </w:pPr>
            <w:r>
              <w:t xml:space="preserve">Residual primary-round references</w:t>
            </w:r>
          </w:p>
        </w:tc>
        <w:tc>
          <w:tcPr/>
          <w:p>
            <w:pPr>
              <w:pStyle w:val="Compact"/>
              <w:jc w:val="left"/>
            </w:pPr>
            <w:r>
              <w:t xml:space="preserve">Checked for 14.0x, PLN 1.11bn, FY26E, Hermes, Denali EIS, Maximus, Minimum Return, drawdown</w:t>
            </w:r>
          </w:p>
        </w:tc>
        <w:tc>
          <w:tcPr/>
          <w:p>
            <w:pPr>
              <w:pStyle w:val="Compact"/>
              <w:jc w:val="left"/>
            </w:pPr>
            <w:r>
              <w:t xml:space="preserve">None found</w:t>
            </w:r>
          </w:p>
        </w:tc>
        <w:tc>
          <w:tcPr/>
          <w:p>
            <w:pPr>
              <w:pStyle w:val="Compact"/>
              <w:jc w:val="left"/>
            </w:pPr>
            <w:r>
              <w:t xml:space="preserve">Clean. The only currency references are PLN and the bracketed PLN/EUR/USD note. Costs (</w:t>
            </w:r>
            <w:r>
              <w:t xml:space="preserve">“</w:t>
            </w:r>
            <w:r>
              <w:t xml:space="preserve">equal shares</w:t>
            </w:r>
            <w:r>
              <w:t xml:space="preserve">”</w:t>
            </w:r>
            <w:r>
              <w:t xml:space="preserve">, no counsel named) is consistent with the rest of the draft.</w:t>
            </w:r>
          </w:p>
        </w:tc>
      </w:tr>
    </w:tbl>
    <w:bookmarkEnd w:id="21"/>
    <w:bookmarkStart w:id="22" w:name="typographical-and-drafting-points"/>
    <w:p>
      <w:pPr>
        <w:pStyle w:val="Heading2"/>
      </w:pPr>
      <w:r>
        <w:t xml:space="preserve">3. Typographical and drafting 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Location</w:t>
            </w:r>
          </w:p>
        </w:tc>
        <w:tc>
          <w:tcPr/>
          <w:p>
            <w:pPr>
              <w:pStyle w:val="Compact"/>
              <w:jc w:val="left"/>
            </w:pPr>
            <w:r>
              <w:t xml:space="preserve">As drafted</w:t>
            </w:r>
          </w:p>
        </w:tc>
        <w:tc>
          <w:tcPr/>
          <w:p>
            <w:pPr>
              <w:pStyle w:val="Compact"/>
              <w:jc w:val="left"/>
            </w:pPr>
            <w:r>
              <w:t xml:space="preserve">Change to</w:t>
            </w:r>
          </w:p>
        </w:tc>
      </w:tr>
      <w:tr>
        <w:tc>
          <w:tcPr/>
          <w:p>
            <w:pPr>
              <w:pStyle w:val="Compact"/>
              <w:jc w:val="left"/>
            </w:pPr>
            <w:r>
              <w:t xml:space="preserve">T1</w:t>
            </w:r>
          </w:p>
        </w:tc>
        <w:tc>
          <w:tcPr/>
          <w:p>
            <w:pPr>
              <w:pStyle w:val="Compact"/>
              <w:jc w:val="left"/>
            </w:pPr>
            <w:r>
              <w:t xml:space="preserve">Opening paragraph, signature page</w:t>
            </w:r>
          </w:p>
        </w:tc>
        <w:tc>
          <w:tcPr/>
          <w:p>
            <w:pPr>
              <w:pStyle w:val="Compact"/>
              <w:jc w:val="left"/>
            </w:pPr>
            <w:r>
              <w:t xml:space="preserve">“</w:t>
            </w:r>
            <w:r>
              <w:t xml:space="preserve">Ackyjna</w:t>
            </w:r>
            <w:r>
              <w:t xml:space="preserve">”</w:t>
            </w:r>
            <w:r>
              <w:t xml:space="preserve"> </w:t>
            </w:r>
            <w:r>
              <w:t xml:space="preserve">/</w:t>
            </w:r>
            <w:r>
              <w:t xml:space="preserve"> </w:t>
            </w:r>
            <w:r>
              <w:t xml:space="preserve">“</w:t>
            </w:r>
            <w:r>
              <w:t xml:space="preserve">ACKYJNA</w:t>
            </w:r>
            <w:r>
              <w:t xml:space="preserve">”</w:t>
            </w:r>
          </w:p>
        </w:tc>
        <w:tc>
          <w:tcPr/>
          <w:p>
            <w:pPr>
              <w:pStyle w:val="Compact"/>
              <w:jc w:val="left"/>
            </w:pPr>
            <w:r>
              <w:t xml:space="preserve">“</w:t>
            </w:r>
            <w:r>
              <w:t xml:space="preserve">Akcyjna</w:t>
            </w:r>
            <w:r>
              <w:t xml:space="preserve">”</w:t>
            </w:r>
            <w:r>
              <w:t xml:space="preserve"> </w:t>
            </w:r>
            <w:r>
              <w:t xml:space="preserve">/</w:t>
            </w:r>
            <w:r>
              <w:t xml:space="preserve"> </w:t>
            </w:r>
            <w:r>
              <w:t xml:space="preserve">“</w:t>
            </w:r>
            <w:r>
              <w:t xml:space="preserve">AKCYJNA</w:t>
            </w:r>
            <w:r>
              <w:t xml:space="preserve">”</w:t>
            </w:r>
          </w:p>
        </w:tc>
      </w:tr>
      <w:tr>
        <w:tc>
          <w:tcPr/>
          <w:p>
            <w:pPr>
              <w:pStyle w:val="Compact"/>
              <w:jc w:val="left"/>
            </w:pPr>
            <w:r>
              <w:t xml:space="preserve">T2</w:t>
            </w:r>
          </w:p>
        </w:tc>
        <w:tc>
          <w:tcPr/>
          <w:p>
            <w:pPr>
              <w:pStyle w:val="Compact"/>
              <w:jc w:val="left"/>
            </w:pPr>
            <w:r>
              <w:t xml:space="preserve">Opening paragraph</w:t>
            </w:r>
          </w:p>
        </w:tc>
        <w:tc>
          <w:tcPr/>
          <w:p>
            <w:pPr>
              <w:pStyle w:val="Compact"/>
              <w:jc w:val="left"/>
            </w:pPr>
            <w:r>
              <w:t xml:space="preserve">“</w:t>
            </w:r>
            <w:r>
              <w:t xml:space="preserve">Efinity</w:t>
            </w:r>
            <w:r>
              <w:t xml:space="preserve">”</w:t>
            </w:r>
          </w:p>
        </w:tc>
        <w:tc>
          <w:tcPr/>
          <w:p>
            <w:pPr>
              <w:pStyle w:val="Compact"/>
              <w:jc w:val="left"/>
            </w:pPr>
            <w:r>
              <w:t xml:space="preserve">Align with</w:t>
            </w:r>
            <w:r>
              <w:t xml:space="preserve"> </w:t>
            </w:r>
            <w:r>
              <w:t xml:space="preserve">“</w:t>
            </w:r>
            <w:r>
              <w:t xml:space="preserve">Effinity</w:t>
            </w:r>
            <w:r>
              <w:t xml:space="preserve">”</w:t>
            </w:r>
            <w:r>
              <w:t xml:space="preserve"> </w:t>
            </w:r>
            <w:r>
              <w:t xml:space="preserve">or vice versa (see C5)</w:t>
            </w:r>
          </w:p>
        </w:tc>
      </w:tr>
      <w:tr>
        <w:tc>
          <w:tcPr/>
          <w:p>
            <w:pPr>
              <w:pStyle w:val="Compact"/>
              <w:jc w:val="left"/>
            </w:pPr>
            <w:r>
              <w:t xml:space="preserve">T3</w:t>
            </w:r>
          </w:p>
        </w:tc>
        <w:tc>
          <w:tcPr/>
          <w:p>
            <w:pPr>
              <w:pStyle w:val="Compact"/>
              <w:jc w:val="left"/>
            </w:pPr>
            <w:r>
              <w:t xml:space="preserve">Opening paragraph</w:t>
            </w:r>
          </w:p>
        </w:tc>
        <w:tc>
          <w:tcPr/>
          <w:p>
            <w:pPr>
              <w:pStyle w:val="Compact"/>
              <w:jc w:val="left"/>
            </w:pPr>
            <w:r>
              <w:t xml:space="preserve">“</w:t>
            </w:r>
            <w:r>
              <w:t xml:space="preserve">Denali Holding I S.a.r.L</w:t>
            </w:r>
            <w:r>
              <w:t xml:space="preserve">”</w:t>
            </w:r>
          </w:p>
        </w:tc>
        <w:tc>
          <w:tcPr/>
          <w:p>
            <w:pPr>
              <w:pStyle w:val="Compact"/>
              <w:jc w:val="left"/>
            </w:pPr>
            <w:r>
              <w:t xml:space="preserve">“</w:t>
            </w:r>
            <w:r>
              <w:t xml:space="preserve">Denali Holdings I S.à r.l.</w:t>
            </w:r>
            <w:r>
              <w:t xml:space="preserve">”</w:t>
            </w:r>
            <w:r>
              <w:t xml:space="preserve"> </w:t>
            </w:r>
            <w:r>
              <w:t xml:space="preserve">(subject to E4)</w:t>
            </w:r>
          </w:p>
        </w:tc>
      </w:tr>
      <w:tr>
        <w:tc>
          <w:tcPr/>
          <w:p>
            <w:pPr>
              <w:pStyle w:val="Compact"/>
              <w:jc w:val="left"/>
            </w:pPr>
            <w:r>
              <w:t xml:space="preserve">T4</w:t>
            </w:r>
          </w:p>
        </w:tc>
        <w:tc>
          <w:tcPr/>
          <w:p>
            <w:pPr>
              <w:pStyle w:val="Compact"/>
              <w:jc w:val="left"/>
            </w:pPr>
            <w:r>
              <w:t xml:space="preserve">SHA definition</w:t>
            </w:r>
          </w:p>
        </w:tc>
        <w:tc>
          <w:tcPr/>
          <w:p>
            <w:pPr>
              <w:pStyle w:val="Compact"/>
              <w:jc w:val="left"/>
            </w:pPr>
            <w:r>
              <w:t xml:space="preserve">“</w:t>
            </w:r>
            <w:r>
              <w:t xml:space="preserve">Denali Holding I Shareholders Agreement</w:t>
            </w:r>
            <w:r>
              <w:t xml:space="preserve">”</w:t>
            </w:r>
          </w:p>
        </w:tc>
        <w:tc>
          <w:tcPr/>
          <w:p>
            <w:pPr>
              <w:pStyle w:val="Compact"/>
              <w:jc w:val="left"/>
            </w:pPr>
            <w:r>
              <w:t xml:space="preserve">“</w:t>
            </w:r>
            <w:r>
              <w:t xml:space="preserve">Denali Holdings I Shareholders’ Agreement</w:t>
            </w:r>
            <w:r>
              <w:t xml:space="preserve">”</w:t>
            </w:r>
            <w:r>
              <w:t xml:space="preserve"> </w:t>
            </w:r>
            <w:r>
              <w:t xml:space="preserve">(subject to E4); trailing space after</w:t>
            </w:r>
            <w:r>
              <w:t xml:space="preserve"> </w:t>
            </w:r>
            <w:r>
              <w:t xml:space="preserve">“</w:t>
            </w:r>
            <w:r>
              <w:t xml:space="preserve">time.</w:t>
            </w:r>
            <w:r>
              <w:t xml:space="preserve">”</w:t>
            </w:r>
          </w:p>
        </w:tc>
      </w:tr>
      <w:tr>
        <w:tc>
          <w:tcPr/>
          <w:p>
            <w:pPr>
              <w:pStyle w:val="Compact"/>
              <w:jc w:val="left"/>
            </w:pPr>
            <w:r>
              <w:t xml:space="preserve">T5</w:t>
            </w:r>
          </w:p>
        </w:tc>
        <w:tc>
          <w:tcPr/>
          <w:p>
            <w:pPr>
              <w:pStyle w:val="Compact"/>
              <w:jc w:val="left"/>
            </w:pPr>
            <w:r>
              <w:t xml:space="preserve">Sale Shares</w:t>
            </w:r>
          </w:p>
        </w:tc>
        <w:tc>
          <w:tcPr/>
          <w:p>
            <w:pPr>
              <w:pStyle w:val="Compact"/>
              <w:jc w:val="left"/>
            </w:pPr>
            <w:r>
              <w:t xml:space="preserve">“</w:t>
            </w:r>
            <w:r>
              <w:t xml:space="preserve">On a look through basis</w:t>
            </w:r>
            <w:r>
              <w:t xml:space="preserve">”</w:t>
            </w:r>
          </w:p>
        </w:tc>
        <w:tc>
          <w:tcPr/>
          <w:p>
            <w:pPr>
              <w:pStyle w:val="Compact"/>
              <w:jc w:val="left"/>
            </w:pPr>
            <w:r>
              <w:t xml:space="preserve">“</w:t>
            </w:r>
            <w:r>
              <w:t xml:space="preserve">On a look-through basis</w:t>
            </w:r>
            <w:r>
              <w:t xml:space="preserve">”</w:t>
            </w:r>
          </w:p>
        </w:tc>
      </w:tr>
      <w:tr>
        <w:tc>
          <w:tcPr/>
          <w:p>
            <w:pPr>
              <w:pStyle w:val="Compact"/>
              <w:jc w:val="left"/>
            </w:pPr>
            <w:r>
              <w:t xml:space="preserve">T6</w:t>
            </w:r>
          </w:p>
        </w:tc>
        <w:tc>
          <w:tcPr/>
          <w:p>
            <w:pPr>
              <w:pStyle w:val="Compact"/>
              <w:jc w:val="left"/>
            </w:pPr>
            <w:r>
              <w:t xml:space="preserve">Sale Shares</w:t>
            </w:r>
          </w:p>
        </w:tc>
        <w:tc>
          <w:tcPr/>
          <w:p>
            <w:pPr>
              <w:pStyle w:val="Compact"/>
              <w:jc w:val="left"/>
            </w:pPr>
            <w:r>
              <w:t xml:space="preserve">“</w:t>
            </w:r>
            <w:r>
              <w:t xml:space="preserve">The Sale Shares represent:</w:t>
            </w:r>
            <w:r>
              <w:t xml:space="preserve">”</w:t>
            </w:r>
            <w:r>
              <w:t xml:space="preserve"> </w:t>
            </w:r>
            <w:r>
              <w:t xml:space="preserve">(double space and trailing space)</w:t>
            </w:r>
          </w:p>
        </w:tc>
        <w:tc>
          <w:tcPr/>
          <w:p>
            <w:pPr>
              <w:pStyle w:val="Compact"/>
              <w:jc w:val="left"/>
            </w:pPr>
            <w:r>
              <w:t xml:space="preserve">Single colon, no trailing space</w:t>
            </w:r>
          </w:p>
        </w:tc>
      </w:tr>
      <w:tr>
        <w:tc>
          <w:tcPr/>
          <w:p>
            <w:pPr>
              <w:pStyle w:val="Compact"/>
              <w:jc w:val="left"/>
            </w:pPr>
            <w:r>
              <w:t xml:space="preserve">T7</w:t>
            </w:r>
          </w:p>
        </w:tc>
        <w:tc>
          <w:tcPr/>
          <w:p>
            <w:pPr>
              <w:pStyle w:val="Compact"/>
              <w:jc w:val="left"/>
            </w:pPr>
            <w:r>
              <w:t xml:space="preserve">Conditions to Completion</w:t>
            </w:r>
          </w:p>
        </w:tc>
        <w:tc>
          <w:tcPr/>
          <w:p>
            <w:pPr>
              <w:pStyle w:val="Compact"/>
              <w:jc w:val="left"/>
            </w:pPr>
            <w:r>
              <w:t xml:space="preserve">“</w:t>
            </w:r>
            <w:r>
              <w:t xml:space="preserve">conditional on:</w:t>
            </w:r>
            <w:r>
              <w:t xml:space="preserve">”</w:t>
            </w:r>
            <w:r>
              <w:t xml:space="preserve"> </w:t>
            </w:r>
            <w:r>
              <w:t xml:space="preserve">(double space and trailing space)</w:t>
            </w:r>
          </w:p>
        </w:tc>
        <w:tc>
          <w:tcPr/>
          <w:p>
            <w:pPr>
              <w:pStyle w:val="Compact"/>
              <w:jc w:val="left"/>
            </w:pPr>
            <w:r>
              <w:t xml:space="preserve">Single colon, no trailing space</w:t>
            </w:r>
          </w:p>
        </w:tc>
      </w:tr>
      <w:tr>
        <w:tc>
          <w:tcPr/>
          <w:p>
            <w:pPr>
              <w:pStyle w:val="Compact"/>
              <w:jc w:val="left"/>
            </w:pPr>
            <w:r>
              <w:t xml:space="preserve">T8</w:t>
            </w:r>
          </w:p>
        </w:tc>
        <w:tc>
          <w:tcPr/>
          <w:p>
            <w:pPr>
              <w:pStyle w:val="Compact"/>
              <w:jc w:val="left"/>
            </w:pPr>
            <w:r>
              <w:t xml:space="preserve">Sale Shares, Valuation bullet 6, Signature</w:t>
            </w:r>
            <w:r>
              <w:t xml:space="preserve"> </w:t>
            </w:r>
            <w:r>
              <w:t xml:space="preserve">“</w:t>
            </w:r>
            <w:r>
              <w:t xml:space="preserve">Name:</w:t>
            </w:r>
            <w:r>
              <w:t xml:space="preserve">”</w:t>
            </w:r>
          </w:p>
        </w:tc>
        <w:tc>
          <w:tcPr/>
          <w:p>
            <w:pPr>
              <w:pStyle w:val="Compact"/>
              <w:jc w:val="left"/>
            </w:pPr>
            <w:r>
              <w:t xml:space="preserve">Trailing spaces at line ends</w:t>
            </w:r>
          </w:p>
        </w:tc>
        <w:tc>
          <w:tcPr/>
          <w:p>
            <w:pPr>
              <w:pStyle w:val="Compact"/>
              <w:jc w:val="left"/>
            </w:pPr>
            <w:r>
              <w:t xml:space="preserve">Remove</w:t>
            </w:r>
          </w:p>
        </w:tc>
      </w:tr>
      <w:tr>
        <w:tc>
          <w:tcPr/>
          <w:p>
            <w:pPr>
              <w:pStyle w:val="Compact"/>
              <w:jc w:val="left"/>
            </w:pPr>
            <w:r>
              <w:t xml:space="preserve">T9</w:t>
            </w:r>
          </w:p>
        </w:tc>
        <w:tc>
          <w:tcPr/>
          <w:p>
            <w:pPr>
              <w:pStyle w:val="Compact"/>
              <w:jc w:val="left"/>
            </w:pPr>
            <w:r>
              <w:t xml:space="preserve">Valuation bullet 2</w:t>
            </w:r>
          </w:p>
        </w:tc>
        <w:tc>
          <w:tcPr/>
          <w:p>
            <w:pPr>
              <w:pStyle w:val="Compact"/>
              <w:jc w:val="left"/>
            </w:pPr>
            <w:r>
              <w:t xml:space="preserve">“</w:t>
            </w:r>
            <w:r>
              <w:t xml:space="preserve">(“Reference Date</w:t>
            </w:r>
            <w:r>
              <w:t xml:space="preserve">”</w:t>
            </w:r>
            <w:r>
              <w:t xml:space="preserve">)”</w:t>
            </w:r>
          </w:p>
        </w:tc>
        <w:tc>
          <w:tcPr/>
          <w:p>
            <w:pPr>
              <w:pStyle w:val="Compact"/>
              <w:jc w:val="left"/>
            </w:pPr>
            <w:r>
              <w:t xml:space="preserve">“</w:t>
            </w:r>
            <w:r>
              <w:t xml:space="preserve">(the “Reference Date</w:t>
            </w:r>
            <w:r>
              <w:t xml:space="preserve">”</w:t>
            </w:r>
            <w:r>
              <w:t xml:space="preserve">)” for consistency with the other definitions</w:t>
            </w:r>
          </w:p>
        </w:tc>
      </w:tr>
      <w:tr>
        <w:tc>
          <w:tcPr/>
          <w:p>
            <w:pPr>
              <w:pStyle w:val="Compact"/>
              <w:jc w:val="left"/>
            </w:pPr>
            <w:r>
              <w:t xml:space="preserve">T10</w:t>
            </w:r>
          </w:p>
        </w:tc>
        <w:tc>
          <w:tcPr/>
          <w:p>
            <w:pPr>
              <w:pStyle w:val="Compact"/>
              <w:jc w:val="left"/>
            </w:pPr>
            <w:r>
              <w:t xml:space="preserve">Bullets generally</w:t>
            </w:r>
          </w:p>
        </w:tc>
        <w:tc>
          <w:tcPr/>
          <w:p>
            <w:pPr>
              <w:pStyle w:val="Compact"/>
              <w:jc w:val="left"/>
            </w:pPr>
            <w:r>
              <w:t xml:space="preserve">No trailing full stops, consistently applied</w:t>
            </w:r>
          </w:p>
        </w:tc>
        <w:tc>
          <w:tcPr/>
          <w:p>
            <w:pPr>
              <w:pStyle w:val="Compact"/>
              <w:jc w:val="left"/>
            </w:pPr>
            <w:r>
              <w:t xml:space="preserve">No change. The only full stops inside bullets are mid-bullet sentence breaks (Transaction Overview bullet 2), which is fine</w:t>
            </w:r>
          </w:p>
        </w:tc>
      </w:tr>
      <w:tr>
        <w:tc>
          <w:tcPr/>
          <w:p>
            <w:pPr>
              <w:pStyle w:val="Compact"/>
              <w:jc w:val="left"/>
            </w:pPr>
            <w:r>
              <w:t xml:space="preserve">T11</w:t>
            </w:r>
          </w:p>
        </w:tc>
        <w:tc>
          <w:tcPr/>
          <w:p>
            <w:pPr>
              <w:pStyle w:val="Compact"/>
              <w:jc w:val="left"/>
            </w:pPr>
            <w:r>
              <w:t xml:space="preserve">Signature page</w:t>
            </w:r>
          </w:p>
        </w:tc>
        <w:tc>
          <w:tcPr/>
          <w:p>
            <w:pPr>
              <w:pStyle w:val="Compact"/>
              <w:jc w:val="left"/>
            </w:pPr>
            <w:r>
              <w:t xml:space="preserve">Corsair block in capitals with</w:t>
            </w:r>
            <w:r>
              <w:t xml:space="preserve"> </w:t>
            </w:r>
            <w:r>
              <w:t xml:space="preserve">“</w:t>
            </w:r>
            <w:r>
              <w:t xml:space="preserve">L.P.</w:t>
            </w:r>
            <w:r>
              <w:t xml:space="preserve">”</w:t>
            </w:r>
            <w:r>
              <w:t xml:space="preserve">; Effinity block in capitals</w:t>
            </w:r>
          </w:p>
        </w:tc>
        <w:tc>
          <w:tcPr/>
          <w:p>
            <w:pPr>
              <w:pStyle w:val="Compact"/>
              <w:jc w:val="left"/>
            </w:pPr>
            <w:r>
              <w:t xml:space="preserve">Once the legal names are confirmed, keep both in capitals and match punctuation of the legal form</w:t>
            </w:r>
          </w:p>
        </w:tc>
      </w:tr>
    </w:tbl>
    <w:bookmarkEnd w:id="22"/>
    <w:bookmarkStart w:id="23" w:name="conclusion"/>
    <w:p>
      <w:pPr>
        <w:pStyle w:val="Heading2"/>
      </w:pPr>
      <w:r>
        <w:t xml:space="preserve">4. Conclusion</w:t>
      </w:r>
    </w:p>
    <w:p>
      <w:pPr>
        <w:pStyle w:val="FirstParagraph"/>
      </w:pPr>
      <w:r>
        <w:t xml:space="preserve">The term sheet is close to internally consistent and, apart from two entity-name points, reflects the structure chart. The must-fix items are confined to five places: the three Denali I references that should read Denali Pooling (C1, C2, C3), the Reference Date and source-document definition (C4), and the Effinity legal name and spelling (C5). Once those are made, the only open points of substance are the choice of buyer (CEIS directly versus Denali EIS, which the chart cannot settle), the Denali Holding versus Denali Holdings name, the 6.3% ordinary look-through figure, and the accrued-coupon mechanic in the Purchase Price. None of these requires new commercial terms; each is a confirmation against the registers, the SHA or the model. With the must-fix changes made, the document reads as a coherent two-party secondary term sheet and nothing from the primary-investment version survives.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2026-10-27T23:17:50Z</dcterms:created>
  <dcterms:modified xsi:type="dcterms:W3CDTF">2026-10-27T23:17:50Z</dcterms:modified>
</cp:coreProperties>
</file>

<file path=docProps/custom.xml><?xml version="1.0" encoding="utf-8"?>
<Properties xmlns="http://schemas.openxmlformats.org/officeDocument/2006/custom-properties" xmlns:vt="http://schemas.openxmlformats.org/officeDocument/2006/docPropsVTypes"/>
</file>