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629dae48a47831261b61c6c2dcc2258d83586d"/>
    <w:p>
      <w:pPr>
        <w:pStyle w:val="Heading1"/>
      </w:pPr>
      <w:r>
        <w:t xml:space="preserve">MJM Secondary Term Sheet v20261029_1445: EBITDA adjustment mechanic and post-departure restrictions</w:t>
      </w:r>
    </w:p>
    <w:bookmarkStart w:id="23" w:name="a.-proposed-ebitda-adjustment-mechanic"/>
    <w:p>
      <w:pPr>
        <w:pStyle w:val="Heading2"/>
      </w:pPr>
      <w:r>
        <w:t xml:space="preserve">A. Proposed EBITDA adjustment mechanic</w:t>
      </w:r>
    </w:p>
    <w:bookmarkStart w:id="20" w:name="design"/>
    <w:p>
      <w:pPr>
        <w:pStyle w:val="Heading3"/>
      </w:pPr>
      <w:r>
        <w:t xml:space="preserve">Design</w:t>
      </w:r>
    </w:p>
    <w:p>
      <w:pPr>
        <w:pStyle w:val="FirstParagraph"/>
      </w:pPr>
      <w:r>
        <w:t xml:space="preserve">The Livigno SPA mechanic (clause 3.5 to 3.16) is a conventional completion accounts process: a preliminary price paid at completion, a holdback, draft completion statements within 60 Business Days, a 15 to 20 Business Day acceptance window with deemed acceptance, a 10 Business Day negotiation period, then expert determination within the range of the two parties’ positions, with expert costs following the outcome. For a secondary with a single input, FY26A Adjusted EBITDA, that process can be cut to one page. The proposed mechanic below keeps the SPA’s structure (preliminary price, true-up statement, deemed acceptance, expert, cost allocation) but applies it to one number with a 5% collar so that small movements do not reopen the price.</w:t>
      </w:r>
    </w:p>
    <w:p>
      <w:pPr>
        <w:pStyle w:val="BodyText"/>
      </w:pPr>
      <w:r>
        <w:t xml:space="preserve">Two points to decide, bracketed below:</w:t>
      </w:r>
    </w:p>
    <w:p>
      <w:pPr>
        <w:numPr>
          <w:ilvl w:val="0"/>
          <w:numId w:val="1001"/>
        </w:numPr>
        <w:pStyle w:val="Compact"/>
      </w:pPr>
      <w:r>
        <w:rPr>
          <w:bCs/>
          <w:b/>
        </w:rPr>
        <w:t xml:space="preserve">Collar type.</w:t>
      </w:r>
      <w:r>
        <w:t xml:space="preserve"> </w:t>
      </w:r>
      <w:r>
        <w:t xml:space="preserve">“</w:t>
      </w:r>
      <w:r>
        <w:t xml:space="preserve">Greater than 5%</w:t>
      </w:r>
      <w:r>
        <w:t xml:space="preserve">”</w:t>
      </w:r>
      <w:r>
        <w:t xml:space="preserve"> </w:t>
      </w:r>
      <w:r>
        <w:t xml:space="preserve">can mean (a) no adjustment at all unless the movement exceeds 5%, with the whole movement then adjusted from zero (a cliff), or (b) only the excess over 5% is adjusted (a deductible). Option (a) is simpler and closer to what you described; option (b) avoids a discontinuity at the threshold. The drafting below uses (a) and brackets (b).</w:t>
      </w:r>
    </w:p>
    <w:p>
      <w:pPr>
        <w:numPr>
          <w:ilvl w:val="0"/>
          <w:numId w:val="1001"/>
        </w:numPr>
        <w:pStyle w:val="Compact"/>
      </w:pPr>
      <w:r>
        <w:rPr>
          <w:bCs/>
          <w:b/>
        </w:rPr>
        <w:t xml:space="preserve">Holdback or not.</w:t>
      </w:r>
      <w:r>
        <w:t xml:space="preserve"> </w:t>
      </w:r>
      <w:r>
        <w:t xml:space="preserve">The SPA used a PLN 3,000,000 holdback. For a secondary from a seller leaving the cap table, a holdback is the only practical security for a downward adjustment. Bracketed at [10]% of the Preliminary Purchase Price.</w:t>
      </w:r>
    </w:p>
    <w:bookmarkEnd w:id="20"/>
    <w:bookmarkStart w:id="21" w:name="X032b4c111b1a644096ed6ea8d2b723ae1b74b50"/>
    <w:p>
      <w:pPr>
        <w:pStyle w:val="Heading3"/>
      </w:pPr>
      <w:r>
        <w:t xml:space="preserve">Proposed wording for the Valuation and Purchase Price section</w:t>
      </w:r>
    </w:p>
    <w:p>
      <w:pPr>
        <w:pStyle w:val="FirstParagraph"/>
      </w:pPr>
      <w:r>
        <w:t xml:space="preserve">Replace the current bullets 2, 4 and 5 (</w:t>
      </w:r>
      <w:r>
        <w:t xml:space="preserve">“</w:t>
      </w:r>
      <w:r>
        <w:t xml:space="preserve">FY26A Adjusted EBITDA means …</w:t>
      </w:r>
      <w:r>
        <w:t xml:space="preserve">”</w:t>
      </w:r>
      <w:r>
        <w:t xml:space="preserve">,</w:t>
      </w:r>
      <w:r>
        <w:t xml:space="preserve"> </w:t>
      </w:r>
      <w:r>
        <w:t xml:space="preserve">“</w:t>
      </w:r>
      <w:r>
        <w:t xml:space="preserve">The FY26A … expected to be available …</w:t>
      </w:r>
      <w:r>
        <w:t xml:space="preserve">”</w:t>
      </w:r>
      <w:r>
        <w:t xml:space="preserve">,</w:t>
      </w:r>
      <w:r>
        <w:t xml:space="preserve"> </w:t>
      </w:r>
      <w:r>
        <w:t xml:space="preserve">“</w:t>
      </w:r>
      <w:r>
        <w:t xml:space="preserve">The Purchase Price is fixed once …</w:t>
      </w:r>
      <w:r>
        <w:t xml:space="preserve">”</w:t>
      </w:r>
      <w:r>
        <w:t xml:space="preserve">) with the following, keeping bullets 1, 3 and 6 as they are:</w:t>
      </w:r>
    </w:p>
    <w:p>
      <w:pPr>
        <w:numPr>
          <w:ilvl w:val="0"/>
          <w:numId w:val="1002"/>
        </w:numPr>
        <w:pStyle w:val="Compact"/>
      </w:pPr>
      <w:r>
        <w:t xml:space="preserve">“</w:t>
      </w:r>
      <w:r>
        <w:rPr>
          <w:bCs/>
          <w:b/>
        </w:rPr>
        <w:t xml:space="preserve">Preliminary FY26A Adjusted EBITDA</w:t>
      </w:r>
      <w:r>
        <w:t xml:space="preserve">”</w:t>
      </w:r>
      <w:r>
        <w:t xml:space="preserve"> </w:t>
      </w:r>
      <w:r>
        <w:t xml:space="preserve">means the Adjusted EBITDA of the Company for the financial year ending 31 December 2026 as shown in the Company’s FY26 management accounts, calculated on the basis set out in the SHA and the Company’s existing shareholder reporting. The FY26 management accounts are expected to be available in late January / early February 2027</w:t>
      </w:r>
    </w:p>
    <w:p>
      <w:pPr>
        <w:numPr>
          <w:ilvl w:val="0"/>
          <w:numId w:val="1002"/>
        </w:numPr>
        <w:pStyle w:val="Compact"/>
      </w:pPr>
      <w:r>
        <w:t xml:space="preserve">“</w:t>
      </w:r>
      <w:r>
        <w:rPr>
          <w:bCs/>
          <w:b/>
        </w:rPr>
        <w:t xml:space="preserve">Final FY26A Adjusted EBITDA</w:t>
      </w:r>
      <w:r>
        <w:t xml:space="preserve">”</w:t>
      </w:r>
      <w:r>
        <w:t xml:space="preserve"> </w:t>
      </w:r>
      <w:r>
        <w:t xml:space="preserve">means the Adjusted EBITDA of the Company for the financial year ending 31 December 2026 as shown in the Company’s audited FY26 financial statements, calculated on the same basis. The audited FY26 financial statements are expected to be available in [April / May 2027]</w:t>
      </w:r>
    </w:p>
    <w:p>
      <w:pPr>
        <w:numPr>
          <w:ilvl w:val="0"/>
          <w:numId w:val="1002"/>
        </w:numPr>
        <w:pStyle w:val="Compact"/>
      </w:pPr>
      <w:r>
        <w:t xml:space="preserve">The Purchase Price payable at completion (the</w:t>
      </w:r>
      <w:r>
        <w:t xml:space="preserve"> </w:t>
      </w:r>
      <w:r>
        <w:t xml:space="preserve">“</w:t>
      </w:r>
      <w:r>
        <w:rPr>
          <w:bCs/>
          <w:b/>
        </w:rPr>
        <w:t xml:space="preserve">Preliminary Purchase Price</w:t>
      </w:r>
      <w:r>
        <w:t xml:space="preserve">”</w:t>
      </w:r>
      <w:r>
        <w:t xml:space="preserve">) will be calculated on the basis of the Preliminary FY26A Adjusted EBITDA. [[10]% of the Preliminary Purchase Price (the</w:t>
      </w:r>
      <w:r>
        <w:t xml:space="preserve"> </w:t>
      </w:r>
      <w:r>
        <w:t xml:space="preserve">“</w:t>
      </w:r>
      <w:r>
        <w:rPr>
          <w:bCs/>
          <w:b/>
        </w:rPr>
        <w:t xml:space="preserve">Holdback Amount</w:t>
      </w:r>
      <w:r>
        <w:t xml:space="preserve">”</w:t>
      </w:r>
      <w:r>
        <w:t xml:space="preserve">) will be retained by CEIS at completion pending the adjustment below]</w:t>
      </w:r>
    </w:p>
    <w:p>
      <w:pPr>
        <w:numPr>
          <w:ilvl w:val="0"/>
          <w:numId w:val="1002"/>
        </w:numPr>
        <w:pStyle w:val="Compact"/>
      </w:pPr>
      <w:r>
        <w:t xml:space="preserve">Within [10] Business Days of the audited FY26 financial statements being approved, CEIS will deliver to Efinity a statement (the</w:t>
      </w:r>
      <w:r>
        <w:t xml:space="preserve"> </w:t>
      </w:r>
      <w:r>
        <w:t xml:space="preserve">“</w:t>
      </w:r>
      <w:r>
        <w:rPr>
          <w:bCs/>
          <w:b/>
        </w:rPr>
        <w:t xml:space="preserve">Adjustment Statement</w:t>
      </w:r>
      <w:r>
        <w:t xml:space="preserve">”</w:t>
      </w:r>
      <w:r>
        <w:t xml:space="preserve">) setting out the Final FY26A Adjusted EBITDA, the resulting Purchase Price recalculated on that basis (the</w:t>
      </w:r>
      <w:r>
        <w:t xml:space="preserve"> </w:t>
      </w:r>
      <w:r>
        <w:t xml:space="preserve">“</w:t>
      </w:r>
      <w:r>
        <w:rPr>
          <w:bCs/>
          <w:b/>
        </w:rPr>
        <w:t xml:space="preserve">Final Purchase Price</w:t>
      </w:r>
      <w:r>
        <w:t xml:space="preserve">”</w:t>
      </w:r>
      <w:r>
        <w:t xml:space="preserve">) and the adjustment payment (if any)</w:t>
      </w:r>
    </w:p>
    <w:p>
      <w:pPr>
        <w:numPr>
          <w:ilvl w:val="0"/>
          <w:numId w:val="1002"/>
        </w:numPr>
        <w:pStyle w:val="Compact"/>
      </w:pPr>
      <w:r>
        <w:t xml:space="preserve">If the Final FY26A Adjusted EBITDA is greater than 105% or less than 95% of the Preliminary FY26A Adjusted EBITDA, the Purchase Price will be adjusted to the Final Purchase Price and [the full difference] / [only the amount by which the difference exceeds 5% of the Preliminary Purchase Price] will be paid: by CEIS to Efinity if the Final Purchase Price is higher, or by Efinity to CEIS [first by release of the Holdback Amount and then in cash for any excess] if the Final Purchase Price is lower. If the Final FY26A Adjusted EBITDA is within that range, no adjustment will be made, the Preliminary Purchase Price will be the Purchase Price [and the Holdback Amount will be released to Efinity]</w:t>
      </w:r>
    </w:p>
    <w:p>
      <w:pPr>
        <w:numPr>
          <w:ilvl w:val="0"/>
          <w:numId w:val="1002"/>
        </w:numPr>
        <w:pStyle w:val="Compact"/>
      </w:pPr>
      <w:r>
        <w:t xml:space="preserve">Efinity will have [15] Business Days from receipt of the Adjustment Statement to notify CEIS of any items it disputes, with reasons and its own calculation. If no notice is given in that period the Adjustment Statement will be final and binding. Any disputed items not resolved within [10] Business Days of such notice will be referred to an independent firm of accountants agreed by the parties (or, failing agreement, appointed by [the President of the Institute of Chartered Accountants in England and Wales] / [the Polish Chamber of Statutory Auditors]) acting as expert and not arbitrator, whose determination will be limited to the disputed items, within the range of the parties’ positions, and final and binding absent manifest error. The expert’s costs will be borne by the party whose calculation is furthest from the determination, or equally if the determination falls between them</w:t>
      </w:r>
    </w:p>
    <w:p>
      <w:pPr>
        <w:numPr>
          <w:ilvl w:val="0"/>
          <w:numId w:val="1002"/>
        </w:numPr>
        <w:pStyle w:val="Compact"/>
      </w:pPr>
      <w:r>
        <w:t xml:space="preserve">Any adjustment payment will be made within [10] Business Days of the Adjustment Statement becoming final and will be treated as an adjustment to the Purchase Price</w:t>
      </w:r>
    </w:p>
    <w:bookmarkEnd w:id="21"/>
    <w:bookmarkStart w:id="22" w:name="consequential-changes-elsewhere"/>
    <w:p>
      <w:pPr>
        <w:pStyle w:val="Heading3"/>
      </w:pPr>
      <w:r>
        <w:t xml:space="preserve">Consequential changes elsewhere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Change</w:t>
            </w:r>
          </w:p>
        </w:tc>
      </w:tr>
      <w:tr>
        <w:tc>
          <w:tcPr/>
          <w:p>
            <w:pPr>
              <w:pStyle w:val="Compact"/>
              <w:jc w:val="left"/>
            </w:pPr>
            <w:r>
              <w:t xml:space="preserve">Conditions to Completion, bullet 1</w:t>
            </w:r>
          </w:p>
        </w:tc>
        <w:tc>
          <w:tcPr/>
          <w:p>
            <w:pPr>
              <w:pStyle w:val="Compact"/>
              <w:jc w:val="left"/>
            </w:pPr>
            <w:r>
              <w:t xml:space="preserve">“</w:t>
            </w:r>
            <w:r>
              <w:t xml:space="preserve">delivery of the Company’s FY26 management accounts and agreement of the Preliminary Purchase Price in accordance with the mechanism above</w:t>
            </w:r>
            <w:r>
              <w:t xml:space="preserve">”</w:t>
            </w:r>
          </w:p>
        </w:tc>
      </w:tr>
      <w:tr>
        <w:tc>
          <w:tcPr/>
          <w:p>
            <w:pPr>
              <w:pStyle w:val="Compact"/>
              <w:jc w:val="left"/>
            </w:pPr>
            <w:r>
              <w:t xml:space="preserve">Timing</w:t>
            </w:r>
          </w:p>
        </w:tc>
        <w:tc>
          <w:tcPr/>
          <w:p>
            <w:pPr>
              <w:pStyle w:val="Compact"/>
              <w:jc w:val="left"/>
            </w:pPr>
            <w:r>
              <w:t xml:space="preserve">“</w:t>
            </w:r>
            <w:r>
              <w:t xml:space="preserve">Delivery of the Company’s FY26 management accounts: late January / early February 2027</w:t>
            </w:r>
            <w:r>
              <w:t xml:space="preserve">”</w:t>
            </w:r>
            <w:r>
              <w:t xml:space="preserve">;</w:t>
            </w:r>
            <w:r>
              <w:t xml:space="preserve"> </w:t>
            </w:r>
            <w:r>
              <w:t xml:space="preserve">“</w:t>
            </w:r>
            <w:r>
              <w:t xml:space="preserve">Agreement of Preliminary Purchase Price and signing of SPA: within 10 Business Days of delivery of the FY26 management accounts</w:t>
            </w:r>
            <w:r>
              <w:t xml:space="preserve">”</w:t>
            </w:r>
            <w:r>
              <w:t xml:space="preserve">; add</w:t>
            </w:r>
            <w:r>
              <w:t xml:space="preserve"> </w:t>
            </w:r>
            <w:r>
              <w:t xml:space="preserve">“</w:t>
            </w:r>
            <w:r>
              <w:t xml:space="preserve">Audited FY26 financial statements and Adjustment Statement: [Q2 2027]</w:t>
            </w:r>
            <w:r>
              <w:t xml:space="preserve">”</w:t>
            </w:r>
            <w:r>
              <w:t xml:space="preserve">; add</w:t>
            </w:r>
            <w:r>
              <w:t xml:space="preserve"> </w:t>
            </w:r>
            <w:r>
              <w:t xml:space="preserve">“</w:t>
            </w:r>
            <w:r>
              <w:t xml:space="preserve">Adjustment payment (if any): within [10] Business Days of the Adjustment Statement becoming final</w:t>
            </w:r>
            <w:r>
              <w:t xml:space="preserve">”</w:t>
            </w:r>
          </w:p>
        </w:tc>
      </w:tr>
      <w:tr>
        <w:tc>
          <w:tcPr/>
          <w:p>
            <w:pPr>
              <w:pStyle w:val="Compact"/>
              <w:jc w:val="left"/>
            </w:pPr>
            <w:r>
              <w:t xml:space="preserve">Warranties</w:t>
            </w:r>
          </w:p>
        </w:tc>
        <w:tc>
          <w:tcPr/>
          <w:p>
            <w:pPr>
              <w:pStyle w:val="Compact"/>
              <w:jc w:val="left"/>
            </w:pPr>
            <w:r>
              <w:t xml:space="preserve">No change. The adjustment is a price mechanic, not a warranty, so it sits comfortably with the</w:t>
            </w:r>
            <w:r>
              <w:t xml:space="preserve"> </w:t>
            </w:r>
            <w:r>
              <w:t xml:space="preserve">“</w:t>
            </w:r>
            <w:r>
              <w:t xml:space="preserve">title and capacity only</w:t>
            </w:r>
            <w:r>
              <w:t xml:space="preserve">”</w:t>
            </w:r>
            <w:r>
              <w:t xml:space="preserve"> </w:t>
            </w:r>
            <w:r>
              <w:t xml:space="preserve">position</w:t>
            </w:r>
          </w:p>
        </w:tc>
      </w:tr>
      <w:tr>
        <w:tc>
          <w:tcPr/>
          <w:p>
            <w:pPr>
              <w:pStyle w:val="Compact"/>
              <w:jc w:val="left"/>
            </w:pPr>
            <w:r>
              <w:t xml:space="preserve">Documentation</w:t>
            </w:r>
          </w:p>
        </w:tc>
        <w:tc>
          <w:tcPr/>
          <w:p>
            <w:pPr>
              <w:pStyle w:val="Compact"/>
              <w:jc w:val="left"/>
            </w:pPr>
            <w:r>
              <w:t xml:space="preserve">Add</w:t>
            </w:r>
            <w:r>
              <w:t xml:space="preserve"> </w:t>
            </w:r>
            <w:r>
              <w:t xml:space="preserve">“</w:t>
            </w:r>
            <w:r>
              <w:t xml:space="preserve">including the post-completion adjustment mechanism</w:t>
            </w:r>
            <w:r>
              <w:t xml:space="preserve">”</w:t>
            </w:r>
            <w:r>
              <w:t xml:space="preserve"> </w:t>
            </w:r>
            <w:r>
              <w:t xml:space="preserve">after</w:t>
            </w:r>
            <w:r>
              <w:t xml:space="preserve"> </w:t>
            </w:r>
            <w:r>
              <w:t xml:space="preserve">“</w:t>
            </w:r>
            <w:r>
              <w:t xml:space="preserve">short form share purchase agreement</w:t>
            </w:r>
            <w:r>
              <w:t xml:space="preserve">”</w:t>
            </w:r>
          </w:p>
        </w:tc>
      </w:tr>
      <w:tr>
        <w:tc>
          <w:tcPr/>
          <w:p>
            <w:pPr>
              <w:pStyle w:val="Compact"/>
              <w:jc w:val="left"/>
            </w:pPr>
            <w:r>
              <w:t xml:space="preserve">Exclusivity</w:t>
            </w:r>
          </w:p>
        </w:tc>
        <w:tc>
          <w:tcPr/>
          <w:p>
            <w:pPr>
              <w:pStyle w:val="Compact"/>
              <w:jc w:val="left"/>
            </w:pPr>
            <w:r>
              <w:t xml:space="preserve">No change, but note the adjustment process will run past 31 March 2027. Exclusivity ends at completion in any case</w:t>
            </w:r>
          </w:p>
        </w:tc>
      </w:tr>
    </w:tbl>
    <w:bookmarkEnd w:id="22"/>
    <w:bookmarkEnd w:id="23"/>
    <w:bookmarkStart w:id="29" w:name="X33345e32f3713b28809e240d0855fed68cde983"/>
    <w:p>
      <w:pPr>
        <w:pStyle w:val="Heading2"/>
      </w:pPr>
      <w:r>
        <w:t xml:space="preserve">B. Post-departure restrictions on a shareholder leaving the cap table</w:t>
      </w:r>
    </w:p>
    <w:bookmarkStart w:id="24" w:name="short-answer"/>
    <w:p>
      <w:pPr>
        <w:pStyle w:val="Heading3"/>
      </w:pPr>
      <w:r>
        <w:t xml:space="preserve">Short answer</w:t>
      </w:r>
    </w:p>
    <w:p>
      <w:pPr>
        <w:pStyle w:val="FirstParagraph"/>
      </w:pPr>
      <w:r>
        <w:t xml:space="preserve">Yes. Efinity is already bound by two separate non-competes, and one of them survives the sale automatically under the SHA. Nothing needs to be added to the term sheet to create a restriction. What the term sheet should do is acknowledge the surviving restriction so Efinity is not surprised at SPA stage, and confirm that it is not being released as part of the sale.</w:t>
      </w:r>
    </w:p>
    <w:bookmarkEnd w:id="24"/>
    <w:bookmarkStart w:id="25" w:name="X1e87c50e41b3bf473fcb00bf6ae16da7c5f3df0"/>
    <w:p>
      <w:pPr>
        <w:pStyle w:val="Heading3"/>
      </w:pPr>
      <w:r>
        <w:t xml:space="preserve">1. SHA clause 19 (Restrictive Covenants) binds Efinity and survives its exit</w:t>
      </w:r>
    </w:p>
    <w:p>
      <w:pPr>
        <w:numPr>
          <w:ilvl w:val="0"/>
          <w:numId w:val="1003"/>
        </w:numPr>
        <w:pStyle w:val="Compact"/>
      </w:pPr>
      <w:r>
        <w:t xml:space="preserve">Efinity is a</w:t>
      </w:r>
      <w:r>
        <w:t xml:space="preserve"> </w:t>
      </w:r>
      <w:r>
        <w:t xml:space="preserve">“</w:t>
      </w:r>
      <w:r>
        <w:t xml:space="preserve">Strip Manager</w:t>
      </w:r>
      <w:r>
        <w:t xml:space="preserve">”</w:t>
      </w:r>
      <w:r>
        <w:t xml:space="preserve"> </w:t>
      </w:r>
      <w:r>
        <w:t xml:space="preserve">(Schedule 2 Part B, Corporate Strip Managers, UBO Maciej Bud-Gusaim) and therefore a</w:t>
      </w:r>
      <w:r>
        <w:t xml:space="preserve"> </w:t>
      </w:r>
      <w:r>
        <w:t xml:space="preserve">“</w:t>
      </w:r>
      <w:r>
        <w:t xml:space="preserve">Manager</w:t>
      </w:r>
      <w:r>
        <w:t xml:space="preserve">”</w:t>
      </w:r>
      <w:r>
        <w:t xml:space="preserve"> </w:t>
      </w:r>
      <w:r>
        <w:t xml:space="preserve">under the SHA.</w:t>
      </w:r>
    </w:p>
    <w:p>
      <w:pPr>
        <w:numPr>
          <w:ilvl w:val="0"/>
          <w:numId w:val="1003"/>
        </w:numPr>
        <w:pStyle w:val="Compact"/>
      </w:pPr>
      <w:r>
        <w:t xml:space="preserve">Clause 19.1 and 19.2 impose on each Manager a non-compete, non-solicit of customers, non-solicit of Senior Managers, non-interference and confidentiality obligations in respect of the Restricted Business (insurance intermediation, reinsurance, brokerage and agency, and any other Group business carried on after 28 March 2024) in the Restricted Territory (Poland and anywhere else the Group operates or plans to; worldwide for reinsurance).</w:t>
      </w:r>
    </w:p>
    <w:p>
      <w:pPr>
        <w:numPr>
          <w:ilvl w:val="0"/>
          <w:numId w:val="1003"/>
        </w:numPr>
        <w:pStyle w:val="Compact"/>
      </w:pPr>
      <w:r>
        <w:t xml:space="preserve">“</w:t>
      </w:r>
      <w:r>
        <w:t xml:space="preserve">Restricted Period</w:t>
      </w:r>
      <w:r>
        <w:t xml:space="preserve">”</w:t>
      </w:r>
      <w:r>
        <w:t xml:space="preserve"> </w:t>
      </w:r>
      <w:r>
        <w:t xml:space="preserve">for a Strip Manager is the earlier of (i) 24 months after the Strip Manager</w:t>
      </w:r>
      <w:r>
        <w:t xml:space="preserve"> </w:t>
      </w:r>
      <w:r>
        <w:t xml:space="preserve">“</w:t>
      </w:r>
      <w:r>
        <w:t xml:space="preserve">ceases to hold any Securities</w:t>
      </w:r>
      <w:r>
        <w:t xml:space="preserve">”</w:t>
      </w:r>
      <w:r>
        <w:t xml:space="preserve"> </w:t>
      </w:r>
      <w:r>
        <w:t xml:space="preserve">and (ii) 60 months from the MJM Completion Date or that Strip Manager’s deed of adherence. For Efinity, which adhered on or around the Leadenhall completion on 31 October 2024, the 60-month cap runs to October 2029. A Q1 2027 completion of the secondary therefore gives a non-compete running to approximately Q1 2029.</w:t>
      </w:r>
    </w:p>
    <w:p>
      <w:pPr>
        <w:numPr>
          <w:ilvl w:val="0"/>
          <w:numId w:val="1003"/>
        </w:numPr>
        <w:pStyle w:val="Compact"/>
      </w:pPr>
      <w:r>
        <w:t xml:space="preserve">Clause 30.2 is explicit: when a Manager ceases to hold any shares in the Company or the Strip Vehicle, it ceases to have rights or obligations under the SHA</w:t>
      </w:r>
      <w:r>
        <w:t xml:space="preserve"> </w:t>
      </w:r>
      <w:r>
        <w:t xml:space="preserve">“</w:t>
      </w:r>
      <w:r>
        <w:t xml:space="preserve">except that the Surviving Clauses and clause 19 (Restrictive Covenants) shall continue to bind them in accordance with their terms</w:t>
      </w:r>
      <w:r>
        <w:t xml:space="preserve">”</w:t>
      </w:r>
      <w:r>
        <w:t xml:space="preserve">. Clause 19.8 says the same from the other side.</w:t>
      </w:r>
    </w:p>
    <w:p>
      <w:pPr>
        <w:numPr>
          <w:ilvl w:val="0"/>
          <w:numId w:val="1003"/>
        </w:numPr>
        <w:pStyle w:val="Compact"/>
      </w:pPr>
      <w:r>
        <w:t xml:space="preserve">The restriction binds Efinity as a corporate. Under clause 22.10.8 Efinity’s Affiliates are defined as Maciej Bud-Gusaim, Marcin Chałotowski, Jakub Bednarski and Markos Kologeras and their Related Holders. Clause 19 itself is drafted for individuals (</w:t>
      </w:r>
      <w:r>
        <w:t xml:space="preserve">“</w:t>
      </w:r>
      <w:r>
        <w:t xml:space="preserve">his/her</w:t>
      </w:r>
      <w:r>
        <w:t xml:space="preserve">”</w:t>
      </w:r>
      <w:r>
        <w:t xml:space="preserve">,</w:t>
      </w:r>
      <w:r>
        <w:t xml:space="preserve"> </w:t>
      </w:r>
      <w:r>
        <w:t xml:space="preserve">“</w:t>
      </w:r>
      <w:r>
        <w:t xml:space="preserve">employment contract</w:t>
      </w:r>
      <w:r>
        <w:t xml:space="preserve">”</w:t>
      </w:r>
      <w:r>
        <w:t xml:space="preserve">,</w:t>
      </w:r>
      <w:r>
        <w:t xml:space="preserve"> </w:t>
      </w:r>
      <w:r>
        <w:t xml:space="preserve">“</w:t>
      </w:r>
      <w:r>
        <w:t xml:space="preserve">sit on any governing body</w:t>
      </w:r>
      <w:r>
        <w:t xml:space="preserve">”</w:t>
      </w:r>
      <w:r>
        <w:t xml:space="preserve">) and does not expressly procure compliance by Efinity’s shareholders, so its reach to the individuals behind Efinity is weaker than the SPA covenant described below. The individuals are separately parties to the SHA in their own right if they hold Securities directly (clause 22.7.4 lists them alongside Efinity), which counsel should confirm.</w:t>
      </w:r>
    </w:p>
    <w:p>
      <w:pPr>
        <w:numPr>
          <w:ilvl w:val="0"/>
          <w:numId w:val="1003"/>
        </w:numPr>
        <w:pStyle w:val="Compact"/>
      </w:pPr>
      <w:r>
        <w:t xml:space="preserve">There is no separate</w:t>
      </w:r>
      <w:r>
        <w:t xml:space="preserve"> </w:t>
      </w:r>
      <w:r>
        <w:t xml:space="preserve">“</w:t>
      </w:r>
      <w:r>
        <w:t xml:space="preserve">Non-Compete Agreement</w:t>
      </w:r>
      <w:r>
        <w:t xml:space="preserve">”</w:t>
      </w:r>
      <w:r>
        <w:t xml:space="preserve"> </w:t>
      </w:r>
      <w:r>
        <w:t xml:space="preserve">for a Strip Manager; that concept applies to non-Strip Managers only (Restricted Period limb (w)).</w:t>
      </w:r>
    </w:p>
    <w:bookmarkEnd w:id="25"/>
    <w:bookmarkStart w:id="26" w:name="Xfb80c14adc0d49ea3d574844c022349d3e5be3a"/>
    <w:p>
      <w:pPr>
        <w:pStyle w:val="Heading3"/>
      </w:pPr>
      <w:r>
        <w:t xml:space="preserve">2. Livigno SPA clause 11 (Non-Compete Clause) is a separate covenant that is about to expire</w:t>
      </w:r>
    </w:p>
    <w:p>
      <w:pPr>
        <w:numPr>
          <w:ilvl w:val="0"/>
          <w:numId w:val="1004"/>
        </w:numPr>
        <w:pStyle w:val="Compact"/>
      </w:pPr>
      <w:r>
        <w:t xml:space="preserve">Seller 1 under the Livigno SPA is Efinity. Clause 11.1 requires Seller 1, its Affiliates and each of Maciej Bud-Gusaim, Marcin Chałotowski and Jakub Bednarski not to hold any interest in, provide services to, finance, sit on the board of, or solicit customers or Key Employees of, any Restricted Business in the Restricted Territory (Poland, the Czech Republic, Latvia, Germany and other EU countries).</w:t>
      </w:r>
    </w:p>
    <w:p>
      <w:pPr>
        <w:numPr>
          <w:ilvl w:val="0"/>
          <w:numId w:val="1004"/>
        </w:numPr>
        <w:pStyle w:val="Compact"/>
      </w:pPr>
      <w:r>
        <w:t xml:space="preserve">Restricted Period is 24 months from the Livigno Completion Date (31 October 2024), so it expires on or about 31 October 2026, i.e. now, well before the secondary completes. Breach carries a PLN 8,000,000 guarantee payment per breach (clause 11.5).</w:t>
      </w:r>
    </w:p>
    <w:p>
      <w:pPr>
        <w:numPr>
          <w:ilvl w:val="0"/>
          <w:numId w:val="1004"/>
        </w:numPr>
        <w:pStyle w:val="Compact"/>
      </w:pPr>
      <w:r>
        <w:t xml:space="preserve">This SPA covenant is a Leadenhall acquisition protection and is unaffected by the secondary. It does not need to be mentioned in the term sheet.</w:t>
      </w:r>
    </w:p>
    <w:bookmarkEnd w:id="26"/>
    <w:bookmarkStart w:id="27" w:name="what-this-means-for-the-term-sheet"/>
    <w:p>
      <w:pPr>
        <w:pStyle w:val="Heading3"/>
      </w:pPr>
      <w:r>
        <w:t xml:space="preserve">3. What this means for the term sheet</w:t>
      </w:r>
    </w:p>
    <w:p>
      <w:pPr>
        <w:numPr>
          <w:ilvl w:val="0"/>
          <w:numId w:val="1005"/>
        </w:numPr>
        <w:pStyle w:val="Compact"/>
      </w:pPr>
      <w:r>
        <w:t xml:space="preserve">No new restrictive covenant is needed. SHA clause 19 already does the work and survives Efinity’s exit by operation of clause 30.2.</w:t>
      </w:r>
    </w:p>
    <w:p>
      <w:pPr>
        <w:numPr>
          <w:ilvl w:val="0"/>
          <w:numId w:val="1005"/>
        </w:numPr>
        <w:pStyle w:val="Compact"/>
      </w:pPr>
      <w:r>
        <w:t xml:space="preserve">Do not inadvertently release it. The term sheet’s Documentation section refers to</w:t>
      </w:r>
      <w:r>
        <w:t xml:space="preserve"> </w:t>
      </w:r>
      <w:r>
        <w:t xml:space="preserve">“</w:t>
      </w:r>
      <w:r>
        <w:t xml:space="preserve">the required SHA consents, waivers and/or deed of adherence</w:t>
      </w:r>
      <w:r>
        <w:t xml:space="preserve">”</w:t>
      </w:r>
      <w:r>
        <w:t xml:space="preserve">. A waiver of the kind Efinity might ask for (</w:t>
      </w:r>
      <w:r>
        <w:t xml:space="preserve">“</w:t>
      </w:r>
      <w:r>
        <w:t xml:space="preserve">release of Efinity from the SHA on completion</w:t>
      </w:r>
      <w:r>
        <w:t xml:space="preserve">”</w:t>
      </w:r>
      <w:r>
        <w:t xml:space="preserve">) should be limited so that clause 19 and the Surviving Clauses are preserved. The SPA should contain an express acknowledgement to that effect.</w:t>
      </w:r>
    </w:p>
    <w:p>
      <w:pPr>
        <w:numPr>
          <w:ilvl w:val="0"/>
          <w:numId w:val="1005"/>
        </w:numPr>
        <w:pStyle w:val="Compact"/>
      </w:pPr>
      <w:r>
        <w:t xml:space="preserve">If Corsair wants a cleaner or longer restriction on the individuals behind Efinity, that would be a new commercial term in the SPA, not something clause 19 gives today. It is worth raising with S&amp;M whether the individuals are already bound through their own direct holdings.</w:t>
      </w:r>
    </w:p>
    <w:bookmarkEnd w:id="27"/>
    <w:bookmarkStart w:id="28" w:name="suggested-term-sheet-addition"/>
    <w:p>
      <w:pPr>
        <w:pStyle w:val="Heading3"/>
      </w:pPr>
      <w:r>
        <w:t xml:space="preserve">Suggested term sheet addition</w:t>
      </w:r>
    </w:p>
    <w:p>
      <w:pPr>
        <w:pStyle w:val="FirstParagraph"/>
      </w:pPr>
      <w:r>
        <w:t xml:space="preserve">Add to the Rights Attaching to the Sale Shares section (or a new</w:t>
      </w:r>
      <w:r>
        <w:t xml:space="preserve"> </w:t>
      </w:r>
      <w:r>
        <w:t xml:space="preserve">“</w:t>
      </w:r>
      <w:r>
        <w:t xml:space="preserve">SHA Position Following Completion</w:t>
      </w:r>
      <w:r>
        <w:t xml:space="preserve">”</w:t>
      </w:r>
      <w:r>
        <w:t xml:space="preserve"> </w:t>
      </w:r>
      <w:r>
        <w:t xml:space="preserve">row):</w:t>
      </w:r>
    </w:p>
    <w:p>
      <w:pPr>
        <w:numPr>
          <w:ilvl w:val="0"/>
          <w:numId w:val="1006"/>
        </w:numPr>
        <w:pStyle w:val="Compact"/>
      </w:pPr>
      <w:r>
        <w:t xml:space="preserve">On completion Efinity will cease to be a party to the SHA in accordance with clause 30.2 of the SHA. For the avoidance of doubt, the restrictive covenants in clause 19 of the SHA and the Surviving Clauses (as defined in the SHA) will continue to bind Efinity in accordance with their terms, and nothing in the Proposed Transaction or the transaction documents will waive or release those obligations</w:t>
      </w:r>
    </w:p>
    <w:bookmarkEnd w:id="28"/>
    <w:bookmarkEnd w:id="29"/>
    <w:bookmarkStart w:id="30" w:name="X409b94383f8470b096681b517ba0e2045a8600a"/>
    <w:p>
      <w:pPr>
        <w:pStyle w:val="Heading2"/>
      </w:pPr>
      <w:r>
        <w:t xml:space="preserve">C. Drafting defects in v20261029_1445 to fix before circulating</w:t>
      </w:r>
    </w:p>
    <w:p>
      <w:pPr>
        <w:pStyle w:val="FirstParagraph"/>
      </w:pPr>
      <w:r>
        <w:t xml:space="preserve">A find-and-replace appears to have deleted the words</w:t>
      </w:r>
      <w:r>
        <w:t xml:space="preserve"> </w:t>
      </w:r>
      <w:r>
        <w:t xml:space="preserve">“</w:t>
      </w:r>
      <w:r>
        <w:t xml:space="preserve">management accounts</w:t>
      </w:r>
      <w:r>
        <w:t xml:space="preserve">”</w:t>
      </w:r>
      <w:r>
        <w:t xml:space="preserve"> </w:t>
      </w:r>
      <w:r>
        <w:t xml:space="preserve">without replacing them, leaving five broken sentences. These should be fixed in the course of inserting the wording in section A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As drafted</w:t>
            </w:r>
          </w:p>
        </w:tc>
        <w:tc>
          <w:tcPr/>
          <w:p>
            <w:pPr>
              <w:pStyle w:val="Compact"/>
              <w:jc w:val="left"/>
            </w:pPr>
            <w:r>
              <w:t xml:space="preserve">Fix</w:t>
            </w:r>
          </w:p>
        </w:tc>
      </w:tr>
      <w:tr>
        <w:tc>
          <w:tcPr/>
          <w:p>
            <w:pPr>
              <w:pStyle w:val="Compact"/>
              <w:jc w:val="left"/>
            </w:pPr>
            <w:r>
              <w:t xml:space="preserve">Valuation, bullet 2</w:t>
            </w:r>
          </w:p>
        </w:tc>
        <w:tc>
          <w:tcPr/>
          <w:p>
            <w:pPr>
              <w:pStyle w:val="Compact"/>
              <w:jc w:val="left"/>
            </w:pPr>
            <w:r>
              <w:t xml:space="preserve">“</w:t>
            </w:r>
            <w:r>
              <w:t xml:space="preserve">as shown in the Company’s FY26</w:t>
            </w:r>
            <w:r>
              <w:t xml:space="preserve">”</w:t>
            </w:r>
          </w:p>
        </w:tc>
        <w:tc>
          <w:tcPr/>
          <w:p>
            <w:pPr>
              <w:pStyle w:val="Compact"/>
              <w:jc w:val="left"/>
            </w:pPr>
            <w:r>
              <w:t xml:space="preserve">“</w:t>
            </w:r>
            <w:r>
              <w:t xml:space="preserve">FY26 management accounts</w:t>
            </w:r>
            <w:r>
              <w:t xml:space="preserve">”</w:t>
            </w:r>
            <w:r>
              <w:t xml:space="preserve"> </w:t>
            </w:r>
            <w:r>
              <w:t xml:space="preserve">(superseded by the new definitions in section A)</w:t>
            </w:r>
          </w:p>
        </w:tc>
      </w:tr>
      <w:tr>
        <w:tc>
          <w:tcPr/>
          <w:p>
            <w:pPr>
              <w:pStyle w:val="Compact"/>
              <w:jc w:val="left"/>
            </w:pPr>
            <w:r>
              <w:t xml:space="preserve">Valuation, bullet 4</w:t>
            </w:r>
          </w:p>
        </w:tc>
        <w:tc>
          <w:tcPr/>
          <w:p>
            <w:pPr>
              <w:pStyle w:val="Compact"/>
              <w:jc w:val="left"/>
            </w:pPr>
            <w:r>
              <w:t xml:space="preserve">“</w:t>
            </w:r>
            <w:r>
              <w:t xml:space="preserve">The FY26A of the Company are expected to be available</w:t>
            </w:r>
            <w:r>
              <w:t xml:space="preserve">”</w:t>
            </w:r>
          </w:p>
        </w:tc>
        <w:tc>
          <w:tcPr/>
          <w:p>
            <w:pPr>
              <w:pStyle w:val="Compact"/>
              <w:jc w:val="left"/>
            </w:pPr>
            <w:r>
              <w:t xml:space="preserve">superseded by section A</w:t>
            </w:r>
          </w:p>
        </w:tc>
      </w:tr>
      <w:tr>
        <w:tc>
          <w:tcPr/>
          <w:p>
            <w:pPr>
              <w:pStyle w:val="Compact"/>
              <w:jc w:val="left"/>
            </w:pPr>
            <w:r>
              <w:t xml:space="preserve">Valuation, bullet 5</w:t>
            </w:r>
          </w:p>
        </w:tc>
        <w:tc>
          <w:tcPr/>
          <w:p>
            <w:pPr>
              <w:pStyle w:val="Compact"/>
              <w:jc w:val="left"/>
            </w:pPr>
            <w:r>
              <w:t xml:space="preserve">“</w:t>
            </w:r>
            <w:r>
              <w:t xml:space="preserve">The Purchase Price is fixed once the FY26A have been delivered</w:t>
            </w:r>
            <w:r>
              <w:t xml:space="preserve">”</w:t>
            </w:r>
          </w:p>
        </w:tc>
        <w:tc>
          <w:tcPr/>
          <w:p>
            <w:pPr>
              <w:pStyle w:val="Compact"/>
              <w:jc w:val="left"/>
            </w:pPr>
            <w:r>
              <w:t xml:space="preserve">superseded by section A</w:t>
            </w:r>
          </w:p>
        </w:tc>
      </w:tr>
      <w:tr>
        <w:tc>
          <w:tcPr/>
          <w:p>
            <w:pPr>
              <w:pStyle w:val="Compact"/>
              <w:jc w:val="left"/>
            </w:pPr>
            <w:r>
              <w:t xml:space="preserve">Timing, bullet 2</w:t>
            </w:r>
          </w:p>
        </w:tc>
        <w:tc>
          <w:tcPr/>
          <w:p>
            <w:pPr>
              <w:pStyle w:val="Compact"/>
              <w:jc w:val="left"/>
            </w:pPr>
            <w:r>
              <w:t xml:space="preserve">“</w:t>
            </w:r>
            <w:r>
              <w:t xml:space="preserve">Delivery of the Company’s FY26A :</w:t>
            </w:r>
            <w:r>
              <w:t xml:space="preserve">”</w:t>
            </w:r>
          </w:p>
        </w:tc>
        <w:tc>
          <w:tcPr/>
          <w:p>
            <w:pPr>
              <w:pStyle w:val="Compact"/>
              <w:jc w:val="left"/>
            </w:pPr>
            <w:r>
              <w:t xml:space="preserve">“</w:t>
            </w:r>
            <w:r>
              <w:t xml:space="preserve">Delivery of the Company’s FY26 management accounts:</w:t>
            </w:r>
            <w:r>
              <w:t xml:space="preserve">”</w:t>
            </w:r>
          </w:p>
        </w:tc>
      </w:tr>
      <w:tr>
        <w:tc>
          <w:tcPr/>
          <w:p>
            <w:pPr>
              <w:pStyle w:val="Compact"/>
              <w:jc w:val="left"/>
            </w:pPr>
            <w:r>
              <w:t xml:space="preserve">Timing, bullet 3</w:t>
            </w:r>
          </w:p>
        </w:tc>
        <w:tc>
          <w:tcPr/>
          <w:p>
            <w:pPr>
              <w:pStyle w:val="Compact"/>
              <w:jc w:val="left"/>
            </w:pPr>
            <w:r>
              <w:t xml:space="preserve">“</w:t>
            </w:r>
            <w:r>
              <w:t xml:space="preserve">within 10 Business Days of delivery of the FY26A</w:t>
            </w:r>
            <w:r>
              <w:t xml:space="preserve">”</w:t>
            </w:r>
          </w:p>
        </w:tc>
        <w:tc>
          <w:tcPr/>
          <w:p>
            <w:pPr>
              <w:pStyle w:val="Compact"/>
              <w:jc w:val="left"/>
            </w:pPr>
            <w:r>
              <w:t xml:space="preserve">“</w:t>
            </w:r>
            <w:r>
              <w:t xml:space="preserve">… of the FY26 management accounts</w:t>
            </w:r>
            <w:r>
              <w:t xml:space="preserve">”</w:t>
            </w:r>
          </w:p>
        </w:tc>
      </w:tr>
      <w:tr>
        <w:tc>
          <w:tcPr/>
          <w:p>
            <w:pPr>
              <w:pStyle w:val="Compact"/>
              <w:jc w:val="left"/>
            </w:pPr>
            <w:r>
              <w:t xml:space="preserve">Conditions, bullet 1</w:t>
            </w:r>
          </w:p>
        </w:tc>
        <w:tc>
          <w:tcPr/>
          <w:p>
            <w:pPr>
              <w:pStyle w:val="Compact"/>
              <w:jc w:val="left"/>
            </w:pPr>
            <w:r>
              <w:t xml:space="preserve">“</w:t>
            </w:r>
            <w:r>
              <w:t xml:space="preserve">FY26A financial statements</w:t>
            </w:r>
            <w:r>
              <w:t xml:space="preserve">”</w:t>
            </w:r>
          </w:p>
        </w:tc>
        <w:tc>
          <w:tcPr/>
          <w:p>
            <w:pPr>
              <w:pStyle w:val="Compact"/>
              <w:jc w:val="left"/>
            </w:pPr>
            <w:r>
              <w:t xml:space="preserve">“</w:t>
            </w:r>
            <w:r>
              <w:t xml:space="preserve">FY26 management accounts</w:t>
            </w:r>
            <w:r>
              <w:t xml:space="preserve">”</w:t>
            </w:r>
            <w:r>
              <w:t xml:space="preserve"> </w:t>
            </w:r>
            <w:r>
              <w:t xml:space="preserve">(now consistent with the preliminary price being struck on management accounts)</w:t>
            </w:r>
          </w:p>
        </w:tc>
      </w:tr>
      <w:tr>
        <w:tc>
          <w:tcPr/>
          <w:p>
            <w:pPr>
              <w:pStyle w:val="Compact"/>
              <w:jc w:val="left"/>
            </w:pPr>
            <w:r>
              <w:t xml:space="preserve">Table</w:t>
            </w:r>
          </w:p>
        </w:tc>
        <w:tc>
          <w:tcPr/>
          <w:p>
            <w:pPr>
              <w:pStyle w:val="Compact"/>
              <w:jc w:val="left"/>
            </w:pPr>
            <w:r>
              <w:t xml:space="preserve">Empty row between Exclusivity and Timing</w:t>
            </w:r>
          </w:p>
        </w:tc>
        <w:tc>
          <w:tcPr/>
          <w:p>
            <w:pPr>
              <w:pStyle w:val="Compact"/>
              <w:jc w:val="left"/>
            </w:pPr>
            <w:r>
              <w:t xml:space="preserve">Delete</w:t>
            </w:r>
          </w:p>
        </w:tc>
      </w:tr>
      <w:tr>
        <w:tc>
          <w:tcPr/>
          <w:p>
            <w:pPr>
              <w:pStyle w:val="Compact"/>
              <w:jc w:val="left"/>
            </w:pPr>
            <w:r>
              <w:t xml:space="preserve">Opening paragraph and signature page</w:t>
            </w:r>
          </w:p>
        </w:tc>
        <w:tc>
          <w:tcPr/>
          <w:p>
            <w:pPr>
              <w:pStyle w:val="Compact"/>
              <w:jc w:val="left"/>
            </w:pPr>
            <w:r>
              <w:t xml:space="preserve">“</w:t>
            </w:r>
            <w:r>
              <w:t xml:space="preserve">Ackyjna</w:t>
            </w:r>
            <w:r>
              <w:t xml:space="preserve">”</w:t>
            </w:r>
            <w:r>
              <w:t xml:space="preserve"> </w:t>
            </w:r>
            <w:r>
              <w:t xml:space="preserve">/</w:t>
            </w:r>
            <w:r>
              <w:t xml:space="preserve"> </w:t>
            </w:r>
            <w:r>
              <w:t xml:space="preserve">“</w:t>
            </w:r>
            <w:r>
              <w:t xml:space="preserve">ACKYJNA</w:t>
            </w:r>
            <w:r>
              <w:t xml:space="preserve">”</w:t>
            </w:r>
          </w:p>
        </w:tc>
        <w:tc>
          <w:tcPr/>
          <w:p>
            <w:pPr>
              <w:pStyle w:val="Compact"/>
              <w:jc w:val="left"/>
            </w:pPr>
            <w:r>
              <w:t xml:space="preserve">“</w:t>
            </w:r>
            <w:r>
              <w:t xml:space="preserve">Akcyjna</w:t>
            </w:r>
            <w:r>
              <w:t xml:space="preserve">”</w:t>
            </w:r>
            <w:r>
              <w:t xml:space="preserve"> </w:t>
            </w:r>
            <w:r>
              <w:t xml:space="preserve">/</w:t>
            </w:r>
            <w:r>
              <w:t xml:space="preserve"> </w:t>
            </w:r>
            <w:r>
              <w:t xml:space="preserve">“</w:t>
            </w:r>
            <w:r>
              <w:t xml:space="preserve">AKCYJNA</w:t>
            </w:r>
            <w:r>
              <w:t xml:space="preserve">”</w:t>
            </w:r>
            <w:r>
              <w:t xml:space="preserve"> </w:t>
            </w:r>
            <w:r>
              <w:t xml:space="preserve">(still outstanding from the earlier reviews)</w:t>
            </w:r>
          </w:p>
        </w:tc>
      </w:tr>
      <w:tr>
        <w:tc>
          <w:tcPr/>
          <w:p>
            <w:pPr>
              <w:pStyle w:val="Compact"/>
              <w:jc w:val="left"/>
            </w:pPr>
            <w:r>
              <w:t xml:space="preserve">Sale Shares, Conditions</w:t>
            </w:r>
          </w:p>
        </w:tc>
        <w:tc>
          <w:tcPr/>
          <w:p>
            <w:pPr>
              <w:pStyle w:val="Compact"/>
              <w:jc w:val="left"/>
            </w:pPr>
            <w:r>
              <w:t xml:space="preserve">Double spaces after</w:t>
            </w:r>
            <w:r>
              <w:t xml:space="preserve"> </w:t>
            </w:r>
            <w:r>
              <w:t xml:space="preserve">“</w:t>
            </w:r>
            <w:r>
              <w:t xml:space="preserve">represent:</w:t>
            </w:r>
            <w:r>
              <w:t xml:space="preserve">”</w:t>
            </w:r>
            <w:r>
              <w:t xml:space="preserve"> </w:t>
            </w:r>
            <w:r>
              <w:t xml:space="preserve">and</w:t>
            </w:r>
            <w:r>
              <w:t xml:space="preserve"> </w:t>
            </w:r>
            <w:r>
              <w:t xml:space="preserve">“</w:t>
            </w:r>
            <w:r>
              <w:t xml:space="preserve">conditional on:</w:t>
            </w:r>
            <w:r>
              <w:t xml:space="preserve">”</w:t>
            </w:r>
          </w:p>
        </w:tc>
        <w:tc>
          <w:tcPr/>
          <w:p>
            <w:pPr>
              <w:pStyle w:val="Compact"/>
              <w:jc w:val="left"/>
            </w:pPr>
            <w:r>
              <w:t xml:space="preserve">Single space</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2026-10-29T15:02:44Z</dcterms:created>
  <dcterms:modified xsi:type="dcterms:W3CDTF">2026-10-29T15:02:44Z</dcterms:modified>
</cp:coreProperties>
</file>

<file path=docProps/custom.xml><?xml version="1.0" encoding="utf-8"?>
<Properties xmlns="http://schemas.openxmlformats.org/officeDocument/2006/custom-properties" xmlns:vt="http://schemas.openxmlformats.org/officeDocument/2006/docPropsVTypes"/>
</file>