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60" w:before="0"/>
        <w:jc w:val="center"/>
      </w:pPr>
      <w:r>
        <w:rPr>
          <w:rFonts w:ascii="Arial" w:cs="Arial" w:eastAsia="Arial" w:hAnsi="Arial"/>
          <w:b/>
          <w:bCs/>
          <w:color w:val="1A7A6E"/>
          <w:sz w:val="52"/>
          <w:szCs w:val="52"/>
        </w:rPr>
        <w:t xml:space="preserve">SOS TOILETTAGE</w:t>
      </w:r>
    </w:p>
    <w:p>
      <w:pPr>
        <w:spacing w:after="80" w:before="0"/>
        <w:jc w:val="center"/>
      </w:pPr>
      <w:r>
        <w:rPr>
          <w:rFonts w:ascii="Arial" w:cs="Arial" w:eastAsia="Arial" w:hAnsi="Arial"/>
          <w:color w:val="1A2B4A"/>
          <w:sz w:val="36"/>
          <w:szCs w:val="36"/>
        </w:rPr>
        <w:t xml:space="preserve">Stratégie de Tarification</w:t>
      </w:r>
    </w:p>
    <w:p>
      <w:pPr>
        <w:spacing w:after="80" w:before="0"/>
        <w:jc w:val="center"/>
      </w:pPr>
      <w:r>
        <w:rPr>
          <w:rFonts w:ascii="Arial" w:cs="Arial" w:eastAsia="Arial" w:hAnsi="Arial"/>
          <w:color w:val="C68B2F"/>
          <w:sz w:val="30"/>
          <w:szCs w:val="30"/>
        </w:rPr>
        <w:t xml:space="preserve">Marché Québécois</w:t>
      </w:r>
    </w:p>
    <w:p>
      <w:pPr>
        <w:pBdr>
          <w:bottom w:val="single" w:color="1A7A6E" w:sz="16" w:space="1"/>
        </w:pBdr>
        <w:spacing w:after="200" w:before="0"/>
      </w:pPr>
    </w:p>
    <w:p>
      <w:pPr>
        <w:spacing w:after="0" w:before="200"/>
      </w:pPr>
    </w:p>
    <w:p>
      <w:pPr>
        <w:spacing w:after="60" w:before="0"/>
        <w:jc w:val="center"/>
      </w:pPr>
      <w:r>
        <w:rPr>
          <w:rFonts w:ascii="Arial" w:cs="Arial" w:eastAsia="Arial" w:hAnsi="Arial"/>
          <w:i/>
          <w:iCs/>
          <w:color w:val="2D2D2D"/>
          <w:sz w:val="22"/>
          <w:szCs w:val="22"/>
        </w:rPr>
        <w:t xml:space="preserve">Pack Découverte  +  Abonnements Mensuels</w:t>
      </w:r>
    </w:p>
    <w:p>
      <w:pPr>
        <w:jc w:val="center"/>
      </w:pPr>
      <w:r>
        <w:rPr>
          <w:rFonts w:ascii="Arial" w:cs="Arial" w:eastAsia="Arial" w:hAnsi="Arial"/>
          <w:color w:val="888888"/>
          <w:sz w:val="20"/>
          <w:szCs w:val="20"/>
        </w:rPr>
        <w:t xml:space="preserve">Mars 2026  ·  Version 2.0  ·  Usage interne</w:t>
      </w:r>
    </w:p>
    <w:p>
      <w:pPr>
        <w:spacing w:after="800" w:before="0"/>
      </w:pPr>
    </w:p>
    <w:p>
      <w:r>
        <w:br w:type="page"/>
      </w:r>
    </w:p>
    <w:p>
      <w:pPr>
        <w:pStyle w:val="Heading1"/>
        <w:spacing w:after="120" w:before="360"/>
      </w:pPr>
      <w:r>
        <w:rPr>
          <w:rFonts w:ascii="Arial" w:cs="Arial" w:eastAsia="Arial" w:hAnsi="Arial"/>
          <w:b/>
          <w:bCs/>
          <w:color w:val="1A2B4A"/>
          <w:sz w:val="32"/>
          <w:szCs w:val="32"/>
        </w:rPr>
        <w:t xml:space="preserve">1. La Valeur d'un Crédit</w:t>
      </w:r>
    </w:p>
    <w:p>
      <w:pPr>
        <w:pBdr>
          <w:bottom w:val="single" w:color="1A7A6E" w:sz="8" w:space="1"/>
        </w:pBdr>
        <w:spacing w:after="200" w:before="0"/>
      </w:pPr>
    </w:p>
    <w:p>
      <w:pPr>
        <w:spacing w:after="80" w:before="60"/>
      </w:pPr>
      <w:r>
        <w:rPr>
          <w:rFonts w:ascii="Arial" w:cs="Arial" w:eastAsia="Arial" w:hAnsi="Arial"/>
          <w:color w:val="2D2D2D"/>
          <w:sz w:val="22"/>
          <w:szCs w:val="22"/>
        </w:rPr>
        <w:t xml:space="preserve">Avant de parler de prix, il faut ancrer la valeur. Chaque crédit publié sur SOS Toilettage protège un salon contre la perte de revenus causée par l'absence d'un toiletteur. C'est cette valeur protégée qui justifie notre positionnement premium.</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Scénario d'absence</w:t>
            </w:r>
          </w:p>
        </w:tc>
        <w:tc>
          <w:tcPr>
            <w:tcW w:type="dxa" w:w="278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Revenus perdus</w:t>
            </w:r>
          </w:p>
        </w:tc>
        <w:tc>
          <w:tcPr>
            <w:tcW w:type="dxa" w:w="278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Coût du crédit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Demi-journée (4 rendez-vous × 75 $)</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300 $ CA perdus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7A6E"/>
                <w:sz w:val="20"/>
                <w:szCs w:val="20"/>
              </w:rPr>
              <w:t xml:space="preserve">~7 $ à 10 $</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Journée normale (6 rendez-vous × 80 $)</w:t>
            </w:r>
          </w:p>
        </w:tc>
        <w:tc>
          <w:tcPr>
            <w:tcW w:type="dxa" w:w="2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480 $ CA perdus</w:t>
            </w:r>
          </w:p>
        </w:tc>
        <w:tc>
          <w:tcPr>
            <w:tcW w:type="dxa" w:w="2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bCs/>
                <w:color w:val="1A7A6E"/>
                <w:sz w:val="20"/>
                <w:szCs w:val="20"/>
              </w:rPr>
              <w:t xml:space="preserve">~7 $ à 10 $</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Journée pleine (8 rendez-vous × 90 $)</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720 $ CA perdus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7A6E"/>
                <w:sz w:val="20"/>
                <w:szCs w:val="20"/>
              </w:rPr>
              <w:t xml:space="preserve">~7 $ à 10 $</w:t>
            </w:r>
          </w:p>
        </w:tc>
      </w:tr>
    </w:tbl>
    <w:p>
      <w:pPr>
        <w:spacing w:after="40" w:before="80"/>
      </w:pPr>
    </w:p>
    <w:p>
      <w:pPr>
        <w:spacing w:after="80" w:before="60"/>
      </w:pPr>
      <w:r>
        <w:rPr>
          <w:rFonts w:ascii="Arial" w:cs="Arial" w:eastAsia="Arial" w:hAnsi="Arial"/>
          <w:b/>
          <w:bCs/>
          <w:color w:val="2D2D2D"/>
          <w:sz w:val="22"/>
          <w:szCs w:val="22"/>
        </w:rPr>
        <w:t xml:space="preserve">ROI pour le salon : </w:t>
      </w:r>
      <w:r>
        <w:rPr>
          <w:rFonts w:ascii="Arial" w:cs="Arial" w:eastAsia="Arial" w:hAnsi="Arial"/>
          <w:color w:val="2D2D2D"/>
          <w:sz w:val="22"/>
          <w:szCs w:val="22"/>
        </w:rPr>
        <w:t xml:space="preserve">un crédit à ~9 $ protège entre 300 $ et 720 $ de chiffre d'affaires. C'est un retour de 30× à 80×. Ce ratio soutient un positionnement premium sans friction.</w:t>
      </w:r>
    </w:p>
    <w:p>
      <w:pPr>
        <w:spacing w:after="40" w:before="60"/>
      </w:pPr>
    </w:p>
    <w:p>
      <w:pPr>
        <w:spacing w:after="80" w:before="60"/>
      </w:pPr>
      <w:r>
        <w:rPr>
          <w:rFonts w:ascii="Arial" w:cs="Arial" w:eastAsia="Arial" w:hAnsi="Arial"/>
          <w:color w:val="2D2D2D"/>
          <w:sz w:val="22"/>
          <w:szCs w:val="22"/>
        </w:rPr>
        <w:t xml:space="preserve">Ce positionnement nous différencie clairement des plateformes génériques (Indeed, LinkedIn) qui ne sont pas conçues pour le remplacement urgent et spécialisé.</w:t>
      </w:r>
    </w:p>
    <w:p>
      <w:pPr>
        <w:spacing w:after="0" w:before="0"/>
      </w:pPr>
    </w:p>
    <w:p>
      <w:r>
        <w:br w:type="page"/>
      </w:r>
    </w:p>
    <w:p>
      <w:pPr>
        <w:pStyle w:val="Heading1"/>
        <w:spacing w:after="120" w:before="360"/>
      </w:pPr>
      <w:r>
        <w:rPr>
          <w:rFonts w:ascii="Arial" w:cs="Arial" w:eastAsia="Arial" w:hAnsi="Arial"/>
          <w:b/>
          <w:bCs/>
          <w:color w:val="1A2B4A"/>
          <w:sz w:val="32"/>
          <w:szCs w:val="32"/>
        </w:rPr>
        <w:t xml:space="preserve">2. Logique de l'Entonnoir de Conversion</w:t>
      </w:r>
    </w:p>
    <w:p>
      <w:pPr>
        <w:pBdr>
          <w:bottom w:val="single" w:color="1A7A6E" w:sz="8" w:space="1"/>
        </w:pBdr>
        <w:spacing w:after="200" w:before="0"/>
      </w:pPr>
    </w:p>
    <w:p>
      <w:pPr>
        <w:spacing w:after="80" w:before="60"/>
      </w:pPr>
      <w:r>
        <w:rPr>
          <w:rFonts w:ascii="Arial" w:cs="Arial" w:eastAsia="Arial" w:hAnsi="Arial"/>
          <w:color w:val="2D2D2D"/>
          <w:sz w:val="22"/>
          <w:szCs w:val="22"/>
        </w:rPr>
        <w:t xml:space="preserve">La structure tarifaire repose sur un entonnoir simple en deux étapes : tester, puis s'abonner. Pas de choix multiples de packs. Un seul point d'entrée, suivi d'abonnements qui récompensent l'engagement.</w:t>
      </w:r>
    </w:p>
    <w:p>
      <w:pPr>
        <w:spacing w:after="60" w:before="100"/>
      </w:pPr>
    </w:p>
    <w:p>
      <w:pPr>
        <w:pStyle w:val="Heading2"/>
        <w:spacing w:after="100" w:before="280"/>
      </w:pPr>
      <w:r>
        <w:rPr>
          <w:rFonts w:ascii="Arial" w:cs="Arial" w:eastAsia="Arial" w:hAnsi="Arial"/>
          <w:b/>
          <w:bCs/>
          <w:color w:val="1A7A6E"/>
          <w:sz w:val="26"/>
          <w:szCs w:val="26"/>
        </w:rPr>
        <w:t xml:space="preserve">Étape 1 — Pack Découverte (tester la plateforme)</w:t>
      </w:r>
    </w:p>
    <w:p>
      <w:pPr>
        <w:pStyle w:val="ListParagraph"/>
        <w:numPr>
          <w:ilvl w:val="0"/>
          <w:numId w:val="2"/>
        </w:numPr>
        <w:spacing w:after="40" w:before="40"/>
      </w:pPr>
      <w:r>
        <w:rPr>
          <w:rFonts w:ascii="Arial" w:cs="Arial" w:eastAsia="Arial" w:hAnsi="Arial"/>
          <w:b w:val="false"/>
          <w:bCs w:val="false"/>
          <w:color w:val="2D2D2D"/>
          <w:sz w:val="22"/>
          <w:szCs w:val="22"/>
        </w:rPr>
        <w:t xml:space="preserve">3 crédits pour un achat unique, sans engagement.</w:t>
      </w:r>
    </w:p>
    <w:p>
      <w:pPr>
        <w:pStyle w:val="ListParagraph"/>
        <w:numPr>
          <w:ilvl w:val="0"/>
          <w:numId w:val="2"/>
        </w:numPr>
        <w:spacing w:after="40" w:before="40"/>
      </w:pPr>
      <w:r>
        <w:rPr>
          <w:rFonts w:ascii="Arial" w:cs="Arial" w:eastAsia="Arial" w:hAnsi="Arial"/>
          <w:b w:val="false"/>
          <w:bCs w:val="false"/>
          <w:color w:val="2D2D2D"/>
          <w:sz w:val="22"/>
          <w:szCs w:val="22"/>
        </w:rPr>
        <w:t xml:space="preserve">Le salon publie quelques remplacements, voit la qualité des candidatures, valide la plateforme.</w:t>
      </w:r>
    </w:p>
    <w:p>
      <w:pPr>
        <w:pStyle w:val="ListParagraph"/>
        <w:numPr>
          <w:ilvl w:val="0"/>
          <w:numId w:val="2"/>
        </w:numPr>
        <w:spacing w:after="40" w:before="40"/>
      </w:pPr>
      <w:r>
        <w:rPr>
          <w:rFonts w:ascii="Arial" w:cs="Arial" w:eastAsia="Arial" w:hAnsi="Arial"/>
          <w:b w:val="false"/>
          <w:bCs w:val="false"/>
          <w:color w:val="2D2D2D"/>
          <w:sz w:val="22"/>
          <w:szCs w:val="22"/>
        </w:rPr>
        <w:t xml:space="preserve">Le prix par crédit est volontairement plus élevé que les abonnements : c'est le coût de l'essai.</w:t>
      </w:r>
    </w:p>
    <w:p>
      <w:pPr>
        <w:spacing w:after="40" w:before="60"/>
      </w:pPr>
    </w:p>
    <w:p>
      <w:pPr>
        <w:pStyle w:val="Heading2"/>
        <w:spacing w:after="100" w:before="280"/>
      </w:pPr>
      <w:r>
        <w:rPr>
          <w:rFonts w:ascii="Arial" w:cs="Arial" w:eastAsia="Arial" w:hAnsi="Arial"/>
          <w:b/>
          <w:bCs/>
          <w:color w:val="1A7A6E"/>
          <w:sz w:val="26"/>
          <w:szCs w:val="26"/>
        </w:rPr>
        <w:t xml:space="preserve">Étape 2 — Abonnement mensuel (s'engager et économiser)</w:t>
      </w:r>
    </w:p>
    <w:p>
      <w:pPr>
        <w:pStyle w:val="ListParagraph"/>
        <w:numPr>
          <w:ilvl w:val="0"/>
          <w:numId w:val="2"/>
        </w:numPr>
        <w:spacing w:after="40" w:before="40"/>
      </w:pPr>
      <w:r>
        <w:rPr>
          <w:rFonts w:ascii="Arial" w:cs="Arial" w:eastAsia="Arial" w:hAnsi="Arial"/>
          <w:b w:val="false"/>
          <w:bCs w:val="false"/>
          <w:color w:val="2D2D2D"/>
          <w:sz w:val="22"/>
          <w:szCs w:val="22"/>
        </w:rPr>
        <w:t xml:space="preserve">Dès que le salon voit la valeur, l'abonnement devient le choix évident : plus de crédits, meilleur prix unitaire.</w:t>
      </w:r>
    </w:p>
    <w:p>
      <w:pPr>
        <w:pStyle w:val="ListParagraph"/>
        <w:numPr>
          <w:ilvl w:val="0"/>
          <w:numId w:val="2"/>
        </w:numPr>
        <w:spacing w:after="40" w:before="40"/>
      </w:pPr>
      <w:r>
        <w:rPr>
          <w:rFonts w:ascii="Arial" w:cs="Arial" w:eastAsia="Arial" w:hAnsi="Arial"/>
          <w:b w:val="false"/>
          <w:bCs w:val="false"/>
          <w:color w:val="2D2D2D"/>
          <w:sz w:val="22"/>
          <w:szCs w:val="22"/>
        </w:rPr>
        <w:t xml:space="preserve">4 paliers couvrent l'ensemble du marché, du solo indépendant à la grande chaîne.</w:t>
      </w:r>
    </w:p>
    <w:p>
      <w:pPr>
        <w:pStyle w:val="ListParagraph"/>
        <w:numPr>
          <w:ilvl w:val="0"/>
          <w:numId w:val="2"/>
        </w:numPr>
        <w:spacing w:after="40" w:before="40"/>
      </w:pPr>
      <w:r>
        <w:rPr>
          <w:rFonts w:ascii="Arial" w:cs="Arial" w:eastAsia="Arial" w:hAnsi="Arial"/>
          <w:b w:val="false"/>
          <w:bCs w:val="false"/>
          <w:color w:val="2D2D2D"/>
          <w:sz w:val="22"/>
          <w:szCs w:val="22"/>
        </w:rPr>
        <w:t xml:space="preserve">Les crédits supplémentaires restent disponibles pour les mois plus chargés, mais à un tarif plus avantageux que le pack.</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A7A6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Pack Découverte</w:t>
            </w:r>
          </w:p>
        </w:tc>
        <w:tc>
          <w:tcPr>
            <w:tcW w:type="dxa" w:w="312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Abonnement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Engagement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Aucun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Mensuel ou annuel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Prix par crédit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9,67 $ (le plus élevé)</w:t>
            </w:r>
          </w:p>
        </w:tc>
        <w:tc>
          <w:tcPr>
            <w:tcW w:type="dxa" w:w="312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4,99 $ à 7,38 $ selon palier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Signal au 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 Essayez sans risque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 Engagez-vous, payez moins »</w:t>
            </w:r>
          </w:p>
        </w:tc>
      </w:tr>
    </w:tbl>
    <w:p>
      <w:pPr>
        <w:spacing w:after="0" w:before="0"/>
      </w:pPr>
    </w:p>
    <w:p>
      <w:r>
        <w:br w:type="page"/>
      </w:r>
    </w:p>
    <w:p>
      <w:pPr>
        <w:pStyle w:val="Heading1"/>
        <w:spacing w:after="120" w:before="360"/>
      </w:pPr>
      <w:r>
        <w:rPr>
          <w:rFonts w:ascii="Arial" w:cs="Arial" w:eastAsia="Arial" w:hAnsi="Arial"/>
          <w:b/>
          <w:bCs/>
          <w:color w:val="1A2B4A"/>
          <w:sz w:val="32"/>
          <w:szCs w:val="32"/>
        </w:rPr>
        <w:t xml:space="preserve">3. Pack Découverte — Point d'Entrée Unique</w:t>
      </w:r>
    </w:p>
    <w:p>
      <w:pPr>
        <w:pBdr>
          <w:bottom w:val="single" w:color="1A7A6E" w:sz="8" w:space="1"/>
        </w:pBdr>
        <w:spacing w:after="200" w:before="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7A6E" w:val="clear"/>
            <w:tcMar>
              <w:top w:type="dxa" w:w="140"/>
              <w:left w:type="dxa" w:w="200"/>
              <w:bottom w:type="dxa" w:w="140"/>
              <w:right w:type="dxa" w:w="200"/>
            </w:tcMar>
          </w:tcPr>
          <w:p>
            <w:pPr>
              <w:jc w:val="center"/>
            </w:pPr>
            <w:r>
              <w:rPr>
                <w:rFonts w:ascii="Arial" w:cs="Arial" w:eastAsia="Arial" w:hAnsi="Arial"/>
                <w:b/>
                <w:bCs/>
                <w:color w:val="FFFFFF"/>
                <w:sz w:val="32"/>
                <w:szCs w:val="32"/>
              </w:rPr>
              <w:t xml:space="preserve">PACK DÉCOUVERTE</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Crédits inclus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7A6E"/>
                <w:sz w:val="24"/>
                <w:szCs w:val="24"/>
              </w:rPr>
              <w:t xml:space="preserve">3 crédits</w:t>
            </w:r>
          </w:p>
        </w:tc>
      </w:tr>
      <w:tr>
        <w:tc>
          <w:tcPr>
            <w:tcW w:type="dxa" w:w="468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Prix total</w:t>
            </w:r>
          </w:p>
        </w:tc>
        <w:tc>
          <w:tcPr>
            <w:tcW w:type="dxa" w:w="468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bCs/>
                <w:color w:val="1A7A6E"/>
                <w:sz w:val="24"/>
                <w:szCs w:val="24"/>
              </w:rPr>
              <w:t xml:space="preserve">29 $ CAD + taxes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Prix par crédit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9,67 $ / crédit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Engagement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Aucun — achat unique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Validité</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12 mois à compter de l'achat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Limite d'achat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Illimitée — un salon peut acheter plusieurs packs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Remboursement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Non remboursable (clause affichée au paiement)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Cumulable avec abonnement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Oui — les crédits du pack s'ajoutent au solde</w:t>
            </w:r>
          </w:p>
        </w:tc>
      </w:tr>
    </w:tbl>
    <w:p>
      <w:pPr>
        <w:spacing w:after="60" w:before="120"/>
      </w:pPr>
    </w:p>
    <w:p>
      <w:pPr>
        <w:pStyle w:val="Heading2"/>
        <w:spacing w:after="100" w:before="280"/>
      </w:pPr>
      <w:r>
        <w:rPr>
          <w:rFonts w:ascii="Arial" w:cs="Arial" w:eastAsia="Arial" w:hAnsi="Arial"/>
          <w:b/>
          <w:bCs/>
          <w:color w:val="1A7A6E"/>
          <w:sz w:val="26"/>
          <w:szCs w:val="26"/>
        </w:rPr>
        <w:t xml:space="preserve">Pourquoi 3 crédits et pas plus?</w:t>
      </w:r>
    </w:p>
    <w:p>
      <w:pPr>
        <w:pStyle w:val="ListParagraph"/>
        <w:numPr>
          <w:ilvl w:val="0"/>
          <w:numId w:val="2"/>
        </w:numPr>
        <w:spacing w:after="40" w:before="40"/>
      </w:pPr>
      <w:r>
        <w:rPr>
          <w:rFonts w:ascii="Arial" w:cs="Arial" w:eastAsia="Arial" w:hAnsi="Arial"/>
          <w:b w:val="false"/>
          <w:bCs w:val="false"/>
          <w:color w:val="2D2D2D"/>
          <w:sz w:val="22"/>
          <w:szCs w:val="22"/>
        </w:rPr>
        <w:t xml:space="preserve">3 crédits = assez pour valider la qualité des candidatures sans un investissement majeur.</w:t>
      </w:r>
    </w:p>
    <w:p>
      <w:pPr>
        <w:pStyle w:val="ListParagraph"/>
        <w:numPr>
          <w:ilvl w:val="0"/>
          <w:numId w:val="2"/>
        </w:numPr>
        <w:spacing w:after="40" w:before="40"/>
      </w:pPr>
      <w:r>
        <w:rPr>
          <w:rFonts w:ascii="Arial" w:cs="Arial" w:eastAsia="Arial" w:hAnsi="Arial"/>
          <w:b w:val="false"/>
          <w:bCs w:val="false"/>
          <w:color w:val="2D2D2D"/>
          <w:sz w:val="22"/>
          <w:szCs w:val="22"/>
        </w:rPr>
        <w:t xml:space="preserve">Trop peu pour devenir un mode d'utilisation permanent — pousse naturellement vers l'abonnement.</w:t>
      </w:r>
    </w:p>
    <w:p>
      <w:pPr>
        <w:pStyle w:val="ListParagraph"/>
        <w:numPr>
          <w:ilvl w:val="0"/>
          <w:numId w:val="2"/>
        </w:numPr>
        <w:spacing w:after="40" w:before="40"/>
      </w:pPr>
      <w:r>
        <w:rPr>
          <w:rFonts w:ascii="Arial" w:cs="Arial" w:eastAsia="Arial" w:hAnsi="Arial"/>
          <w:b w:val="false"/>
          <w:bCs w:val="false"/>
          <w:color w:val="2D2D2D"/>
          <w:sz w:val="22"/>
          <w:szCs w:val="22"/>
        </w:rPr>
        <w:t xml:space="preserve">Le prix de 29 $ est un seuil psychologique accessible : c'est le coût d'une livraison de fournitures de toilettage.</w:t>
      </w:r>
    </w:p>
    <w:p>
      <w:pPr>
        <w:pStyle w:val="ListParagraph"/>
        <w:numPr>
          <w:ilvl w:val="0"/>
          <w:numId w:val="2"/>
        </w:numPr>
        <w:spacing w:after="40" w:before="40"/>
      </w:pPr>
      <w:r>
        <w:rPr>
          <w:rFonts w:ascii="Arial" w:cs="Arial" w:eastAsia="Arial" w:hAnsi="Arial"/>
          <w:b w:val="false"/>
          <w:bCs w:val="false"/>
          <w:color w:val="2D2D2D"/>
          <w:sz w:val="22"/>
          <w:szCs w:val="22"/>
        </w:rPr>
        <w:t xml:space="preserve">Un salon qui a besoin de plus de 3 remplacements/mois a intérêt à s'abonner — le pack le démontre clairement.</w:t>
      </w:r>
    </w:p>
    <w:p>
      <w:pPr>
        <w:spacing w:after="0" w:before="0"/>
      </w:pPr>
    </w:p>
    <w:p>
      <w:r>
        <w:br w:type="page"/>
      </w:r>
    </w:p>
    <w:p>
      <w:pPr>
        <w:pStyle w:val="Heading1"/>
        <w:spacing w:after="120" w:before="360"/>
      </w:pPr>
      <w:r>
        <w:rPr>
          <w:rFonts w:ascii="Arial" w:cs="Arial" w:eastAsia="Arial" w:hAnsi="Arial"/>
          <w:b/>
          <w:bCs/>
          <w:color w:val="1A2B4A"/>
          <w:sz w:val="32"/>
          <w:szCs w:val="32"/>
        </w:rPr>
        <w:t xml:space="preserve">4. Abonnements Mensuels — 4 Paliers</w:t>
      </w:r>
    </w:p>
    <w:p>
      <w:pPr>
        <w:pBdr>
          <w:bottom w:val="single" w:color="1A7A6E" w:sz="8" w:space="1"/>
        </w:pBdr>
        <w:spacing w:after="200" w:before="0"/>
      </w:pPr>
    </w:p>
    <w:p>
      <w:pPr>
        <w:spacing w:after="80" w:before="60"/>
      </w:pPr>
      <w:r>
        <w:rPr>
          <w:rFonts w:ascii="Arial" w:cs="Arial" w:eastAsia="Arial" w:hAnsi="Arial"/>
          <w:color w:val="2D2D2D"/>
          <w:sz w:val="22"/>
          <w:szCs w:val="22"/>
        </w:rPr>
        <w:t xml:space="preserve">Chaque palier est conçu pour un segment spécifique du marché québécois. Le prix par crédit inclus diminue à mesure que l'engagement augmente, récompensant la fidélité et le volume.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7A6E" w:val="clear"/>
            <w:tcMar>
              <w:top w:type="dxa" w:w="120"/>
              <w:left w:type="dxa" w:w="200"/>
              <w:bottom w:type="dxa" w:w="120"/>
              <w:right w:type="dxa" w:w="200"/>
            </w:tcMar>
          </w:tcPr>
          <w:p>
            <w:r>
              <w:rPr>
                <w:rFonts w:ascii="Arial" w:cs="Arial" w:eastAsia="Arial" w:hAnsi="Arial"/>
                <w:b/>
                <w:bCs/>
                <w:color w:val="FFFFFF"/>
                <w:sz w:val="28"/>
                <w:szCs w:val="28"/>
              </w:rPr>
              <w:t xml:space="preserve">PALIER 1 — ESSENTIEL</w:t>
            </w:r>
            <w:r>
              <w:rPr>
                <w:rFonts w:ascii="Arial" w:cs="Arial" w:eastAsia="Arial" w:hAnsi="Arial"/>
                <w:color w:val="FFFFFF"/>
                <w:sz w:val="22"/>
                <w:szCs w:val="22"/>
              </w:rPr>
              <w:t xml:space="preserve">   |   Salon solo / indépendant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Prix mensuel</w:t>
            </w:r>
          </w:p>
        </w:tc>
        <w:tc>
          <w:tcPr>
            <w:tcW w:type="dxa" w:w="468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bCs/>
                <w:color w:val="1A7A6E"/>
                <w:sz w:val="20"/>
                <w:szCs w:val="20"/>
              </w:rPr>
              <w:t xml:space="preserve">59 $ CAD / mois + taxes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Prix annuel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590 $ CAD / an (= 49 $/mois, économie 17 %)</w:t>
            </w:r>
          </w:p>
        </w:tc>
      </w:tr>
      <w:tr>
        <w:tc>
          <w:tcPr>
            <w:tcW w:type="dxa" w:w="468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Crédits inclus / mois</w:t>
            </w:r>
          </w:p>
        </w:tc>
        <w:tc>
          <w:tcPr>
            <w:tcW w:type="dxa" w:w="468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bCs/>
                <w:color w:val="1A7A6E"/>
                <w:sz w:val="20"/>
                <w:szCs w:val="20"/>
              </w:rPr>
              <w:t xml:space="preserve">8 crédits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Coût par crédit inclus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7,38 $ / crédit</w:t>
            </w:r>
          </w:p>
        </w:tc>
      </w:tr>
      <w:tr>
        <w:tc>
          <w:tcPr>
            <w:tcW w:type="dxa" w:w="468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Crédit supplémentaire</w:t>
            </w:r>
          </w:p>
        </w:tc>
        <w:tc>
          <w:tcPr>
            <w:tcW w:type="dxa" w:w="468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8,50 $ / crédit additionnel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Report crédits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Jusqu'à 3 mois (max 24 crédits cumulés)</w:t>
            </w:r>
          </w:p>
        </w:tc>
      </w:tr>
      <w:tr>
        <w:tc>
          <w:tcPr>
            <w:tcW w:type="dxa" w:w="468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Profils salon</w:t>
            </w:r>
          </w:p>
        </w:tc>
        <w:tc>
          <w:tcPr>
            <w:tcW w:type="dxa" w:w="468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1 profil actif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Emplois permanents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Publications incluses (sans coût crédit)</w:t>
            </w:r>
          </w:p>
        </w:tc>
      </w:tr>
      <w:tr>
        <w:tc>
          <w:tcPr>
            <w:tcW w:type="dxa" w:w="468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Affichage résultats</w:t>
            </w:r>
          </w:p>
        </w:tc>
        <w:tc>
          <w:tcPr>
            <w:tcW w:type="dxa" w:w="468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Visibilité standard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20"/>
                <w:szCs w:val="20"/>
              </w:rPr>
              <w:t xml:space="preserve">Propriétaire-toiletteur, 1 emplacement</w:t>
            </w:r>
          </w:p>
        </w:tc>
      </w:tr>
    </w:tbl>
    <w:p>
      <w:pPr>
        <w:spacing w:after="8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2B4A" w:val="clear"/>
            <w:tcMar>
              <w:top w:type="dxa" w:w="120"/>
              <w:left w:type="dxa" w:w="200"/>
              <w:bottom w:type="dxa" w:w="120"/>
              <w:right w:type="dxa" w:w="200"/>
            </w:tcMar>
          </w:tcPr>
          <w:p>
            <w:r>
              <w:rPr>
                <w:rFonts w:ascii="Arial" w:cs="Arial" w:eastAsia="Arial" w:hAnsi="Arial"/>
                <w:b/>
                <w:bCs/>
                <w:color w:val="FFFFFF"/>
                <w:sz w:val="28"/>
                <w:szCs w:val="28"/>
              </w:rPr>
              <w:t xml:space="preserve">PALIER 2 — SALON</w:t>
            </w:r>
            <w:r>
              <w:rPr>
                <w:rFonts w:ascii="Arial" w:cs="Arial" w:eastAsia="Arial" w:hAnsi="Arial"/>
                <w:color w:val="FFFFFF"/>
                <w:sz w:val="22"/>
                <w:szCs w:val="22"/>
              </w:rPr>
              <w:t xml:space="preserve">   |   Salon établi (1-2 emplacements)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Prix mensuel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1A2B4A"/>
                <w:sz w:val="20"/>
                <w:szCs w:val="20"/>
              </w:rPr>
              <w:t xml:space="preserve">109 $ CAD / mois + taxes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Prix annuel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1 090 $ CAD / an (= 91 $/mois, économie 17 %)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Crédits inclus / mois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1A2B4A"/>
                <w:sz w:val="20"/>
                <w:szCs w:val="20"/>
              </w:rPr>
              <w:t xml:space="preserve">18 crédits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Coût par crédit inclus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6,06 $ / crédit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Crédit supplémentaire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7,50 $ / crédit additionnel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Report crédits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Jusqu'à 3 mois (max 54 crédits cumulés)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Profils salon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Jusqu'à 2 profils actifs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Emplois permanents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Publications incluses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Affichage résultats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Mise en avant — au-dessus des ESSENTIEL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Statistiques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Tableau de bord : vues, candidatures, taux de remplissage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Cible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888888"/>
                <w:sz w:val="20"/>
                <w:szCs w:val="20"/>
              </w:rPr>
              <w:t xml:space="preserve">Salon actif avec personnel, remplacements fréquents</w:t>
            </w:r>
          </w:p>
        </w:tc>
      </w:tr>
    </w:tbl>
    <w:p>
      <w:pPr>
        <w:spacing w:after="8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68B2F" w:val="clear"/>
            <w:tcMar>
              <w:top w:type="dxa" w:w="120"/>
              <w:left w:type="dxa" w:w="200"/>
              <w:bottom w:type="dxa" w:w="120"/>
              <w:right w:type="dxa" w:w="200"/>
            </w:tcMar>
          </w:tcPr>
          <w:p>
            <w:r>
              <w:rPr>
                <w:rFonts w:ascii="Arial" w:cs="Arial" w:eastAsia="Arial" w:hAnsi="Arial"/>
                <w:b/>
                <w:bCs/>
                <w:color w:val="FFFFFF"/>
                <w:sz w:val="28"/>
                <w:szCs w:val="28"/>
              </w:rPr>
              <w:t xml:space="preserve">PALIER 3 — RÉSEAU</w:t>
            </w:r>
            <w:r>
              <w:rPr>
                <w:rFonts w:ascii="Arial" w:cs="Arial" w:eastAsia="Arial" w:hAnsi="Arial"/>
                <w:color w:val="FFFFFF"/>
                <w:sz w:val="22"/>
                <w:szCs w:val="22"/>
              </w:rPr>
              <w:t xml:space="preserve">   |   Multi-emplacements (3-8 sites)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Prix mensuel</w:t>
            </w:r>
          </w:p>
        </w:tc>
        <w:tc>
          <w:tcPr>
            <w:tcW w:type="dxa" w:w="468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bCs/>
                <w:color w:val="C68B2F"/>
                <w:sz w:val="20"/>
                <w:szCs w:val="20"/>
              </w:rPr>
              <w:t xml:space="preserve">199 $ CAD / mois + taxes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Prix annuel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1 990 $ CAD / an (= 166 $/mois, économie 17 %)</w:t>
            </w:r>
          </w:p>
        </w:tc>
      </w:tr>
      <w:tr>
        <w:tc>
          <w:tcPr>
            <w:tcW w:type="dxa" w:w="468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Crédits inclus / mois</w:t>
            </w:r>
          </w:p>
        </w:tc>
        <w:tc>
          <w:tcPr>
            <w:tcW w:type="dxa" w:w="468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bCs/>
                <w:color w:val="C68B2F"/>
                <w:sz w:val="20"/>
                <w:szCs w:val="20"/>
              </w:rPr>
              <w:t xml:space="preserve">35 crédits poolés entre tous les emplacements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Coût par crédit inclus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5,69 $ / crédit</w:t>
            </w:r>
          </w:p>
        </w:tc>
      </w:tr>
      <w:tr>
        <w:tc>
          <w:tcPr>
            <w:tcW w:type="dxa" w:w="468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Crédit supplémentaire</w:t>
            </w:r>
          </w:p>
        </w:tc>
        <w:tc>
          <w:tcPr>
            <w:tcW w:type="dxa" w:w="468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6,50 $ / crédit additionnel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Report crédits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Jusqu'à 3 mois (max 105 crédits cumulés)</w:t>
            </w:r>
          </w:p>
        </w:tc>
      </w:tr>
      <w:tr>
        <w:tc>
          <w:tcPr>
            <w:tcW w:type="dxa" w:w="468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Profils salon</w:t>
            </w:r>
          </w:p>
        </w:tc>
        <w:tc>
          <w:tcPr>
            <w:tcW w:type="dxa" w:w="468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Jusqu'à 5 profils sous un compte maître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Tableau de bord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Vue consolidée de tous les emplacements</w:t>
            </w:r>
          </w:p>
        </w:tc>
      </w:tr>
      <w:tr>
        <w:tc>
          <w:tcPr>
            <w:tcW w:type="dxa" w:w="468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Facturation</w:t>
            </w:r>
          </w:p>
        </w:tc>
        <w:tc>
          <w:tcPr>
            <w:tcW w:type="dxa" w:w="468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Facture unique pour l'ensemble du réseau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Support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Support prioritaire par courriel (&lt; 24 h)</w:t>
            </w:r>
          </w:p>
        </w:tc>
      </w:tr>
      <w:tr>
        <w:tc>
          <w:tcPr>
            <w:tcW w:type="dxa" w:w="468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Cible</w:t>
            </w:r>
          </w:p>
        </w:tc>
        <w:tc>
          <w:tcPr>
            <w:tcW w:type="dxa" w:w="468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val="false"/>
                <w:bCs w:val="false"/>
                <w:color w:val="888888"/>
                <w:sz w:val="20"/>
                <w:szCs w:val="20"/>
              </w:rPr>
              <w:t xml:space="preserve">Groupe régional, franchiseur avec 3-8 points de vente</w:t>
            </w:r>
          </w:p>
        </w:tc>
      </w:tr>
    </w:tbl>
    <w:p>
      <w:pPr>
        <w:spacing w:after="8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C2C2C" w:val="clear"/>
            <w:tcMar>
              <w:top w:type="dxa" w:w="120"/>
              <w:left w:type="dxa" w:w="200"/>
              <w:bottom w:type="dxa" w:w="120"/>
              <w:right w:type="dxa" w:w="200"/>
            </w:tcMar>
          </w:tcPr>
          <w:p>
            <w:r>
              <w:rPr>
                <w:rFonts w:ascii="Arial" w:cs="Arial" w:eastAsia="Arial" w:hAnsi="Arial"/>
                <w:b/>
                <w:bCs/>
                <w:color w:val="FFFFFF"/>
                <w:sz w:val="28"/>
                <w:szCs w:val="28"/>
              </w:rPr>
              <w:t xml:space="preserve">PALIER 4 — CHAÎNE / ENTREPRISE</w:t>
            </w:r>
            <w:r>
              <w:rPr>
                <w:rFonts w:ascii="Arial" w:cs="Arial" w:eastAsia="Arial" w:hAnsi="Arial"/>
                <w:color w:val="FFFFFF"/>
                <w:sz w:val="22"/>
                <w:szCs w:val="22"/>
              </w:rPr>
              <w:t xml:space="preserve">   |   Grande chaîne (8+ emplacements)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Prix de départ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1A2B4A"/>
                <w:sz w:val="20"/>
                <w:szCs w:val="20"/>
              </w:rPr>
              <w:t xml:space="preserve">349 $ CAD / mois + taxes (contrat annuel recommandé)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Prix annuel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3 490 $+ CAD / an — tarif négociable selon volume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Crédits inclus / mois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1A2B4A"/>
                <w:sz w:val="20"/>
                <w:szCs w:val="20"/>
              </w:rPr>
              <w:t xml:space="preserve">70 crédits poolés + supplémentaires à 5,50 $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Coût par crédit inclus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4,99 $ / crédit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Profils salon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Illimités sous un compte maître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Tableau de bord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Analyse avancée, export CSV, rapports mensuels automatisés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Intégrations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API dédiée, SSO possible, intégration RH sur demande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Support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Gestionnaire de compte dédié, SLA garanti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Onboarding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Session de mise en route personnalisée (visio incluse)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Cible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20"/>
                <w:szCs w:val="20"/>
              </w:rPr>
              <w:t xml:space="preserve">Mondou, PetSmart, grandes chaînes régionales</w:t>
            </w:r>
          </w:p>
        </w:tc>
      </w:tr>
    </w:tbl>
    <w:p>
      <w:pPr>
        <w:spacing w:after="80" w:before="140"/>
      </w:pPr>
    </w:p>
    <w:p>
      <w:r>
        <w:br w:type="page"/>
      </w:r>
    </w:p>
    <w:p>
      <w:pPr>
        <w:pStyle w:val="Heading1"/>
        <w:spacing w:after="120" w:before="360"/>
      </w:pPr>
      <w:r>
        <w:rPr>
          <w:rFonts w:ascii="Arial" w:cs="Arial" w:eastAsia="Arial" w:hAnsi="Arial"/>
          <w:b/>
          <w:bCs/>
          <w:color w:val="1A2B4A"/>
          <w:sz w:val="32"/>
          <w:szCs w:val="32"/>
        </w:rPr>
        <w:t xml:space="preserve">5. Tableau Comparatif</w:t>
      </w:r>
    </w:p>
    <w:p>
      <w:pPr>
        <w:pBdr>
          <w:bottom w:val="single" w:color="1A7A6E" w:sz="8" w:space="1"/>
        </w:pBdr>
        <w:spacing w:after="200" w:before="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80"/>
        <w:gridCol w:w="1280"/>
        <w:gridCol w:w="1280"/>
        <w:gridCol w:w="1280"/>
        <w:gridCol w:w="1640"/>
      </w:tblGrid>
      <w:tr>
        <w:tc>
          <w:tcPr>
            <w:tcW w:type="dxa" w:w="260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w:r>
          </w:p>
        </w:tc>
        <w:tc>
          <w:tcPr>
            <w:tcW w:type="dxa" w:w="1280"/>
            <w:tcBorders>
              <w:top w:val="single" w:color="CCCCCC" w:sz="1"/>
              <w:left w:val="single" w:color="CCCCCC" w:sz="1"/>
              <w:bottom w:val="single" w:color="CCCCCC" w:sz="1"/>
              <w:right w:val="single" w:color="CCCCCC" w:sz="1"/>
            </w:tcBorders>
            <w:shd w:fill="1A7A6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Découverte</w:t>
            </w:r>
          </w:p>
        </w:tc>
        <w:tc>
          <w:tcPr>
            <w:tcW w:type="dxa" w:w="128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ESSENTIEL</w:t>
            </w:r>
          </w:p>
        </w:tc>
        <w:tc>
          <w:tcPr>
            <w:tcW w:type="dxa" w:w="128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SALON</w:t>
            </w:r>
          </w:p>
        </w:tc>
        <w:tc>
          <w:tcPr>
            <w:tcW w:type="dxa" w:w="1280"/>
            <w:tcBorders>
              <w:top w:val="single" w:color="CCCCCC" w:sz="1"/>
              <w:left w:val="single" w:color="CCCCCC" w:sz="1"/>
              <w:bottom w:val="single" w:color="CCCCCC" w:sz="1"/>
              <w:right w:val="single" w:color="CCCCCC" w:sz="1"/>
            </w:tcBorders>
            <w:shd w:fill="C68B2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RÉSEAU</w:t>
            </w:r>
          </w:p>
        </w:tc>
        <w:tc>
          <w:tcPr>
            <w:tcW w:type="dxa" w:w="1640"/>
            <w:tcBorders>
              <w:top w:val="single" w:color="CCCCCC" w:sz="1"/>
              <w:left w:val="single" w:color="CCCCCC" w:sz="1"/>
              <w:bottom w:val="single" w:color="CCCCCC" w:sz="1"/>
              <w:right w:val="single" w:color="CCCCCC" w:sz="1"/>
            </w:tcBorders>
            <w:shd w:fill="2C2C2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CHAÎNE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Type</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18"/>
                <w:szCs w:val="18"/>
              </w:rPr>
              <w:t xml:space="preserve">Achat unique</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18"/>
                <w:szCs w:val="18"/>
              </w:rPr>
              <w:t xml:space="preserve">Mensuel</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18"/>
                <w:szCs w:val="18"/>
              </w:rPr>
              <w:t xml:space="preserve">Mensuel</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18"/>
                <w:szCs w:val="18"/>
              </w:rPr>
              <w:t xml:space="preserve">Mensuel</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18"/>
                <w:szCs w:val="18"/>
              </w:rPr>
              <w:t xml:space="preserve">Mensuel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Prix (CAD + taxes)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29 $</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59 $/m</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109 $/m</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199 $/m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349 $+/m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Crédits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3</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8/mois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18/mois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35 poolés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70 poolés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$/crédit inclus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9,67 $</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7,38 $</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6,06 $</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5,69 $</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4,99 $</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Crédit suppl.</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N/A</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8,50 $</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7,50 $</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6,50 $</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5,50 $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Profils salon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1</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1</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2</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Illimités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Crédits poolés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w:t>
            </w:r>
          </w:p>
        </w:tc>
        <w:tc>
          <w:tcPr>
            <w:tcW w:type="dxa" w:w="128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Oui</w:t>
            </w:r>
          </w:p>
        </w:tc>
        <w:tc>
          <w:tcPr>
            <w:tcW w:type="dxa" w:w="164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Oui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Affichage prioritaire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Standard</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Priorité 2</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Priorité 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Priorité 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Statistiques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Basique</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Avancées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Export+API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Support dédié</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Email &lt; 24h</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D2D2D"/>
                <w:sz w:val="20"/>
                <w:szCs w:val="20"/>
              </w:rPr>
              <w:t xml:space="preserve">Gestionnaire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Annuel (économie 17 %)</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590 $/an</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1 090 $/an</w:t>
            </w:r>
          </w:p>
        </w:tc>
        <w:tc>
          <w:tcPr>
            <w:tcW w:type="dxa" w:w="1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1 990 $/an</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D2D2D"/>
                <w:sz w:val="20"/>
                <w:szCs w:val="20"/>
              </w:rPr>
              <w:t xml:space="preserve">3 490 $+/an</w:t>
            </w:r>
          </w:p>
        </w:tc>
      </w:tr>
    </w:tbl>
    <w:p>
      <w:pPr>
        <w:spacing w:after="40" w:before="80"/>
      </w:pPr>
    </w:p>
    <w:p>
      <w:pPr>
        <w:spacing w:after="80" w:before="60"/>
      </w:pPr>
      <w:r>
        <w:rPr>
          <w:rFonts w:ascii="Arial" w:cs="Arial" w:eastAsia="Arial" w:hAnsi="Arial"/>
          <w:i/>
          <w:iCs/>
          <w:color w:val="666666"/>
          <w:sz w:val="22"/>
          <w:szCs w:val="22"/>
        </w:rPr>
        <w:t xml:space="preserve">Tous les prix sont en dollars canadiens (CAD), avant taxes (TPS 5 % + TVQ 9,975 %).</w:t>
      </w:r>
    </w:p>
    <w:p>
      <w:pPr>
        <w:spacing w:after="0" w:before="0"/>
      </w:pPr>
    </w:p>
    <w:p>
      <w:r>
        <w:br w:type="page"/>
      </w:r>
    </w:p>
    <w:p>
      <w:pPr>
        <w:pStyle w:val="Heading1"/>
        <w:spacing w:after="120" w:before="360"/>
      </w:pPr>
      <w:r>
        <w:rPr>
          <w:rFonts w:ascii="Arial" w:cs="Arial" w:eastAsia="Arial" w:hAnsi="Arial"/>
          <w:b/>
          <w:bCs/>
          <w:color w:val="1A2B4A"/>
          <w:sz w:val="32"/>
          <w:szCs w:val="32"/>
        </w:rPr>
        <w:t xml:space="preserve">6. Implémentation et Stratégie de Lancement</w:t>
      </w:r>
    </w:p>
    <w:p>
      <w:pPr>
        <w:pBdr>
          <w:bottom w:val="single" w:color="1A7A6E" w:sz="8" w:space="1"/>
        </w:pBdr>
        <w:spacing w:after="200" w:before="0"/>
      </w:pPr>
    </w:p>
    <w:p>
      <w:pPr>
        <w:spacing w:after="60" w:before="60"/>
      </w:pPr>
    </w:p>
    <w:p>
      <w:pPr>
        <w:pStyle w:val="Heading2"/>
        <w:spacing w:after="100" w:before="280"/>
      </w:pPr>
      <w:r>
        <w:rPr>
          <w:rFonts w:ascii="Arial" w:cs="Arial" w:eastAsia="Arial" w:hAnsi="Arial"/>
          <w:b/>
          <w:bCs/>
          <w:color w:val="1A7A6E"/>
          <w:sz w:val="26"/>
          <w:szCs w:val="26"/>
        </w:rPr>
        <w:t xml:space="preserve">6.1 Modifications Prisma requises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Actuel</w:t>
            </w:r>
          </w:p>
        </w:tc>
        <w:tc>
          <w:tcPr>
            <w:tcW w:type="dxa" w:w="3120"/>
            <w:tcBorders>
              <w:top w:val="single" w:color="CCCCCC" w:sz="1"/>
              <w:left w:val="single" w:color="CCCCCC" w:sz="1"/>
              <w:bottom w:val="single" w:color="CCCCCC" w:sz="1"/>
              <w:right w:val="single" w:color="CCCCCC" w:sz="1"/>
            </w:tcBorders>
            <w:shd w:fill="1A7A6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Nouveau</w:t>
            </w:r>
          </w:p>
        </w:tc>
        <w:tc>
          <w:tcPr>
            <w:tcW w:type="dxa" w:w="312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BASIC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ESSENTIEL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Renommer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PRO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SALON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Renommer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w:t>
            </w:r>
          </w:p>
        </w:tc>
        <w:tc>
          <w:tcPr>
            <w:tcW w:type="dxa" w:w="312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RESEAU</w:t>
            </w:r>
          </w:p>
        </w:tc>
        <w:tc>
          <w:tcPr>
            <w:tcW w:type="dxa" w:w="3120"/>
            <w:tcBorders>
              <w:top w:val="single" w:color="CCCCCC" w:sz="1"/>
              <w:left w:val="single" w:color="CCCCCC" w:sz="1"/>
              <w:bottom w:val="single" w:color="CCCCCC" w:sz="1"/>
              <w:right w:val="single" w:color="CCCCCC" w:sz="1"/>
            </w:tcBorders>
            <w:shd w:fill="E6F3F1"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Ajouter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w:t>
            </w:r>
          </w:p>
        </w:tc>
        <w:tc>
          <w:tcPr>
            <w:tcW w:type="dxa" w:w="312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bCs/>
                <w:color w:val="2D2D2D"/>
                <w:sz w:val="20"/>
                <w:szCs w:val="20"/>
              </w:rPr>
              <w:t xml:space="preserve">CHAINE</w:t>
            </w:r>
          </w:p>
        </w:tc>
        <w:tc>
          <w:tcPr>
            <w:tcW w:type="dxa" w:w="3120"/>
            <w:tcBorders>
              <w:top w:val="single" w:color="CCCCCC" w:sz="1"/>
              <w:left w:val="single" w:color="CCCCCC" w:sz="1"/>
              <w:bottom w:val="single" w:color="CCCCCC" w:sz="1"/>
              <w:right w:val="single" w:color="CCCCCC" w:sz="1"/>
            </w:tcBorders>
            <w:shd w:fill="FDF6EC" w:val="clear"/>
            <w:tcMar>
              <w:top w:type="dxa" w:w="80"/>
              <w:left w:type="dxa" w:w="140"/>
              <w:bottom w:type="dxa" w:w="80"/>
              <w:right w:type="dxa" w:w="140"/>
            </w:tcMar>
            <w:vAlign w:val="center"/>
          </w:tcPr>
          <w:p>
            <w:pPr>
              <w:jc w:val="left"/>
            </w:pPr>
            <w:r>
              <w:rPr>
                <w:rFonts w:ascii="Arial" w:cs="Arial" w:eastAsia="Arial" w:hAnsi="Arial"/>
                <w:b w:val="false"/>
                <w:bCs w:val="false"/>
                <w:color w:val="2D2D2D"/>
                <w:sz w:val="20"/>
                <w:szCs w:val="20"/>
              </w:rPr>
              <w:t xml:space="preserve">Ajouter</w:t>
            </w:r>
          </w:p>
        </w:tc>
      </w:tr>
    </w:tbl>
    <w:p>
      <w:pPr>
        <w:spacing w:after="60" w:before="80"/>
      </w:pPr>
    </w:p>
    <w:p>
      <w:pPr>
        <w:pStyle w:val="ListParagraph"/>
        <w:numPr>
          <w:ilvl w:val="0"/>
          <w:numId w:val="2"/>
        </w:numPr>
        <w:spacing w:after="40" w:before="40"/>
      </w:pPr>
      <w:r>
        <w:rPr>
          <w:rFonts w:ascii="Arial" w:cs="Arial" w:eastAsia="Arial" w:hAnsi="Arial"/>
          <w:b w:val="false"/>
          <w:bCs w:val="false"/>
          <w:color w:val="2D2D2D"/>
          <w:sz w:val="22"/>
          <w:szCs w:val="22"/>
        </w:rPr>
        <w:t xml:space="preserve">Nouveau modèle SalonGroup requis pour les paliers RÉSEAU et CHAÎNE (pool de crédits inter-emplacements).</w:t>
      </w:r>
    </w:p>
    <w:p>
      <w:pPr>
        <w:pStyle w:val="ListParagraph"/>
        <w:numPr>
          <w:ilvl w:val="0"/>
          <w:numId w:val="2"/>
        </w:numPr>
        <w:spacing w:after="40" w:before="40"/>
      </w:pPr>
      <w:r>
        <w:rPr>
          <w:rFonts w:ascii="Arial" w:cs="Arial" w:eastAsia="Arial" w:hAnsi="Arial"/>
          <w:b w:val="false"/>
          <w:bCs w:val="false"/>
          <w:color w:val="2D2D2D"/>
          <w:sz w:val="22"/>
          <w:szCs w:val="22"/>
        </w:rPr>
        <w:t xml:space="preserve">Champ creditsPoolEnabled sur SalonProfile pour activer le partage.</w:t>
      </w:r>
    </w:p>
    <w:p>
      <w:pPr>
        <w:pStyle w:val="ListParagraph"/>
        <w:numPr>
          <w:ilvl w:val="0"/>
          <w:numId w:val="2"/>
        </w:numPr>
        <w:spacing w:after="40" w:before="40"/>
      </w:pPr>
      <w:r>
        <w:rPr>
          <w:rFonts w:ascii="Arial" w:cs="Arial" w:eastAsia="Arial" w:hAnsi="Arial"/>
          <w:b w:val="false"/>
          <w:bCs w:val="false"/>
          <w:color w:val="2D2D2D"/>
          <w:sz w:val="22"/>
          <w:szCs w:val="22"/>
        </w:rPr>
        <w:t xml:space="preserve">Champ monthlyCreditsRolloverMax pour plafonner les reports (24, 54, 105 selon palier).</w:t>
      </w:r>
    </w:p>
    <w:p>
      <w:pPr>
        <w:spacing w:after="60" w:before="120"/>
      </w:pPr>
    </w:p>
    <w:p>
      <w:pPr>
        <w:pStyle w:val="Heading2"/>
        <w:spacing w:after="100" w:before="280"/>
      </w:pPr>
      <w:r>
        <w:rPr>
          <w:rFonts w:ascii="Arial" w:cs="Arial" w:eastAsia="Arial" w:hAnsi="Arial"/>
          <w:b/>
          <w:bCs/>
          <w:color w:val="1A7A6E"/>
          <w:sz w:val="26"/>
          <w:szCs w:val="26"/>
        </w:rPr>
        <w:t xml:space="preserve">6.2 Webhooks Stripe à configurer</w:t>
      </w:r>
    </w:p>
    <w:p>
      <w:pPr>
        <w:pStyle w:val="ListParagraph"/>
        <w:numPr>
          <w:ilvl w:val="0"/>
          <w:numId w:val="2"/>
        </w:numPr>
        <w:spacing w:after="40" w:before="40"/>
      </w:pPr>
      <w:r>
        <w:rPr>
          <w:rFonts w:ascii="Arial" w:cs="Arial" w:eastAsia="Arial" w:hAnsi="Arial"/>
          <w:b w:val="false"/>
          <w:bCs w:val="false"/>
          <w:color w:val="2D2D2D"/>
          <w:sz w:val="22"/>
          <w:szCs w:val="22"/>
        </w:rPr>
        <w:t xml:space="preserve">checkout.session.completed → /api/credits/add (pack Découverte) ou /api/subscriptions/activate.</w:t>
      </w:r>
    </w:p>
    <w:p>
      <w:pPr>
        <w:pStyle w:val="ListParagraph"/>
        <w:numPr>
          <w:ilvl w:val="0"/>
          <w:numId w:val="2"/>
        </w:numPr>
        <w:spacing w:after="40" w:before="40"/>
      </w:pPr>
      <w:r>
        <w:rPr>
          <w:rFonts w:ascii="Arial" w:cs="Arial" w:eastAsia="Arial" w:hAnsi="Arial"/>
          <w:b w:val="false"/>
          <w:bCs w:val="false"/>
          <w:color w:val="2D2D2D"/>
          <w:sz w:val="22"/>
          <w:szCs w:val="22"/>
        </w:rPr>
        <w:t xml:space="preserve">invoice.payment_succeeded → /api/credits/grant-monthly (renouvellement mensuel automatique).</w:t>
      </w:r>
    </w:p>
    <w:p>
      <w:pPr>
        <w:pStyle w:val="ListParagraph"/>
        <w:numPr>
          <w:ilvl w:val="0"/>
          <w:numId w:val="2"/>
        </w:numPr>
        <w:spacing w:after="40" w:before="40"/>
      </w:pPr>
      <w:r>
        <w:rPr>
          <w:rFonts w:ascii="Arial" w:cs="Arial" w:eastAsia="Arial" w:hAnsi="Arial"/>
          <w:b w:val="false"/>
          <w:bCs w:val="false"/>
          <w:color w:val="2D2D2D"/>
          <w:sz w:val="22"/>
          <w:szCs w:val="22"/>
        </w:rPr>
        <w:t xml:space="preserve">customer.subscription.deleted → /api/subscriptions/deactivate.</w:t>
      </w:r>
    </w:p>
    <w:p>
      <w:pPr>
        <w:spacing w:after="60" w:before="120"/>
      </w:pPr>
    </w:p>
    <w:p>
      <w:pPr>
        <w:pStyle w:val="Heading2"/>
        <w:spacing w:after="100" w:before="280"/>
      </w:pPr>
      <w:r>
        <w:rPr>
          <w:rFonts w:ascii="Arial" w:cs="Arial" w:eastAsia="Arial" w:hAnsi="Arial"/>
          <w:b/>
          <w:bCs/>
          <w:color w:val="1A7A6E"/>
          <w:sz w:val="26"/>
          <w:szCs w:val="26"/>
        </w:rPr>
        <w:t xml:space="preserve">6.3 Conformité Québécoise</w:t>
      </w:r>
    </w:p>
    <w:p>
      <w:pPr>
        <w:pStyle w:val="ListParagraph"/>
        <w:numPr>
          <w:ilvl w:val="0"/>
          <w:numId w:val="2"/>
        </w:numPr>
        <w:spacing w:after="40" w:before="40"/>
      </w:pPr>
      <w:r>
        <w:rPr>
          <w:rFonts w:ascii="Arial" w:cs="Arial" w:eastAsia="Arial" w:hAnsi="Arial"/>
          <w:b w:val="false"/>
          <w:bCs w:val="false"/>
          <w:color w:val="2D2D2D"/>
          <w:sz w:val="22"/>
          <w:szCs w:val="22"/>
        </w:rPr>
        <w:t xml:space="preserve">Prix affichés avant taxes. Afficher TPS (5 %) + TVQ (9,975 %) au paiement.</w:t>
      </w:r>
    </w:p>
    <w:p>
      <w:pPr>
        <w:pStyle w:val="ListParagraph"/>
        <w:numPr>
          <w:ilvl w:val="0"/>
          <w:numId w:val="2"/>
        </w:numPr>
        <w:spacing w:after="40" w:before="40"/>
      </w:pPr>
      <w:r>
        <w:rPr>
          <w:rFonts w:ascii="Arial" w:cs="Arial" w:eastAsia="Arial" w:hAnsi="Arial"/>
          <w:b w:val="false"/>
          <w:bCs w:val="false"/>
          <w:color w:val="2D2D2D"/>
          <w:sz w:val="22"/>
          <w:szCs w:val="22"/>
        </w:rPr>
        <w:t xml:space="preserve">Factures bilingues (Charte de la langue française).</w:t>
      </w:r>
    </w:p>
    <w:p>
      <w:pPr>
        <w:pStyle w:val="ListParagraph"/>
        <w:numPr>
          <w:ilvl w:val="0"/>
          <w:numId w:val="2"/>
        </w:numPr>
        <w:spacing w:after="40" w:before="40"/>
      </w:pPr>
      <w:r>
        <w:rPr>
          <w:rFonts w:ascii="Arial" w:cs="Arial" w:eastAsia="Arial" w:hAnsi="Arial"/>
          <w:b w:val="false"/>
          <w:bCs w:val="false"/>
          <w:color w:val="2D2D2D"/>
          <w:sz w:val="22"/>
          <w:szCs w:val="22"/>
        </w:rPr>
        <w:t xml:space="preserve">Loi 25 : politique de confidentialité et registre des données requis.</w:t>
      </w:r>
    </w:p>
    <w:p>
      <w:pPr>
        <w:spacing w:after="60" w:before="120"/>
      </w:pPr>
    </w:p>
    <w:p>
      <w:pPr>
        <w:pStyle w:val="Heading2"/>
        <w:spacing w:after="100" w:before="280"/>
      </w:pPr>
      <w:r>
        <w:rPr>
          <w:rFonts w:ascii="Arial" w:cs="Arial" w:eastAsia="Arial" w:hAnsi="Arial"/>
          <w:b/>
          <w:bCs/>
          <w:color w:val="1A7A6E"/>
          <w:sz w:val="26"/>
          <w:szCs w:val="26"/>
        </w:rPr>
        <w:t xml:space="preserve">6.4 Offre de lancement suggérée</w:t>
      </w:r>
    </w:p>
    <w:p>
      <w:pPr>
        <w:pStyle w:val="ListParagraph"/>
        <w:numPr>
          <w:ilvl w:val="0"/>
          <w:numId w:val="2"/>
        </w:numPr>
        <w:spacing w:after="40" w:before="40"/>
      </w:pPr>
      <w:r>
        <w:rPr>
          <w:rFonts w:ascii="Arial" w:cs="Arial" w:eastAsia="Arial" w:hAnsi="Arial"/>
          <w:b w:val="false"/>
          <w:bCs w:val="false"/>
          <w:color w:val="2D2D2D"/>
          <w:sz w:val="22"/>
          <w:szCs w:val="22"/>
        </w:rPr>
        <w:t xml:space="preserve">100 premiers salons : 1 pack Découverte offert à l'inscription (coût d'acquisition : 0 $ pour nous, 3 crédits par salon).</w:t>
      </w:r>
    </w:p>
    <w:p>
      <w:pPr>
        <w:pStyle w:val="ListParagraph"/>
        <w:numPr>
          <w:ilvl w:val="0"/>
          <w:numId w:val="2"/>
        </w:numPr>
        <w:spacing w:after="40" w:before="40"/>
      </w:pPr>
      <w:r>
        <w:rPr>
          <w:rFonts w:ascii="Arial" w:cs="Arial" w:eastAsia="Arial" w:hAnsi="Arial"/>
          <w:b w:val="false"/>
          <w:bCs w:val="false"/>
          <w:color w:val="2D2D2D"/>
          <w:sz w:val="22"/>
          <w:szCs w:val="22"/>
        </w:rPr>
        <w:t xml:space="preserve">Abonnement ESSENTIEL : premier mois à 29 $ au lieu de 59 $ pour les inscriptions avant le 30 juin 2026.</w:t>
      </w:r>
    </w:p>
    <w:p>
      <w:pPr>
        <w:pStyle w:val="ListParagraph"/>
        <w:numPr>
          <w:ilvl w:val="0"/>
          <w:numId w:val="2"/>
        </w:numPr>
        <w:spacing w:after="40" w:before="40"/>
      </w:pPr>
      <w:r>
        <w:rPr>
          <w:rFonts w:ascii="Arial" w:cs="Arial" w:eastAsia="Arial" w:hAnsi="Arial"/>
          <w:b w:val="false"/>
          <w:bCs w:val="false"/>
          <w:color w:val="2D2D2D"/>
          <w:sz w:val="22"/>
          <w:szCs w:val="22"/>
        </w:rPr>
        <w:t xml:space="preserve">Palier RÉSEAU : premier mois offert pour tout contrat annuel signé au lancement.</w:t>
      </w:r>
    </w:p>
    <w:p>
      <w:pPr>
        <w:spacing w:after="60" w:before="120"/>
      </w:pPr>
    </w:p>
    <w:p>
      <w:pPr>
        <w:pStyle w:val="Heading2"/>
        <w:spacing w:after="100" w:before="280"/>
      </w:pPr>
      <w:r>
        <w:rPr>
          <w:rFonts w:ascii="Arial" w:cs="Arial" w:eastAsia="Arial" w:hAnsi="Arial"/>
          <w:b/>
          <w:bCs/>
          <w:color w:val="1A7A6E"/>
          <w:sz w:val="26"/>
          <w:szCs w:val="26"/>
        </w:rPr>
        <w:t xml:space="preserve">6.5 Métriques clés à suivre</w:t>
      </w:r>
    </w:p>
    <w:p>
      <w:pPr>
        <w:pStyle w:val="ListParagraph"/>
        <w:numPr>
          <w:ilvl w:val="0"/>
          <w:numId w:val="2"/>
        </w:numPr>
        <w:spacing w:after="40" w:before="40"/>
      </w:pPr>
      <w:r>
        <w:rPr>
          <w:rFonts w:ascii="Arial" w:cs="Arial" w:eastAsia="Arial" w:hAnsi="Arial"/>
          <w:b w:val="false"/>
          <w:bCs w:val="false"/>
          <w:color w:val="2D2D2D"/>
          <w:sz w:val="22"/>
          <w:szCs w:val="22"/>
        </w:rPr>
        <w:t xml:space="preserve">Taux de conversion Découverte → abonnement : cible &gt; 40 % dans les 60 jours suivant l'achat.</w:t>
      </w:r>
    </w:p>
    <w:p>
      <w:pPr>
        <w:pStyle w:val="ListParagraph"/>
        <w:numPr>
          <w:ilvl w:val="0"/>
          <w:numId w:val="2"/>
        </w:numPr>
        <w:spacing w:after="40" w:before="40"/>
      </w:pPr>
      <w:r>
        <w:rPr>
          <w:rFonts w:ascii="Arial" w:cs="Arial" w:eastAsia="Arial" w:hAnsi="Arial"/>
          <w:b w:val="false"/>
          <w:bCs w:val="false"/>
          <w:color w:val="2D2D2D"/>
          <w:sz w:val="22"/>
          <w:szCs w:val="22"/>
        </w:rPr>
        <w:t xml:space="preserve">ARPU par palier : cible &gt; 70 $ (ESSENTIEL), &gt; 120 $ (SALON) en incluant les crédits supplémentaires.</w:t>
      </w:r>
    </w:p>
    <w:p>
      <w:pPr>
        <w:pStyle w:val="ListParagraph"/>
        <w:numPr>
          <w:ilvl w:val="0"/>
          <w:numId w:val="2"/>
        </w:numPr>
        <w:spacing w:after="40" w:before="40"/>
      </w:pPr>
      <w:r>
        <w:rPr>
          <w:rFonts w:ascii="Arial" w:cs="Arial" w:eastAsia="Arial" w:hAnsi="Arial"/>
          <w:b w:val="false"/>
          <w:bCs w:val="false"/>
          <w:color w:val="2D2D2D"/>
          <w:sz w:val="22"/>
          <w:szCs w:val="22"/>
        </w:rPr>
        <w:t xml:space="preserve">Taux d'upgrade inter-paliers : déclencher une notification après 3 mois à &gt; 80 % d'utilisation des crédits.</w:t>
      </w:r>
    </w:p>
    <w:p>
      <w:pPr>
        <w:pStyle w:val="ListParagraph"/>
        <w:numPr>
          <w:ilvl w:val="0"/>
          <w:numId w:val="2"/>
        </w:numPr>
        <w:spacing w:after="40" w:before="40"/>
      </w:pPr>
      <w:r>
        <w:rPr>
          <w:rFonts w:ascii="Arial" w:cs="Arial" w:eastAsia="Arial" w:hAnsi="Arial"/>
          <w:b w:val="false"/>
          <w:bCs w:val="false"/>
          <w:color w:val="2D2D2D"/>
          <w:sz w:val="22"/>
          <w:szCs w:val="22"/>
        </w:rPr>
        <w:t xml:space="preserve">Churn mensuel : cible &lt; 3 % sur abonnements annuels, &lt; 5 % sur mensuels.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6"/>
        <w:szCs w:val="16"/>
      </w:rPr>
      <w:t xml:space="preserve">Usage interne · Version 2.0 · Mars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E" w:sz="6" w:space="1"/>
      </w:pBdr>
    </w:pPr>
    <w:r>
      <w:rPr>
        <w:rFonts w:ascii="Arial" w:cs="Arial" w:eastAsia="Arial" w:hAnsi="Arial"/>
        <w:color w:val="888888"/>
        <w:sz w:val="18"/>
        <w:szCs w:val="18"/>
      </w:rPr>
      <w:t xml:space="preserve">SOS Toilettage  ·  Stratégie de Tarification V2 — Québec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B4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2026-03-05T17:00:51.042Z</dcterms:created>
  <dcterms:modified xsi:type="dcterms:W3CDTF">2026-03-05T17:00:51.042Z</dcterms:modified>
</cp:coreProperties>
</file>

<file path=docProps/custom.xml><?xml version="1.0" encoding="utf-8"?>
<Properties xmlns="http://schemas.openxmlformats.org/officeDocument/2006/custom-properties" xmlns:vt="http://schemas.openxmlformats.org/officeDocument/2006/docPropsVTypes"/>
</file>