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1010" w14:textId="77777777" w:rsidR="00FC1231" w:rsidRPr="00FC1231" w:rsidRDefault="00FC1231" w:rsidP="00FC12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C1231">
        <w:rPr>
          <w:rFonts w:ascii="Times New Roman" w:eastAsia="Times New Roman" w:hAnsi="Times New Roman" w:cs="Times New Roman"/>
          <w:b/>
          <w:bCs/>
          <w:kern w:val="36"/>
          <w:sz w:val="48"/>
          <w:szCs w:val="48"/>
          <w14:ligatures w14:val="none"/>
        </w:rPr>
        <w:t>The High-Value dB</w:t>
      </w:r>
    </w:p>
    <w:p w14:paraId="3849F4FA" w14:textId="77777777" w:rsidR="00FC1231" w:rsidRPr="00FC1231" w:rsidRDefault="00FC1231" w:rsidP="00FC12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C1231">
        <w:rPr>
          <w:rFonts w:ascii="Times New Roman" w:eastAsia="Times New Roman" w:hAnsi="Times New Roman" w:cs="Times New Roman"/>
          <w:b/>
          <w:bCs/>
          <w:kern w:val="0"/>
          <w:sz w:val="27"/>
          <w:szCs w:val="27"/>
          <w14:ligatures w14:val="none"/>
        </w:rPr>
        <w:t>Why Some Decibels Are Worth More Than Others</w:t>
      </w:r>
    </w:p>
    <w:p w14:paraId="0847F962"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By Terry Gilton, W7TLG</w:t>
      </w:r>
    </w:p>
    <w:p w14:paraId="4C36E0EB"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Ask a group of radio amateurs whether a 3 dB improvement matters and most will give the same answer: a 3 dB improvement doubles power. Ask whether a 1 dB improvement matters and the typical response is that it is barely noticeable.</w:t>
      </w:r>
    </w:p>
    <w:p w14:paraId="705F79AD"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Strictly speaking, both statements are correct. A decibel is a logarithmic measure of power, and a 1 dB increase represents the same fractional change regardless of where it occurs. However, practical communication systems are not linear. They contain thresholds, nonlinearities, noise floors, and decision processes that determine whether a signal is successfully received or not.</w:t>
      </w:r>
    </w:p>
    <w:p w14:paraId="19CBC7A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This article explores a simple hypothesis:</w:t>
      </w:r>
    </w:p>
    <w:p w14:paraId="39B80BF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Not all decibels are equally valuable.</w:t>
      </w:r>
    </w:p>
    <w:p w14:paraId="64B0E870"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C1231">
        <w:rPr>
          <w:rFonts w:ascii="Times New Roman" w:eastAsia="Times New Roman" w:hAnsi="Times New Roman" w:cs="Times New Roman"/>
          <w:kern w:val="0"/>
          <w14:ligatures w14:val="none"/>
        </w:rPr>
        <w:t>In particular, decibels</w:t>
      </w:r>
      <w:proofErr w:type="gramEnd"/>
      <w:r w:rsidRPr="00FC1231">
        <w:rPr>
          <w:rFonts w:ascii="Times New Roman" w:eastAsia="Times New Roman" w:hAnsi="Times New Roman" w:cs="Times New Roman"/>
          <w:kern w:val="0"/>
          <w14:ligatures w14:val="none"/>
        </w:rPr>
        <w:t xml:space="preserve"> gained near the decoding threshold of a weak-signal digital mode may be worth substantially more than decibels gained when signals are already strong.</w:t>
      </w:r>
    </w:p>
    <w:p w14:paraId="71D1F05E"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The Decoder Cliff</w:t>
      </w:r>
    </w:p>
    <w:p w14:paraId="1DFF44A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Weak-signal digital modes such as WSPR and FT8 are designed to recover information from signals that are well below the audible noise floor. They accomplish this through narrow bandwidths, forward error correction, synchronization algorithms, and sophisticated decoding software.</w:t>
      </w:r>
    </w:p>
    <w:p w14:paraId="64F89F57"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Every decoder has a practical limit. As signal-to-noise ratio (SNR) decreases, successful decoding does not decline gradually forever. Instead, there is a transition region where the probability of successful decoding changes rapidly.</w:t>
      </w:r>
    </w:p>
    <w:p w14:paraId="3105B80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Above this region, nearly every transmission is decoded successfully. Below it, almost none are.</w:t>
      </w:r>
    </w:p>
    <w:p w14:paraId="4372B6B2"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Between those extremes lies what might be called the decoder cliff.</w:t>
      </w:r>
    </w:p>
    <w:p w14:paraId="22D79AB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When operating far above the cliff, an additional decibel may have little practical value. The signal was already being decoded. It will continue to be decoded.</w:t>
      </w:r>
    </w:p>
    <w:p w14:paraId="44562B7A"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Near the cliff, however, a single decibel may determine whether a signal is decoded at all.</w:t>
      </w:r>
    </w:p>
    <w:p w14:paraId="38CEC37C"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A Thought Experiment</w:t>
      </w:r>
    </w:p>
    <w:p w14:paraId="6F2E2F8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lastRenderedPageBreak/>
        <w:t>Consider two stations.</w:t>
      </w:r>
    </w:p>
    <w:p w14:paraId="59E34DAD"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first station is received at –10 dB SNR. The second is received at –24 dB SNR, close to the practical limit of the mode.</w:t>
      </w:r>
    </w:p>
    <w:p w14:paraId="0027BFB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Suppose both stations improve their antennas and gain 3 </w:t>
      </w:r>
      <w:proofErr w:type="spellStart"/>
      <w:r w:rsidRPr="00FC1231">
        <w:rPr>
          <w:rFonts w:ascii="Times New Roman" w:eastAsia="Times New Roman" w:hAnsi="Times New Roman" w:cs="Times New Roman"/>
          <w:kern w:val="0"/>
          <w14:ligatures w14:val="none"/>
        </w:rPr>
        <w:t>dB.</w:t>
      </w:r>
      <w:proofErr w:type="spellEnd"/>
    </w:p>
    <w:p w14:paraId="0FF1949D"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The first station moves from –10 dB to –7 </w:t>
      </w:r>
      <w:proofErr w:type="spellStart"/>
      <w:r w:rsidRPr="00FC1231">
        <w:rPr>
          <w:rFonts w:ascii="Times New Roman" w:eastAsia="Times New Roman" w:hAnsi="Times New Roman" w:cs="Times New Roman"/>
          <w:kern w:val="0"/>
          <w14:ligatures w14:val="none"/>
        </w:rPr>
        <w:t>dB.</w:t>
      </w:r>
      <w:proofErr w:type="spellEnd"/>
      <w:r w:rsidRPr="00FC1231">
        <w:rPr>
          <w:rFonts w:ascii="Times New Roman" w:eastAsia="Times New Roman" w:hAnsi="Times New Roman" w:cs="Times New Roman"/>
          <w:kern w:val="0"/>
          <w14:ligatures w14:val="none"/>
        </w:rPr>
        <w:t xml:space="preserve"> The signal was already being decoded reliably and remains so.</w:t>
      </w:r>
    </w:p>
    <w:p w14:paraId="41DEFE10"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The second station moves from –24 dB to –21 </w:t>
      </w:r>
      <w:proofErr w:type="spellStart"/>
      <w:r w:rsidRPr="00FC1231">
        <w:rPr>
          <w:rFonts w:ascii="Times New Roman" w:eastAsia="Times New Roman" w:hAnsi="Times New Roman" w:cs="Times New Roman"/>
          <w:kern w:val="0"/>
          <w14:ligatures w14:val="none"/>
        </w:rPr>
        <w:t>dB.</w:t>
      </w:r>
      <w:proofErr w:type="spellEnd"/>
      <w:r w:rsidRPr="00FC1231">
        <w:rPr>
          <w:rFonts w:ascii="Times New Roman" w:eastAsia="Times New Roman" w:hAnsi="Times New Roman" w:cs="Times New Roman"/>
          <w:kern w:val="0"/>
          <w14:ligatures w14:val="none"/>
        </w:rPr>
        <w:t xml:space="preserve"> Paths that were previously marginal may now become decodable. Additional receiving stations may begin reporting the signal. Entire geographic regions may become newly reachable.</w:t>
      </w:r>
    </w:p>
    <w:p w14:paraId="22C58868"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same 3 dB improvement can therefore produce dramatically different practical outcomes.</w:t>
      </w:r>
    </w:p>
    <w:p w14:paraId="0F0ECC9C"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This observation led to what I began calling the High-Value </w:t>
      </w:r>
      <w:proofErr w:type="spellStart"/>
      <w:r w:rsidRPr="00FC1231">
        <w:rPr>
          <w:rFonts w:ascii="Times New Roman" w:eastAsia="Times New Roman" w:hAnsi="Times New Roman" w:cs="Times New Roman"/>
          <w:kern w:val="0"/>
          <w14:ligatures w14:val="none"/>
        </w:rPr>
        <w:t>dB.</w:t>
      </w:r>
      <w:proofErr w:type="spellEnd"/>
    </w:p>
    <w:p w14:paraId="45CC3372"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Looking for Evidence</w:t>
      </w:r>
    </w:p>
    <w:p w14:paraId="45DE6DC9"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To test the idea, I analyzed large public WSPR datasets from the 10-meter, 20-meter, and 40-meter amateur bands.</w:t>
      </w:r>
    </w:p>
    <w:p w14:paraId="01269BE7"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analysis examined stations that transmitted at multiple power levels. For each transmitter, I compared the number of unique receiving stations reporting the signal at different power settings. Receiver growth was normalized by the power difference to estimate the practical value of an additional decibel.</w:t>
      </w:r>
    </w:p>
    <w:p w14:paraId="4137A544"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key metric was receiver growth per dB:</w:t>
      </w:r>
    </w:p>
    <w:p w14:paraId="0ECBEBF6"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G = \</w:t>
      </w:r>
      <w:proofErr w:type="gramStart"/>
      <w:r w:rsidRPr="00FC1231">
        <w:rPr>
          <w:rFonts w:ascii="Times New Roman" w:eastAsia="Times New Roman" w:hAnsi="Times New Roman" w:cs="Times New Roman"/>
          <w:kern w:val="0"/>
          <w14:ligatures w14:val="none"/>
        </w:rPr>
        <w:t>frac{</w:t>
      </w:r>
      <w:proofErr w:type="gramEnd"/>
      <w:r w:rsidRPr="00FC1231">
        <w:rPr>
          <w:rFonts w:ascii="Times New Roman" w:eastAsia="Times New Roman" w:hAnsi="Times New Roman" w:cs="Times New Roman"/>
          <w:kern w:val="0"/>
          <w14:ligatures w14:val="none"/>
        </w:rPr>
        <w:t>\</w:t>
      </w:r>
      <w:proofErr w:type="gramStart"/>
      <w:r w:rsidRPr="00FC1231">
        <w:rPr>
          <w:rFonts w:ascii="Times New Roman" w:eastAsia="Times New Roman" w:hAnsi="Times New Roman" w:cs="Times New Roman"/>
          <w:kern w:val="0"/>
          <w14:ligatures w14:val="none"/>
        </w:rPr>
        <w:t>ln(</w:t>
      </w:r>
      <w:proofErr w:type="gramEnd"/>
      <w:r w:rsidRPr="00FC1231">
        <w:rPr>
          <w:rFonts w:ascii="Times New Roman" w:eastAsia="Times New Roman" w:hAnsi="Times New Roman" w:cs="Times New Roman"/>
          <w:kern w:val="0"/>
          <w14:ligatures w14:val="none"/>
        </w:rPr>
        <w:t>\</w:t>
      </w:r>
      <w:proofErr w:type="gramStart"/>
      <w:r w:rsidRPr="00FC1231">
        <w:rPr>
          <w:rFonts w:ascii="Times New Roman" w:eastAsia="Times New Roman" w:hAnsi="Times New Roman" w:cs="Times New Roman"/>
          <w:kern w:val="0"/>
          <w14:ligatures w14:val="none"/>
        </w:rPr>
        <w:t>text{</w:t>
      </w:r>
      <w:proofErr w:type="gramEnd"/>
      <w:r w:rsidRPr="00FC1231">
        <w:rPr>
          <w:rFonts w:ascii="Times New Roman" w:eastAsia="Times New Roman" w:hAnsi="Times New Roman" w:cs="Times New Roman"/>
          <w:kern w:val="0"/>
          <w14:ligatures w14:val="none"/>
        </w:rPr>
        <w:t>Receiver Ratio}</w:t>
      </w:r>
      <w:proofErr w:type="gramStart"/>
      <w:r w:rsidRPr="00FC1231">
        <w:rPr>
          <w:rFonts w:ascii="Times New Roman" w:eastAsia="Times New Roman" w:hAnsi="Times New Roman" w:cs="Times New Roman"/>
          <w:kern w:val="0"/>
          <w14:ligatures w14:val="none"/>
        </w:rPr>
        <w:t>)}{</w:t>
      </w:r>
      <w:proofErr w:type="gramEnd"/>
      <w:r w:rsidRPr="00FC1231">
        <w:rPr>
          <w:rFonts w:ascii="Times New Roman" w:eastAsia="Times New Roman" w:hAnsi="Times New Roman" w:cs="Times New Roman"/>
          <w:kern w:val="0"/>
          <w14:ligatures w14:val="none"/>
        </w:rPr>
        <w:t>\Delta P}</w:t>
      </w:r>
    </w:p>
    <w:p w14:paraId="4027FB88"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where Receiver Ratio is the ratio of unique receiving stations observed at the higher power level versus the lower power level.</w:t>
      </w:r>
    </w:p>
    <w:p w14:paraId="58E96EF7"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Positive values indicate that additional power produced additional successful reception paths.</w:t>
      </w:r>
    </w:p>
    <w:p w14:paraId="0E52DC6A"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Results</w:t>
      </w:r>
    </w:p>
    <w:p w14:paraId="1BDE8A74"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Signals were grouped into three regions:</w:t>
      </w:r>
    </w:p>
    <w:p w14:paraId="4372439B" w14:textId="77777777" w:rsidR="00FC1231" w:rsidRPr="00FC1231" w:rsidRDefault="00FC1231" w:rsidP="00FC12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Weak: SNR below approximately –22 dB</w:t>
      </w:r>
    </w:p>
    <w:p w14:paraId="11986562" w14:textId="77777777" w:rsidR="00FC1231" w:rsidRPr="00FC1231" w:rsidRDefault="00FC1231" w:rsidP="00FC12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Medium: SNR between –22 dB and –15 dB</w:t>
      </w:r>
    </w:p>
    <w:p w14:paraId="1E760C70" w14:textId="77777777" w:rsidR="00FC1231" w:rsidRPr="00FC1231" w:rsidRDefault="00FC1231" w:rsidP="00FC123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Strong: SNR above –15 dB</w:t>
      </w:r>
    </w:p>
    <w:p w14:paraId="31C7E22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lastRenderedPageBreak/>
        <w:t xml:space="preserve">Across both 20 meters and 40 meters, the weak-signal region consistently exhibited the largest receiver growth per </w:t>
      </w:r>
      <w:proofErr w:type="spellStart"/>
      <w:r w:rsidRPr="00FC1231">
        <w:rPr>
          <w:rFonts w:ascii="Times New Roman" w:eastAsia="Times New Roman" w:hAnsi="Times New Roman" w:cs="Times New Roman"/>
          <w:kern w:val="0"/>
          <w14:ligatures w14:val="none"/>
        </w:rPr>
        <w:t>dB.</w:t>
      </w:r>
      <w:proofErr w:type="spellEnd"/>
    </w:p>
    <w:p w14:paraId="5C3AE3BA"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On 20 meters, the measured gain per dB in the weak region was roughly five times larger than in the strong-signal region.</w:t>
      </w:r>
    </w:p>
    <w:p w14:paraId="5A3F4B4F"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On 40 meters, the effect was even more pronounced.</w:t>
      </w:r>
    </w:p>
    <w:p w14:paraId="4938EF63"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Bootstrap confidence interval analysis showed that the weak-signal region exhibited statistically significant positive gain-per-dB behavior, while the strong-signal region did not.</w:t>
      </w:r>
    </w:p>
    <w:p w14:paraId="28449311" w14:textId="4B1D23D5"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The 10-meter results were more complex because the dataset covered a full year </w:t>
      </w:r>
      <w:proofErr w:type="gramStart"/>
      <w:r w:rsidR="00651530">
        <w:rPr>
          <w:rFonts w:ascii="Times New Roman" w:eastAsia="Times New Roman" w:hAnsi="Times New Roman" w:cs="Times New Roman"/>
          <w:kern w:val="0"/>
          <w14:ligatures w14:val="none"/>
        </w:rPr>
        <w:t>in order to</w:t>
      </w:r>
      <w:proofErr w:type="gramEnd"/>
      <w:r w:rsidR="00651530">
        <w:rPr>
          <w:rFonts w:ascii="Times New Roman" w:eastAsia="Times New Roman" w:hAnsi="Times New Roman" w:cs="Times New Roman"/>
          <w:kern w:val="0"/>
          <w14:ligatures w14:val="none"/>
        </w:rPr>
        <w:t xml:space="preserve"> match the number of samples across the three </w:t>
      </w:r>
      <w:proofErr w:type="gramStart"/>
      <w:r w:rsidR="00651530">
        <w:rPr>
          <w:rFonts w:ascii="Times New Roman" w:eastAsia="Times New Roman" w:hAnsi="Times New Roman" w:cs="Times New Roman"/>
          <w:kern w:val="0"/>
          <w14:ligatures w14:val="none"/>
        </w:rPr>
        <w:t xml:space="preserve">bands, </w:t>
      </w:r>
      <w:r w:rsidRPr="00FC1231">
        <w:rPr>
          <w:rFonts w:ascii="Times New Roman" w:eastAsia="Times New Roman" w:hAnsi="Times New Roman" w:cs="Times New Roman"/>
          <w:kern w:val="0"/>
          <w14:ligatures w14:val="none"/>
        </w:rPr>
        <w:t>and</w:t>
      </w:r>
      <w:proofErr w:type="gramEnd"/>
      <w:r w:rsidRPr="00FC1231">
        <w:rPr>
          <w:rFonts w:ascii="Times New Roman" w:eastAsia="Times New Roman" w:hAnsi="Times New Roman" w:cs="Times New Roman"/>
          <w:kern w:val="0"/>
          <w14:ligatures w14:val="none"/>
        </w:rPr>
        <w:t xml:space="preserve"> therefore included large seasonal and propagation variations. Nevertheless, the strongest gain-per-dB values were again observed in the weakest-signal region.</w:t>
      </w:r>
    </w:p>
    <w:p w14:paraId="69CAAE7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exact numerical values should not be over-interpreted. Propagation, station characteristics, and operating behavior all contribute uncertainty. The important observation is the consistent trend.</w:t>
      </w:r>
    </w:p>
    <w:p w14:paraId="1F9318E4" w14:textId="7D1839B0"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Additional dB appear to provide substantially greater practical benefit when signals </w:t>
      </w:r>
      <w:r w:rsidR="00651530">
        <w:rPr>
          <w:rFonts w:ascii="Times New Roman" w:eastAsia="Times New Roman" w:hAnsi="Times New Roman" w:cs="Times New Roman"/>
          <w:kern w:val="0"/>
          <w14:ligatures w14:val="none"/>
        </w:rPr>
        <w:t>are</w:t>
      </w:r>
      <w:r w:rsidRPr="00FC1231">
        <w:rPr>
          <w:rFonts w:ascii="Times New Roman" w:eastAsia="Times New Roman" w:hAnsi="Times New Roman" w:cs="Times New Roman"/>
          <w:kern w:val="0"/>
          <w14:ligatures w14:val="none"/>
        </w:rPr>
        <w:t xml:space="preserve"> near the decoding threshold.</w:t>
      </w:r>
    </w:p>
    <w:p w14:paraId="692EB59F"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Implications for Amateur Operators</w:t>
      </w:r>
    </w:p>
    <w:p w14:paraId="3FFA89F3"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results suggest a different way of thinking about station improvements.</w:t>
      </w:r>
    </w:p>
    <w:p w14:paraId="098B0C6B"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 xml:space="preserve">Many operators evaluate antennas, amplifiers, and receiving systems solely in terms of </w:t>
      </w:r>
      <w:proofErr w:type="spellStart"/>
      <w:r w:rsidRPr="00FC1231">
        <w:rPr>
          <w:rFonts w:ascii="Times New Roman" w:eastAsia="Times New Roman" w:hAnsi="Times New Roman" w:cs="Times New Roman"/>
          <w:kern w:val="0"/>
          <w14:ligatures w14:val="none"/>
        </w:rPr>
        <w:t>dB.</w:t>
      </w:r>
      <w:proofErr w:type="spellEnd"/>
      <w:r w:rsidRPr="00FC1231">
        <w:rPr>
          <w:rFonts w:ascii="Times New Roman" w:eastAsia="Times New Roman" w:hAnsi="Times New Roman" w:cs="Times New Roman"/>
          <w:kern w:val="0"/>
          <w14:ligatures w14:val="none"/>
        </w:rPr>
        <w:t xml:space="preserve"> A 1 dB improvement is often dismissed because it sounds small.</w:t>
      </w:r>
    </w:p>
    <w:p w14:paraId="36680FE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The High-Value dB concept suggests that the value of that 1 dB depends strongly on where the station normally operates.</w:t>
      </w:r>
    </w:p>
    <w:p w14:paraId="51360E9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For stations already producing strong signals, additional power may provide little practical benefit.</w:t>
      </w:r>
    </w:p>
    <w:p w14:paraId="21DBA21C"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For stations operating near weak-signal thresholds, however, even modest improvements may significantly increase successful reception, coverage area, or the number of stations capable of decoding a transmission.</w:t>
      </w:r>
    </w:p>
    <w:p w14:paraId="01E6D66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This is particularly relevant for:</w:t>
      </w:r>
    </w:p>
    <w:p w14:paraId="0FBCEDAA"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WSPR</w:t>
      </w:r>
    </w:p>
    <w:p w14:paraId="5DF652F9"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FT8</w:t>
      </w:r>
    </w:p>
    <w:p w14:paraId="4DD9FE7C"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Q65</w:t>
      </w:r>
    </w:p>
    <w:p w14:paraId="3F04C7B1"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EME</w:t>
      </w:r>
    </w:p>
    <w:p w14:paraId="356DB9AD"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lastRenderedPageBreak/>
        <w:t>Meteor scatter</w:t>
      </w:r>
    </w:p>
    <w:p w14:paraId="4D78FCA9" w14:textId="77777777" w:rsidR="00FC1231" w:rsidRPr="00FC1231" w:rsidRDefault="00FC1231" w:rsidP="00FC123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Weak-signal VHF and microwave work</w:t>
      </w:r>
    </w:p>
    <w:p w14:paraId="3581BEEE"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In these applications, reducing receive noise by 1 dB may be just as valuable as increasing transmit power by 1 dB—and sometimes more valuable.</w:t>
      </w:r>
    </w:p>
    <w:p w14:paraId="4D867AA4" w14:textId="77777777" w:rsidR="00FC1231" w:rsidRPr="00FC1231" w:rsidRDefault="00FC1231" w:rsidP="00FC12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C1231">
        <w:rPr>
          <w:rFonts w:ascii="Times New Roman" w:eastAsia="Times New Roman" w:hAnsi="Times New Roman" w:cs="Times New Roman"/>
          <w:b/>
          <w:bCs/>
          <w:kern w:val="0"/>
          <w:sz w:val="36"/>
          <w:szCs w:val="36"/>
          <w14:ligatures w14:val="none"/>
        </w:rPr>
        <w:t>Conclusions</w:t>
      </w:r>
    </w:p>
    <w:p w14:paraId="3B1BB8AD"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Classical radio theory treats every decibel identically. Practical communication systems do not.</w:t>
      </w:r>
    </w:p>
    <w:p w14:paraId="3188892F"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Analysis of millions of WSPR reception reports suggests the existence of a High-Value dB region near the decoding threshold of weak-signal digital modes. In this region, additional signal strength produces disproportionately large increases in successful reception compared with equivalent improvements made to already strong signals.</w:t>
      </w:r>
    </w:p>
    <w:p w14:paraId="5E039CB9"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Further study is warranted, particularly using controlled experiments and additional digital modes. Nevertheless, the evidence suggests that the question amateur operators should ask is not:</w:t>
      </w:r>
    </w:p>
    <w:p w14:paraId="4BA05E71"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“How many dB did I gain?”</w:t>
      </w:r>
    </w:p>
    <w:p w14:paraId="6253EAD8"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but rather:</w:t>
      </w:r>
    </w:p>
    <w:p w14:paraId="4865397C" w14:textId="77777777"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t>“Where am I operating relative to the decoder cliff?”</w:t>
      </w:r>
    </w:p>
    <w:p w14:paraId="172F7161" w14:textId="1009137A" w:rsidR="0051774A"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sidRPr="00FC1231">
        <w:rPr>
          <w:rFonts w:ascii="Times New Roman" w:eastAsia="Times New Roman" w:hAnsi="Times New Roman" w:cs="Times New Roman"/>
          <w:kern w:val="0"/>
          <w14:ligatures w14:val="none"/>
        </w:rPr>
        <w:lastRenderedPageBreak/>
        <w:t>The answer may determine whether that next decibel is merely interesting—or extraordinarily valuable.</w:t>
      </w:r>
      <w:r>
        <w:rPr>
          <w:rFonts w:ascii="Times New Roman" w:eastAsia="Times New Roman" w:hAnsi="Times New Roman" w:cs="Times New Roman"/>
          <w:noProof/>
          <w:kern w:val="0"/>
        </w:rPr>
        <w:drawing>
          <wp:inline distT="0" distB="0" distL="0" distR="0" wp14:anchorId="473CDE13" wp14:editId="054BDFDB">
            <wp:extent cx="5943600" cy="3714750"/>
            <wp:effectExtent l="0" t="0" r="0" b="6350"/>
            <wp:docPr id="159233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32354" name="Picture 15923323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EBA470" w14:textId="13276B5D" w:rsid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A4E876E" wp14:editId="679975DF">
            <wp:extent cx="5943600" cy="3714750"/>
            <wp:effectExtent l="0" t="0" r="0" b="6350"/>
            <wp:docPr id="1150073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3839" name="Picture 11500738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8C0F976" w14:textId="0DF2AEA8" w:rsidR="00FC1231" w:rsidRPr="00FC1231" w:rsidRDefault="00FC1231" w:rsidP="00FC12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0A25766" wp14:editId="03016557">
            <wp:extent cx="5943600" cy="3714750"/>
            <wp:effectExtent l="0" t="0" r="0" b="6350"/>
            <wp:docPr id="598580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0428" name="Picture 5985804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sectPr w:rsidR="00FC1231" w:rsidRPr="00FC1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472A"/>
    <w:multiLevelType w:val="multilevel"/>
    <w:tmpl w:val="9FC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21A54"/>
    <w:multiLevelType w:val="multilevel"/>
    <w:tmpl w:val="5664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94392"/>
    <w:multiLevelType w:val="multilevel"/>
    <w:tmpl w:val="F81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341331">
    <w:abstractNumId w:val="1"/>
  </w:num>
  <w:num w:numId="2" w16cid:durableId="1374649430">
    <w:abstractNumId w:val="0"/>
  </w:num>
  <w:num w:numId="3" w16cid:durableId="2044790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31"/>
    <w:rsid w:val="000A1BF5"/>
    <w:rsid w:val="000F2E9F"/>
    <w:rsid w:val="001F4562"/>
    <w:rsid w:val="00257E7D"/>
    <w:rsid w:val="0051774A"/>
    <w:rsid w:val="00651530"/>
    <w:rsid w:val="008D1CDD"/>
    <w:rsid w:val="00936DF4"/>
    <w:rsid w:val="00FC1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5A2B74"/>
  <w15:chartTrackingRefBased/>
  <w15:docId w15:val="{2451D976-C706-FE4E-BE9B-4A47731B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31"/>
    <w:rPr>
      <w:rFonts w:eastAsiaTheme="majorEastAsia" w:cstheme="majorBidi"/>
      <w:color w:val="272727" w:themeColor="text1" w:themeTint="D8"/>
    </w:rPr>
  </w:style>
  <w:style w:type="paragraph" w:styleId="Title">
    <w:name w:val="Title"/>
    <w:basedOn w:val="Normal"/>
    <w:next w:val="Normal"/>
    <w:link w:val="TitleChar"/>
    <w:uiPriority w:val="10"/>
    <w:qFormat/>
    <w:rsid w:val="00FC1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31"/>
    <w:pPr>
      <w:spacing w:before="160"/>
      <w:jc w:val="center"/>
    </w:pPr>
    <w:rPr>
      <w:i/>
      <w:iCs/>
      <w:color w:val="404040" w:themeColor="text1" w:themeTint="BF"/>
    </w:rPr>
  </w:style>
  <w:style w:type="character" w:customStyle="1" w:styleId="QuoteChar">
    <w:name w:val="Quote Char"/>
    <w:basedOn w:val="DefaultParagraphFont"/>
    <w:link w:val="Quote"/>
    <w:uiPriority w:val="29"/>
    <w:rsid w:val="00FC1231"/>
    <w:rPr>
      <w:i/>
      <w:iCs/>
      <w:color w:val="404040" w:themeColor="text1" w:themeTint="BF"/>
    </w:rPr>
  </w:style>
  <w:style w:type="paragraph" w:styleId="ListParagraph">
    <w:name w:val="List Paragraph"/>
    <w:basedOn w:val="Normal"/>
    <w:uiPriority w:val="34"/>
    <w:qFormat/>
    <w:rsid w:val="00FC1231"/>
    <w:pPr>
      <w:ind w:left="720"/>
      <w:contextualSpacing/>
    </w:pPr>
  </w:style>
  <w:style w:type="character" w:styleId="IntenseEmphasis">
    <w:name w:val="Intense Emphasis"/>
    <w:basedOn w:val="DefaultParagraphFont"/>
    <w:uiPriority w:val="21"/>
    <w:qFormat/>
    <w:rsid w:val="00FC1231"/>
    <w:rPr>
      <w:i/>
      <w:iCs/>
      <w:color w:val="0F4761" w:themeColor="accent1" w:themeShade="BF"/>
    </w:rPr>
  </w:style>
  <w:style w:type="paragraph" w:styleId="IntenseQuote">
    <w:name w:val="Intense Quote"/>
    <w:basedOn w:val="Normal"/>
    <w:next w:val="Normal"/>
    <w:link w:val="IntenseQuoteChar"/>
    <w:uiPriority w:val="30"/>
    <w:qFormat/>
    <w:rsid w:val="00FC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231"/>
    <w:rPr>
      <w:i/>
      <w:iCs/>
      <w:color w:val="0F4761" w:themeColor="accent1" w:themeShade="BF"/>
    </w:rPr>
  </w:style>
  <w:style w:type="character" w:styleId="IntenseReference">
    <w:name w:val="Intense Reference"/>
    <w:basedOn w:val="DefaultParagraphFont"/>
    <w:uiPriority w:val="32"/>
    <w:qFormat/>
    <w:rsid w:val="00FC1231"/>
    <w:rPr>
      <w:b/>
      <w:bCs/>
      <w:smallCaps/>
      <w:color w:val="0F4761" w:themeColor="accent1" w:themeShade="BF"/>
      <w:spacing w:val="5"/>
    </w:rPr>
  </w:style>
  <w:style w:type="paragraph" w:customStyle="1" w:styleId="p1">
    <w:name w:val="p1"/>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C1231"/>
  </w:style>
  <w:style w:type="paragraph" w:customStyle="1" w:styleId="p3">
    <w:name w:val="p3"/>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FC12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tgilton@me.com</dc:creator>
  <cp:keywords/>
  <dc:description/>
  <cp:lastModifiedBy>tgilton@me.com</cp:lastModifiedBy>
  <cp:revision>2</cp:revision>
  <dcterms:created xsi:type="dcterms:W3CDTF">2026-05-29T16:07:00Z</dcterms:created>
  <dcterms:modified xsi:type="dcterms:W3CDTF">2026-05-29T18:14:00Z</dcterms:modified>
</cp:coreProperties>
</file>