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8E944D" w14:textId="77777777" w:rsidR="00DA106B" w:rsidRDefault="00DA106B" w:rsidP="00DA106B">
      <w:r>
        <w:t xml:space="preserve">Email 1 seems to have double introductions. </w:t>
      </w:r>
    </w:p>
    <w:p w14:paraId="5ADC3167" w14:textId="77777777" w:rsidR="00DA106B" w:rsidRDefault="00DA106B" w:rsidP="00DA106B"/>
    <w:p w14:paraId="4C6017AE" w14:textId="77777777" w:rsidR="00DA106B" w:rsidRDefault="00DA106B" w:rsidP="00DA106B">
      <w:r>
        <w:t>Hello {{first_name}},</w:t>
      </w:r>
    </w:p>
    <w:p w14:paraId="1D795132" w14:textId="77777777" w:rsidR="00DA106B" w:rsidRDefault="00DA106B" w:rsidP="00DA106B">
      <w:r>
        <w:t>My name is Tim Glidewell, and I'm the Spatial Regional Account Manager at Bruker Spatial Biology (https://brukerspatialbiology.com/).</w:t>
      </w:r>
    </w:p>
    <w:p w14:paraId="522C9C9E" w14:textId="77777777" w:rsidR="00DA106B" w:rsidRDefault="00DA106B" w:rsidP="00DA106B"/>
    <w:p w14:paraId="14812EBF" w14:textId="77777777" w:rsidR="00DA106B" w:rsidRDefault="00DA106B" w:rsidP="00DA106B">
      <w:r>
        <w:t>Below is an example demonstrating single-cell spatial protein phenotyping in tissue sections at high-resolution integrated fluidics imaging:</w:t>
      </w:r>
    </w:p>
    <w:p w14:paraId="3AEB0498" w14:textId="77777777" w:rsidR="00DA106B" w:rsidRDefault="00DA106B" w:rsidP="00DA106B">
      <w:r>
        <w:t>Image: CellScape_SpatialProteomics_WorkflowIntegration_IntegratedFluidicsImaging_Image.png.png</w:t>
      </w:r>
    </w:p>
    <w:p w14:paraId="651BFF54" w14:textId="77777777" w:rsidR="00DA106B" w:rsidRDefault="00DA106B" w:rsidP="00DA106B"/>
    <w:p w14:paraId="7E1F179F" w14:textId="77777777" w:rsidR="00DA106B" w:rsidRDefault="00DA106B" w:rsidP="00DA106B">
      <w:r>
        <w:t>I’m Tim Glidewell, and I am the Spatial Regional Account Manager for the Bay Area. Nice to e-meet you.</w:t>
      </w:r>
    </w:p>
    <w:p w14:paraId="09DA345D" w14:textId="77777777" w:rsidR="00DA106B" w:rsidRDefault="00DA106B" w:rsidP="00DA106B"/>
    <w:p w14:paraId="1317822B" w14:textId="77777777" w:rsidR="00DA106B" w:rsidRDefault="00DA106B" w:rsidP="00DA106B">
      <w:r>
        <w:t>When a project moves toward real tissue testing, it can get hard to answer basic questions with confidence. Where did the material actually go in the tissue, what cell types were near it, and did the readout change by location. Bulk readouts or a few stains can miss the uneven parts and you end up repeating runs to chase the same uncertainty.</w:t>
      </w:r>
    </w:p>
    <w:p w14:paraId="07E96FCF" w14:textId="77777777" w:rsidR="00DA106B" w:rsidRDefault="00DA106B" w:rsidP="00DA106B"/>
    <w:p w14:paraId="217316EB" w14:textId="77777777" w:rsidR="00DA106B" w:rsidRDefault="00DA106B" w:rsidP="00DA106B">
      <w:r>
        <w:t>CellScape (https://brukerspatialbiology.com/cellscap can help by giving quantitative spatial protein phenotyping directly on tissue sections, at single-cell resolution. A big practical benefit is antibody flexibility. You can use open source, directly conjugated antibodies and build only the markers you need, so you are not locked into predefined panels as the biology and the engineering questions change.</w:t>
      </w:r>
    </w:p>
    <w:p w14:paraId="5742EA1F" w14:textId="77777777" w:rsidR="00DA106B" w:rsidRDefault="00DA106B" w:rsidP="00DA106B"/>
    <w:p w14:paraId="3D1C7C4E" w14:textId="77777777" w:rsidR="00DA106B" w:rsidRDefault="00DA106B" w:rsidP="00DA106B">
      <w:r>
        <w:t>Would you be open to an in-person conversation about where CellScape could reduce rework in tissue validation, while I’m in the area on February 23rd.</w:t>
      </w:r>
    </w:p>
    <w:p w14:paraId="08D99C66" w14:textId="77777777" w:rsidR="00DA106B" w:rsidRDefault="00DA106B" w:rsidP="00DA106B"/>
    <w:p w14:paraId="1F51A34A" w14:textId="77777777" w:rsidR="00DA106B" w:rsidRDefault="00DA106B" w:rsidP="00DA106B">
      <w:r>
        <w:t>I am available on the following dates and times.</w:t>
      </w:r>
    </w:p>
    <w:p w14:paraId="19F20422" w14:textId="77777777" w:rsidR="00DA106B" w:rsidRDefault="00DA106B" w:rsidP="00DA106B">
      <w:r>
        <w:t>February 23: 10am-2pm</w:t>
      </w:r>
    </w:p>
    <w:p w14:paraId="7495534E" w14:textId="77777777" w:rsidR="00DA106B" w:rsidRDefault="00DA106B" w:rsidP="00DA106B">
      <w:r>
        <w:t>February 23: 10am-2pm</w:t>
      </w:r>
    </w:p>
    <w:p w14:paraId="1FA9D811" w14:textId="77777777" w:rsidR="00DA106B" w:rsidRDefault="00DA106B" w:rsidP="00DA106B">
      <w:r>
        <w:t>Let me know if you're available.</w:t>
      </w:r>
    </w:p>
    <w:p w14:paraId="51D2BA0C" w14:textId="77777777" w:rsidR="00DA106B" w:rsidRDefault="00DA106B" w:rsidP="00DA106B"/>
    <w:p w14:paraId="1C384F34" w14:textId="77777777" w:rsidR="00DA106B" w:rsidRDefault="00DA106B" w:rsidP="00DA106B"/>
    <w:p w14:paraId="3743467F" w14:textId="77777777" w:rsidR="00DA106B" w:rsidRDefault="00DA106B" w:rsidP="00DA106B">
      <w:r>
        <w:t>I've also attached the Vistaplex Assay Kit Validation and Design guide which outlines antibody validation and assay design for flexible, quantitative single-cell protein detection on CellScape.</w:t>
      </w:r>
    </w:p>
    <w:p w14:paraId="2AF4505A" w14:textId="77777777" w:rsidR="00DA106B" w:rsidRDefault="00DA106B" w:rsidP="00DA106B"/>
    <w:p w14:paraId="79BB5AD8" w14:textId="77777777" w:rsidR="00DA106B" w:rsidRDefault="00DA106B" w:rsidP="00DA106B">
      <w:r>
        <w:t>Attachments:</w:t>
      </w:r>
    </w:p>
    <w:p w14:paraId="2398FB9E" w14:textId="77777777" w:rsidR="00DA106B" w:rsidRDefault="00DA106B" w:rsidP="00DA106B">
      <w:r>
        <w:t>CellScape_Vistaplex Assay Kit Validation and Design_3.5mb.pdf</w:t>
      </w:r>
    </w:p>
    <w:p w14:paraId="3EF9ACA6" w14:textId="77777777" w:rsidR="00DA106B" w:rsidRDefault="00DA106B" w:rsidP="00DA106B"/>
    <w:p w14:paraId="0B612464" w14:textId="77777777" w:rsidR="00DA106B" w:rsidRDefault="00DA106B" w:rsidP="00DA106B">
      <w:r>
        <w:t>Thanks,</w:t>
      </w:r>
    </w:p>
    <w:p w14:paraId="28BDB9C4" w14:textId="77777777" w:rsidR="00DA106B" w:rsidRDefault="00DA106B" w:rsidP="00DA106B"/>
    <w:p w14:paraId="118C58D7" w14:textId="77777777" w:rsidR="00DA106B" w:rsidRDefault="00DA106B" w:rsidP="00DA106B"/>
    <w:p w14:paraId="5038F244" w14:textId="77777777" w:rsidR="00DA106B" w:rsidRDefault="00DA106B" w:rsidP="00DA106B"/>
    <w:p w14:paraId="33B30374" w14:textId="77777777" w:rsidR="00DA106B" w:rsidRDefault="00DA106B" w:rsidP="00DA106B">
      <w:r>
        <w:t>Also, again, I want the websites hyperlinked with the actual name. Like the example below:</w:t>
      </w:r>
    </w:p>
    <w:p w14:paraId="7598506E" w14:textId="77777777" w:rsidR="00DA106B" w:rsidRDefault="00DA106B" w:rsidP="00DA106B"/>
    <w:p w14:paraId="6F527D40" w14:textId="77777777" w:rsidR="00DA106B" w:rsidRDefault="00DA106B" w:rsidP="00DA106B">
      <w:r>
        <w:t>Hello {{first_name}}, </w:t>
      </w:r>
    </w:p>
    <w:p w14:paraId="4A9BF2AA" w14:textId="77777777" w:rsidR="00DA106B" w:rsidRDefault="00DA106B" w:rsidP="00DA106B"/>
    <w:p w14:paraId="5BB94BAF" w14:textId="77777777" w:rsidR="00DA106B" w:rsidRDefault="00DA106B" w:rsidP="00DA106B"/>
    <w:p w14:paraId="6E994FF0" w14:textId="77777777" w:rsidR="00DA106B" w:rsidRDefault="00DA106B" w:rsidP="00DA106B">
      <w:r>
        <w:t>My name is Tim Glidewell, and I’m the Spatial Regional Account Manager at Bruker Spatial Biology.</w:t>
      </w:r>
    </w:p>
    <w:p w14:paraId="0A9CA273" w14:textId="77777777" w:rsidR="00DA106B" w:rsidRDefault="00DA106B" w:rsidP="00DA106B"/>
    <w:p w14:paraId="3610DDC9" w14:textId="77777777" w:rsidR="00DA106B" w:rsidRDefault="00DA106B" w:rsidP="00DA106B"/>
    <w:p w14:paraId="401930DA" w14:textId="77777777" w:rsidR="00DA106B" w:rsidRDefault="00DA106B" w:rsidP="00DA106B">
      <w:r>
        <w:t>In dense brainstem tissue, it can be difficult to tell whether a signal comes from a single neuron or two cells tightly packed together. Many teams end up validating across multiple adjacent sections with repeated marker checks—effective, but often slow and iterative.</w:t>
      </w:r>
    </w:p>
    <w:p w14:paraId="1B6AF2CA" w14:textId="2173E3F4" w:rsidR="00B151AF" w:rsidRDefault="00DA106B" w:rsidP="00DA106B">
      <w:r>
        <w:t>CosMx Spatial Molecular Imager helps simplify this process by measuring thousands of RNAs directly in tissue and accurately assigning them to individual cells. This enables confident neuron subtype identification and neighborhood analysis while preserving the intact circuit context.</w:t>
      </w:r>
    </w:p>
    <w:sectPr w:rsidR="00B151AF">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D4EE0D" w14:textId="77777777" w:rsidR="00DA106B" w:rsidRDefault="00DA106B" w:rsidP="00DA106B">
      <w:pPr>
        <w:spacing w:after="0" w:line="240" w:lineRule="auto"/>
      </w:pPr>
      <w:r>
        <w:separator/>
      </w:r>
    </w:p>
  </w:endnote>
  <w:endnote w:type="continuationSeparator" w:id="0">
    <w:p w14:paraId="418A956E" w14:textId="77777777" w:rsidR="00DA106B" w:rsidRDefault="00DA106B" w:rsidP="00DA1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34BAF" w14:textId="77777777" w:rsidR="00DA106B" w:rsidRDefault="00DA10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950A8" w14:textId="77777777" w:rsidR="00DA106B" w:rsidRDefault="00DA10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E2D01" w14:textId="77777777" w:rsidR="00DA106B" w:rsidRDefault="00DA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C1D6E" w14:textId="77777777" w:rsidR="00DA106B" w:rsidRDefault="00DA106B" w:rsidP="00DA106B">
      <w:pPr>
        <w:spacing w:after="0" w:line="240" w:lineRule="auto"/>
      </w:pPr>
      <w:r>
        <w:separator/>
      </w:r>
    </w:p>
  </w:footnote>
  <w:footnote w:type="continuationSeparator" w:id="0">
    <w:p w14:paraId="001BF87C" w14:textId="77777777" w:rsidR="00DA106B" w:rsidRDefault="00DA106B" w:rsidP="00DA10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6B"/>
    <w:rsid w:val="005E4D2F"/>
    <w:rsid w:val="006A3C85"/>
    <w:rsid w:val="00A621DF"/>
    <w:rsid w:val="00B151AF"/>
    <w:rsid w:val="00DA1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874D2"/>
  <w15:chartTrackingRefBased/>
  <w15:docId w15:val="{F3807BB6-A429-4ADD-A22F-6A512800D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06B"/>
    <w:rPr>
      <w:rFonts w:eastAsiaTheme="majorEastAsia" w:cstheme="majorBidi"/>
      <w:color w:val="272727" w:themeColor="text1" w:themeTint="D8"/>
    </w:rPr>
  </w:style>
  <w:style w:type="paragraph" w:styleId="Title">
    <w:name w:val="Title"/>
    <w:basedOn w:val="Normal"/>
    <w:next w:val="Normal"/>
    <w:link w:val="TitleChar"/>
    <w:uiPriority w:val="10"/>
    <w:qFormat/>
    <w:rsid w:val="00DA1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06B"/>
    <w:pPr>
      <w:spacing w:before="160"/>
      <w:jc w:val="center"/>
    </w:pPr>
    <w:rPr>
      <w:i/>
      <w:iCs/>
      <w:color w:val="404040" w:themeColor="text1" w:themeTint="BF"/>
    </w:rPr>
  </w:style>
  <w:style w:type="character" w:customStyle="1" w:styleId="QuoteChar">
    <w:name w:val="Quote Char"/>
    <w:basedOn w:val="DefaultParagraphFont"/>
    <w:link w:val="Quote"/>
    <w:uiPriority w:val="29"/>
    <w:rsid w:val="00DA106B"/>
    <w:rPr>
      <w:i/>
      <w:iCs/>
      <w:color w:val="404040" w:themeColor="text1" w:themeTint="BF"/>
    </w:rPr>
  </w:style>
  <w:style w:type="paragraph" w:styleId="ListParagraph">
    <w:name w:val="List Paragraph"/>
    <w:basedOn w:val="Normal"/>
    <w:uiPriority w:val="34"/>
    <w:qFormat/>
    <w:rsid w:val="00DA106B"/>
    <w:pPr>
      <w:ind w:left="720"/>
      <w:contextualSpacing/>
    </w:pPr>
  </w:style>
  <w:style w:type="character" w:styleId="IntenseEmphasis">
    <w:name w:val="Intense Emphasis"/>
    <w:basedOn w:val="DefaultParagraphFont"/>
    <w:uiPriority w:val="21"/>
    <w:qFormat/>
    <w:rsid w:val="00DA106B"/>
    <w:rPr>
      <w:i/>
      <w:iCs/>
      <w:color w:val="0F4761" w:themeColor="accent1" w:themeShade="BF"/>
    </w:rPr>
  </w:style>
  <w:style w:type="paragraph" w:styleId="IntenseQuote">
    <w:name w:val="Intense Quote"/>
    <w:basedOn w:val="Normal"/>
    <w:next w:val="Normal"/>
    <w:link w:val="IntenseQuoteChar"/>
    <w:uiPriority w:val="30"/>
    <w:qFormat/>
    <w:rsid w:val="00DA1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06B"/>
    <w:rPr>
      <w:i/>
      <w:iCs/>
      <w:color w:val="0F4761" w:themeColor="accent1" w:themeShade="BF"/>
    </w:rPr>
  </w:style>
  <w:style w:type="character" w:styleId="IntenseReference">
    <w:name w:val="Intense Reference"/>
    <w:basedOn w:val="DefaultParagraphFont"/>
    <w:uiPriority w:val="32"/>
    <w:qFormat/>
    <w:rsid w:val="00DA106B"/>
    <w:rPr>
      <w:b/>
      <w:bCs/>
      <w:smallCaps/>
      <w:color w:val="0F4761" w:themeColor="accent1" w:themeShade="BF"/>
      <w:spacing w:val="5"/>
    </w:rPr>
  </w:style>
  <w:style w:type="paragraph" w:styleId="Footer">
    <w:name w:val="footer"/>
    <w:basedOn w:val="Normal"/>
    <w:link w:val="FooterChar"/>
    <w:uiPriority w:val="99"/>
    <w:unhideWhenUsed/>
    <w:rsid w:val="00DA10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2240</Characters>
  <Application>Microsoft Office Word</Application>
  <DocSecurity>0</DocSecurity>
  <Lines>18</Lines>
  <Paragraphs>5</Paragraphs>
  <ScaleCrop>false</ScaleCrop>
  <Company>Bruker</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Glidewell, Timothy (Tim)</dc:creator>
  <cp:keywords/>
  <dc:description/>
  <cp:lastModifiedBy>Glidewell, Timothy (Tim)</cp:lastModifiedBy>
  <cp:revision>1</cp:revision>
  <dcterms:created xsi:type="dcterms:W3CDTF">2026-02-14T15:25:00Z</dcterms:created>
  <dcterms:modified xsi:type="dcterms:W3CDTF">2026-02-14T15:26:00Z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8413bb27-a9b6-4e9c-bfb0-a8c13375cb5f</vt:lpwstr>
  </property>
  <property fmtid="{D5CDD505-2E9C-101B-9397-08002B2CF9AE}" pid="3" name="MSIP_Label_e340eb20-1c5f-4409-b1a4-85adc943d5d7_Enabled">
    <vt:lpwstr>true</vt:lpwstr>
  </property>
  <property fmtid="{D5CDD505-2E9C-101B-9397-08002B2CF9AE}" pid="4" name="MSIP_Label_e340eb20-1c5f-4409-b1a4-85adc943d5d7_SetDate">
    <vt:lpwstr>2026-02-14T15:26:02Z</vt:lpwstr>
  </property>
  <property fmtid="{D5CDD505-2E9C-101B-9397-08002B2CF9AE}" pid="5" name="MSIP_Label_e340eb20-1c5f-4409-b1a4-85adc943d5d7_Method">
    <vt:lpwstr>Standard</vt:lpwstr>
  </property>
  <property fmtid="{D5CDD505-2E9C-101B-9397-08002B2CF9AE}" pid="6" name="MSIP_Label_e340eb20-1c5f-4409-b1a4-85adc943d5d7_Name">
    <vt:lpwstr>Confidential</vt:lpwstr>
  </property>
  <property fmtid="{D5CDD505-2E9C-101B-9397-08002B2CF9AE}" pid="7" name="MSIP_Label_e340eb20-1c5f-4409-b1a4-85adc943d5d7_SiteId">
    <vt:lpwstr>375ce1b8-8db1-479b-a12c-06fa9d2a2eaf</vt:lpwstr>
  </property>
  <property fmtid="{D5CDD505-2E9C-101B-9397-08002B2CF9AE}" pid="8" name="MSIP_Label_e340eb20-1c5f-4409-b1a4-85adc943d5d7_ActionId">
    <vt:lpwstr>36088739-ecc7-4bc9-b42c-e6b740254191</vt:lpwstr>
  </property>
  <property fmtid="{D5CDD505-2E9C-101B-9397-08002B2CF9AE}" pid="9" name="MSIP_Label_e340eb20-1c5f-4409-b1a4-85adc943d5d7_ContentBits">
    <vt:lpwstr>2</vt:lpwstr>
  </property>
</Properties>
</file>