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drawings/drawing3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CDA" w:rsidRDefault="00406CDA" w:rsidP="006E57AD">
      <w:pPr>
        <w:pStyle w:val="KeinLeerraum"/>
        <w:rPr>
          <w:color w:val="C00000"/>
          <w:sz w:val="28"/>
          <w:szCs w:val="28"/>
        </w:rPr>
      </w:pPr>
      <w:r w:rsidRPr="006E57AD">
        <w:rPr>
          <w:color w:val="4F81BD" w:themeColor="accent1"/>
          <w:sz w:val="28"/>
          <w:szCs w:val="28"/>
        </w:rPr>
        <w:t xml:space="preserve">ArrayList </w:t>
      </w:r>
      <w:r w:rsidRPr="006E57AD">
        <w:rPr>
          <w:sz w:val="28"/>
          <w:szCs w:val="28"/>
        </w:rPr>
        <w:t xml:space="preserve">– </w:t>
      </w:r>
      <w:r w:rsidRPr="006E57AD">
        <w:rPr>
          <w:color w:val="C00000"/>
          <w:sz w:val="28"/>
          <w:szCs w:val="28"/>
        </w:rPr>
        <w:t>LinkedList</w:t>
      </w:r>
    </w:p>
    <w:p w:rsidR="006E57AD" w:rsidRPr="006E57AD" w:rsidRDefault="006E57AD" w:rsidP="006E57AD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An Ende einfügen:</w:t>
      </w:r>
    </w:p>
    <w:p w:rsidR="00406CDA" w:rsidRPr="006E57AD" w:rsidRDefault="002D0B0B" w:rsidP="006E57AD">
      <w:pPr>
        <w:pStyle w:val="KeinLeerraum"/>
      </w:pPr>
      <w:r w:rsidRPr="006E57AD">
        <w:drawing>
          <wp:inline distT="0" distB="0" distL="0" distR="0" wp14:anchorId="4CE06FBC" wp14:editId="592B70BD">
            <wp:extent cx="5760720" cy="3486687"/>
            <wp:effectExtent l="0" t="0" r="11430" b="1905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60872" w:rsidRDefault="00406CDA" w:rsidP="00960872">
      <w:pPr>
        <w:rPr>
          <w:sz w:val="24"/>
          <w:szCs w:val="24"/>
        </w:rPr>
      </w:pPr>
      <w:r>
        <w:rPr>
          <w:sz w:val="24"/>
          <w:szCs w:val="24"/>
        </w:rPr>
        <w:t>Die in diesem Diagramm e</w:t>
      </w:r>
      <w:r w:rsidR="006A3186">
        <w:rPr>
          <w:sz w:val="24"/>
          <w:szCs w:val="24"/>
        </w:rPr>
        <w:t xml:space="preserve">ingetragenen Werte, sind die ns, </w:t>
      </w:r>
      <w:r>
        <w:rPr>
          <w:sz w:val="24"/>
          <w:szCs w:val="24"/>
        </w:rPr>
        <w:t xml:space="preserve">bei einer bestimmten Anzahl an Daten, welche jeweils immer am Ende der Collection eingefügt werden, die ein Computer </w:t>
      </w:r>
      <w:bookmarkStart w:id="0" w:name="_GoBack"/>
      <w:bookmarkEnd w:id="0"/>
      <w:r>
        <w:rPr>
          <w:sz w:val="24"/>
          <w:szCs w:val="24"/>
        </w:rPr>
        <w:t xml:space="preserve">braucht um diese Operationen durchzuführen. Dabei sind pro Anzahl an Daten, immer 10 Durchgänge gemessen worden, und der niedrigste Wert dieser 10 </w:t>
      </w:r>
      <w:r w:rsidR="006A3186">
        <w:rPr>
          <w:sz w:val="24"/>
          <w:szCs w:val="24"/>
        </w:rPr>
        <w:t>ausgewählt, da dieser der genau</w:t>
      </w:r>
      <w:r>
        <w:rPr>
          <w:sz w:val="24"/>
          <w:szCs w:val="24"/>
        </w:rPr>
        <w:t>ste ist. Werte, welche nicht dem Muster der dazugehörigen anderen Werte entsprechen, werden manuell aussortiert.</w:t>
      </w:r>
    </w:p>
    <w:p w:rsidR="006E57AD" w:rsidRDefault="006E57AD" w:rsidP="00960872">
      <w:pPr>
        <w:rPr>
          <w:sz w:val="24"/>
          <w:szCs w:val="24"/>
        </w:rPr>
      </w:pPr>
      <w:r w:rsidRPr="006E57AD">
        <w:rPr>
          <w:sz w:val="24"/>
          <w:szCs w:val="24"/>
        </w:rPr>
        <w:t>Am Anfang einfügen:</w:t>
      </w:r>
      <w:r w:rsidR="00960872">
        <w:rPr>
          <w:noProof/>
          <w:lang w:eastAsia="de-AT"/>
        </w:rPr>
        <w:drawing>
          <wp:inline distT="0" distB="0" distL="0" distR="0" wp14:anchorId="0D75AA4F" wp14:editId="76135E28">
            <wp:extent cx="5760720" cy="3509960"/>
            <wp:effectExtent l="0" t="0" r="11430" b="14605"/>
            <wp:docPr id="5" name="Diagramm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60872" w:rsidRDefault="00960872" w:rsidP="006E57AD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lastRenderedPageBreak/>
        <w:t>Selbes Prinzip, selbe Collections, doch wird hier am Anfang der Collection die Daten eingefügt</w:t>
      </w:r>
    </w:p>
    <w:p w:rsidR="00960872" w:rsidRPr="006E57AD" w:rsidRDefault="00960872" w:rsidP="006E57AD">
      <w:pPr>
        <w:pStyle w:val="KeinLeerraum"/>
        <w:rPr>
          <w:sz w:val="24"/>
          <w:szCs w:val="24"/>
        </w:rPr>
      </w:pPr>
    </w:p>
    <w:p w:rsidR="002D0B0B" w:rsidRPr="006E57AD" w:rsidRDefault="002D0B0B">
      <w:r w:rsidRPr="006E57AD">
        <w:rPr>
          <w:color w:val="92D050"/>
          <w:sz w:val="28"/>
          <w:szCs w:val="28"/>
        </w:rPr>
        <w:t>HashSet</w:t>
      </w:r>
      <w:r w:rsidRPr="006E57AD">
        <w:rPr>
          <w:sz w:val="28"/>
          <w:szCs w:val="28"/>
        </w:rPr>
        <w:t xml:space="preserve"> – </w:t>
      </w:r>
      <w:r w:rsidR="006E57AD">
        <w:rPr>
          <w:color w:val="7030A0"/>
          <w:sz w:val="28"/>
          <w:szCs w:val="28"/>
        </w:rPr>
        <w:t>TreeSet</w:t>
      </w:r>
      <w:r>
        <w:rPr>
          <w:noProof/>
          <w:lang w:eastAsia="de-AT"/>
        </w:rPr>
        <w:drawing>
          <wp:inline distT="0" distB="0" distL="0" distR="0" wp14:anchorId="155BC545" wp14:editId="7CABB371">
            <wp:extent cx="5762445" cy="3476445"/>
            <wp:effectExtent l="0" t="0" r="10160" b="10160"/>
            <wp:docPr id="4" name="Diagramm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sz w:val="24"/>
          <w:szCs w:val="24"/>
        </w:rPr>
        <w:t>Ebenfalls die ns bei einer bestimmten Anzahl an Zugriffen, doch diesmal, anstatt mit einer ArrayList und LinkedList, mit einem HashSet und einem TreeSet</w:t>
      </w:r>
      <w:r w:rsidR="000544F7">
        <w:rPr>
          <w:sz w:val="24"/>
          <w:szCs w:val="24"/>
        </w:rPr>
        <w:t>.</w:t>
      </w:r>
    </w:p>
    <w:sectPr w:rsidR="002D0B0B" w:rsidRPr="006E57AD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F5E" w:rsidRDefault="00792F5E" w:rsidP="00960872">
      <w:pPr>
        <w:spacing w:after="0" w:line="240" w:lineRule="auto"/>
      </w:pPr>
      <w:r>
        <w:separator/>
      </w:r>
    </w:p>
  </w:endnote>
  <w:endnote w:type="continuationSeparator" w:id="0">
    <w:p w:rsidR="00792F5E" w:rsidRDefault="00792F5E" w:rsidP="00960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30"/>
      <w:gridCol w:w="185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84745357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FB5BB4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FB5BB4" w:rsidRDefault="00FB5BB4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FB5BB4" w:rsidRDefault="00FB5BB4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Pr="00FB5BB4">
                <w:rPr>
                  <w:noProof/>
                  <w:lang w:val="de-DE"/>
                </w:rPr>
                <w:t>2</w:t>
              </w:r>
              <w:r>
                <w:fldChar w:fldCharType="end"/>
              </w:r>
            </w:p>
          </w:tc>
        </w:tr>
      </w:sdtContent>
    </w:sdt>
  </w:tbl>
  <w:p w:rsidR="00960872" w:rsidRDefault="0096087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F5E" w:rsidRDefault="00792F5E" w:rsidP="00960872">
      <w:pPr>
        <w:spacing w:after="0" w:line="240" w:lineRule="auto"/>
      </w:pPr>
      <w:r>
        <w:separator/>
      </w:r>
    </w:p>
  </w:footnote>
  <w:footnote w:type="continuationSeparator" w:id="0">
    <w:p w:rsidR="00792F5E" w:rsidRDefault="00792F5E" w:rsidP="00960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BB4" w:rsidRDefault="00FB5BB4">
    <w:pPr>
      <w:spacing w:after="160" w:line="264" w:lineRule="auto"/>
    </w:pPr>
    <w:sdt>
      <w:sdtPr>
        <w:rPr>
          <w:color w:val="4F81BD" w:themeColor="accent1"/>
          <w:sz w:val="20"/>
        </w:rPr>
        <w:alias w:val="Titel"/>
        <w:id w:val="-1573737401"/>
        <w:placeholder>
          <w:docPart w:val="AB5E99F17ABF4603B5AE49310279A76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F81BD" w:themeColor="accent1"/>
            <w:sz w:val="20"/>
          </w:rPr>
          <w:t>Stephan Schwarz, 3BHIT</w:t>
        </w:r>
      </w:sdtContent>
    </w:sdt>
  </w:p>
  <w:p w:rsidR="00FB5BB4" w:rsidRDefault="00FB5BB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3AA"/>
    <w:rsid w:val="000544F7"/>
    <w:rsid w:val="002662CB"/>
    <w:rsid w:val="002D0B0B"/>
    <w:rsid w:val="00406CDA"/>
    <w:rsid w:val="006A3186"/>
    <w:rsid w:val="006E57AD"/>
    <w:rsid w:val="00792F5E"/>
    <w:rsid w:val="00960872"/>
    <w:rsid w:val="00C173AA"/>
    <w:rsid w:val="00C5742D"/>
    <w:rsid w:val="00FB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6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6CDA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6E57AD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960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60872"/>
  </w:style>
  <w:style w:type="paragraph" w:styleId="Fuzeile">
    <w:name w:val="footer"/>
    <w:basedOn w:val="Standard"/>
    <w:link w:val="FuzeileZchn"/>
    <w:uiPriority w:val="99"/>
    <w:unhideWhenUsed/>
    <w:rsid w:val="00960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608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6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6CDA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6E57AD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960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60872"/>
  </w:style>
  <w:style w:type="paragraph" w:styleId="Fuzeile">
    <w:name w:val="footer"/>
    <w:basedOn w:val="Standard"/>
    <w:link w:val="FuzeileZchn"/>
    <w:uiPriority w:val="99"/>
    <w:unhideWhenUsed/>
    <w:rsid w:val="00960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60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d4rkor3\Desktop\sew\performancemessung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C:\Users\d4rkor3\Desktop\sew\performancemessung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C:\Users\d4rkor3\Desktop\sew\performancemessung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A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Tabelle1!$H$3</c:f>
              <c:strCache>
                <c:ptCount val="1"/>
                <c:pt idx="0">
                  <c:v>ArrayList</c:v>
                </c:pt>
              </c:strCache>
            </c:strRef>
          </c:tx>
          <c:marker>
            <c:symbol val="none"/>
          </c:marker>
          <c:cat>
            <c:numRef>
              <c:f>Tabelle1!$G$4:$G$9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Tabelle1!$H$4:$H$9</c:f>
              <c:numCache>
                <c:formatCode>General</c:formatCode>
                <c:ptCount val="6"/>
                <c:pt idx="0">
                  <c:v>6842</c:v>
                </c:pt>
                <c:pt idx="1">
                  <c:v>45756</c:v>
                </c:pt>
                <c:pt idx="2">
                  <c:v>383152</c:v>
                </c:pt>
                <c:pt idx="3">
                  <c:v>75262</c:v>
                </c:pt>
                <c:pt idx="4">
                  <c:v>308318</c:v>
                </c:pt>
                <c:pt idx="5">
                  <c:v>2977983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Tabelle1!$I$3</c:f>
              <c:strCache>
                <c:ptCount val="1"/>
                <c:pt idx="0">
                  <c:v>LinkedList</c:v>
                </c:pt>
              </c:strCache>
            </c:strRef>
          </c:tx>
          <c:marker>
            <c:symbol val="none"/>
          </c:marker>
          <c:cat>
            <c:numRef>
              <c:f>Tabelle1!$G$4:$G$9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Tabelle1!$I$4:$I$9</c:f>
              <c:numCache>
                <c:formatCode>General</c:formatCode>
                <c:ptCount val="6"/>
                <c:pt idx="0">
                  <c:v>8125</c:v>
                </c:pt>
                <c:pt idx="1">
                  <c:v>53881</c:v>
                </c:pt>
                <c:pt idx="2">
                  <c:v>434468</c:v>
                </c:pt>
                <c:pt idx="3">
                  <c:v>276246</c:v>
                </c:pt>
                <c:pt idx="4">
                  <c:v>276246</c:v>
                </c:pt>
                <c:pt idx="5">
                  <c:v>7123382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7994880"/>
        <c:axId val="45366592"/>
      </c:lineChart>
      <c:catAx>
        <c:axId val="1679948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de-AT"/>
                  <a:t>Anzahl der </a:t>
                </a:r>
                <a:r>
                  <a:rPr lang="de-AT" baseline="0"/>
                  <a:t> Zugriffe</a:t>
                </a:r>
                <a:endParaRPr lang="de-AT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5366592"/>
        <c:crosses val="autoZero"/>
        <c:auto val="1"/>
        <c:lblAlgn val="ctr"/>
        <c:lblOffset val="100"/>
        <c:noMultiLvlLbl val="0"/>
      </c:catAx>
      <c:valAx>
        <c:axId val="45366592"/>
        <c:scaling>
          <c:logBase val="10"/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de-AT"/>
                  <a:t>Zugriffszeit</a:t>
                </a:r>
              </a:p>
            </c:rich>
          </c:tx>
          <c:layout>
            <c:manualLayout>
              <c:xMode val="edge"/>
              <c:yMode val="edge"/>
              <c:x val="1.6529931378007318E-2"/>
              <c:y val="0.4814130606160100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6799488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4236579111177778"/>
          <c:y val="4.0376389690254408E-2"/>
          <c:w val="0.14915734553648671"/>
          <c:h val="0.10993883909166285"/>
        </c:manualLayout>
      </c:layout>
      <c:overlay val="0"/>
    </c:legend>
    <c:plotVisOnly val="1"/>
    <c:dispBlanksAs val="gap"/>
    <c:showDLblsOverMax val="0"/>
  </c:chart>
  <c:spPr>
    <a:gradFill>
      <a:gsLst>
        <a:gs pos="0">
          <a:schemeClr val="accent1">
            <a:tint val="66000"/>
            <a:satMod val="160000"/>
          </a:schemeClr>
        </a:gs>
        <a:gs pos="50000">
          <a:schemeClr val="accent1">
            <a:tint val="44500"/>
            <a:satMod val="160000"/>
          </a:schemeClr>
        </a:gs>
        <a:gs pos="100000">
          <a:schemeClr val="accent1">
            <a:tint val="23500"/>
            <a:satMod val="160000"/>
          </a:schemeClr>
        </a:gs>
      </a:gsLst>
      <a:lin ang="5400000" scaled="0"/>
    </a:gradFill>
  </c:sp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A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Tabelle1!$H$70</c:f>
              <c:strCache>
                <c:ptCount val="1"/>
                <c:pt idx="0">
                  <c:v>ArrayList</c:v>
                </c:pt>
              </c:strCache>
            </c:strRef>
          </c:tx>
          <c:marker>
            <c:symbol val="none"/>
          </c:marker>
          <c:cat>
            <c:numRef>
              <c:f>Tabelle1!$G$71:$G$76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Tabelle1!$H$71:$H$76</c:f>
              <c:numCache>
                <c:formatCode>General</c:formatCode>
                <c:ptCount val="6"/>
                <c:pt idx="0">
                  <c:v>4704</c:v>
                </c:pt>
                <c:pt idx="1">
                  <c:v>56447</c:v>
                </c:pt>
                <c:pt idx="2">
                  <c:v>808219</c:v>
                </c:pt>
                <c:pt idx="3">
                  <c:v>23362224</c:v>
                </c:pt>
                <c:pt idx="4">
                  <c:v>800300709</c:v>
                </c:pt>
                <c:pt idx="5">
                  <c:v>101583228992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Tabelle1!$I$70</c:f>
              <c:strCache>
                <c:ptCount val="1"/>
                <c:pt idx="0">
                  <c:v>LinkedList</c:v>
                </c:pt>
              </c:strCache>
            </c:strRef>
          </c:tx>
          <c:marker>
            <c:symbol val="none"/>
          </c:marker>
          <c:cat>
            <c:numRef>
              <c:f>Tabelle1!$G$71:$G$76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Tabelle1!$I$71:$I$76</c:f>
              <c:numCache>
                <c:formatCode>General</c:formatCode>
                <c:ptCount val="6"/>
                <c:pt idx="0">
                  <c:v>2993</c:v>
                </c:pt>
                <c:pt idx="1">
                  <c:v>23519</c:v>
                </c:pt>
                <c:pt idx="2">
                  <c:v>185591</c:v>
                </c:pt>
                <c:pt idx="3">
                  <c:v>618351</c:v>
                </c:pt>
                <c:pt idx="4">
                  <c:v>835159</c:v>
                </c:pt>
                <c:pt idx="5">
                  <c:v>6501242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2553216"/>
        <c:axId val="64290112"/>
      </c:lineChart>
      <c:catAx>
        <c:axId val="1325532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de-AT"/>
                  <a:t>Anzahl der Zugriffe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4290112"/>
        <c:crosses val="autoZero"/>
        <c:auto val="1"/>
        <c:lblAlgn val="ctr"/>
        <c:lblOffset val="100"/>
        <c:noMultiLvlLbl val="0"/>
      </c:catAx>
      <c:valAx>
        <c:axId val="64290112"/>
        <c:scaling>
          <c:logBase val="10"/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de-AT"/>
                  <a:t>Zugriffszeit</a:t>
                </a:r>
              </a:p>
            </c:rich>
          </c:tx>
          <c:layout>
            <c:manualLayout>
              <c:xMode val="edge"/>
              <c:yMode val="edge"/>
              <c:x val="1.4814812654591331E-2"/>
              <c:y val="0.6453376619771430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325532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gradFill>
      <a:gsLst>
        <a:gs pos="0">
          <a:schemeClr val="accent1">
            <a:tint val="66000"/>
            <a:satMod val="160000"/>
          </a:schemeClr>
        </a:gs>
        <a:gs pos="50000">
          <a:schemeClr val="accent1">
            <a:tint val="44500"/>
            <a:satMod val="160000"/>
          </a:schemeClr>
        </a:gs>
        <a:gs pos="100000">
          <a:schemeClr val="accent1">
            <a:tint val="23500"/>
            <a:satMod val="160000"/>
          </a:schemeClr>
        </a:gs>
      </a:gsLst>
      <a:lin ang="5400000" scaled="0"/>
    </a:gradFill>
  </c:spPr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A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Tabelle1!$N$36</c:f>
              <c:strCache>
                <c:ptCount val="1"/>
                <c:pt idx="0">
                  <c:v>HashSet</c:v>
                </c:pt>
              </c:strCache>
            </c:strRef>
          </c:tx>
          <c:marker>
            <c:symbol val="none"/>
          </c:marker>
          <c:cat>
            <c:numRef>
              <c:f>Tabelle1!$M$37:$M$42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Tabelle1!$N$37:$N$42</c:f>
              <c:numCache>
                <c:formatCode>General</c:formatCode>
                <c:ptCount val="6"/>
                <c:pt idx="0">
                  <c:v>4704</c:v>
                </c:pt>
                <c:pt idx="1">
                  <c:v>35921</c:v>
                </c:pt>
                <c:pt idx="2">
                  <c:v>385722</c:v>
                </c:pt>
                <c:pt idx="3">
                  <c:v>222794</c:v>
                </c:pt>
                <c:pt idx="4">
                  <c:v>2342551</c:v>
                </c:pt>
                <c:pt idx="5">
                  <c:v>25085141</c:v>
                </c:pt>
              </c:numCache>
            </c:numRef>
          </c:val>
          <c:smooth val="0"/>
        </c:ser>
        <c:ser>
          <c:idx val="3"/>
          <c:order val="1"/>
          <c:tx>
            <c:strRef>
              <c:f>Tabelle1!$O$36</c:f>
              <c:strCache>
                <c:ptCount val="1"/>
                <c:pt idx="0">
                  <c:v>TreeSet</c:v>
                </c:pt>
              </c:strCache>
            </c:strRef>
          </c:tx>
          <c:marker>
            <c:symbol val="none"/>
          </c:marker>
          <c:cat>
            <c:numRef>
              <c:f>Tabelle1!$M$37:$M$42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Tabelle1!$O$37:$O$42</c:f>
              <c:numCache>
                <c:formatCode>General</c:formatCode>
                <c:ptCount val="6"/>
                <c:pt idx="0">
                  <c:v>6842</c:v>
                </c:pt>
                <c:pt idx="1">
                  <c:v>85098</c:v>
                </c:pt>
                <c:pt idx="2">
                  <c:v>154801</c:v>
                </c:pt>
                <c:pt idx="3">
                  <c:v>745358</c:v>
                </c:pt>
                <c:pt idx="4">
                  <c:v>8109983</c:v>
                </c:pt>
                <c:pt idx="5">
                  <c:v>89693459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2623360"/>
        <c:axId val="143847360"/>
      </c:lineChart>
      <c:catAx>
        <c:axId val="1326233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de-AT"/>
                  <a:t>Anzahl der </a:t>
                </a:r>
                <a:r>
                  <a:rPr lang="de-AT" baseline="0"/>
                  <a:t> Zugriffe</a:t>
                </a:r>
                <a:endParaRPr lang="de-AT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3847360"/>
        <c:crosses val="autoZero"/>
        <c:auto val="1"/>
        <c:lblAlgn val="ctr"/>
        <c:lblOffset val="100"/>
        <c:noMultiLvlLbl val="0"/>
      </c:catAx>
      <c:valAx>
        <c:axId val="143847360"/>
        <c:scaling>
          <c:logBase val="10"/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de-AT"/>
                  <a:t>Zugriffszeit</a:t>
                </a:r>
              </a:p>
            </c:rich>
          </c:tx>
          <c:layout>
            <c:manualLayout>
              <c:xMode val="edge"/>
              <c:yMode val="edge"/>
              <c:x val="1.6529931378007318E-2"/>
              <c:y val="0.4814130606160100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3262336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4236579111177778"/>
          <c:y val="4.0376389690254408E-2"/>
          <c:w val="0.14523676035471672"/>
          <c:h val="0.12978052599843237"/>
        </c:manualLayout>
      </c:layout>
      <c:overlay val="0"/>
    </c:legend>
    <c:plotVisOnly val="1"/>
    <c:dispBlanksAs val="gap"/>
    <c:showDLblsOverMax val="0"/>
  </c:chart>
  <c:spPr>
    <a:gradFill>
      <a:gsLst>
        <a:gs pos="0">
          <a:schemeClr val="accent1">
            <a:tint val="66000"/>
            <a:satMod val="160000"/>
          </a:schemeClr>
        </a:gs>
        <a:gs pos="50000">
          <a:schemeClr val="accent1">
            <a:tint val="44500"/>
            <a:satMod val="160000"/>
          </a:schemeClr>
        </a:gs>
        <a:gs pos="100000">
          <a:schemeClr val="accent1">
            <a:tint val="23500"/>
            <a:satMod val="160000"/>
          </a:schemeClr>
        </a:gs>
      </a:gsLst>
      <a:lin ang="5400000" scaled="0"/>
    </a:gradFill>
  </c:sp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0.84047</cdr:x>
      <cdr:y>0.89235</cdr:y>
    </cdr:from>
    <cdr:to>
      <cdr:x>0.98997</cdr:x>
      <cdr:y>1</cdr:y>
    </cdr:to>
    <cdr:sp macro="" textlink="">
      <cdr:nvSpPr>
        <cdr:cNvPr id="2" name="Textfeld 1"/>
        <cdr:cNvSpPr txBox="1"/>
      </cdr:nvSpPr>
      <cdr:spPr>
        <a:xfrm xmlns:a="http://schemas.openxmlformats.org/drawingml/2006/main">
          <a:off x="5165911" y="3359804"/>
          <a:ext cx="918883" cy="381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de-AT" sz="1100"/>
        </a:p>
      </cdr:txBody>
    </cdr:sp>
  </cdr:relSizeAnchor>
  <cdr:relSizeAnchor xmlns:cdr="http://schemas.openxmlformats.org/drawingml/2006/chartDrawing">
    <cdr:from>
      <cdr:x>0.86964</cdr:x>
      <cdr:y>0.56305</cdr:y>
    </cdr:from>
    <cdr:to>
      <cdr:x>0.9918</cdr:x>
      <cdr:y>0.66754</cdr:y>
    </cdr:to>
    <cdr:sp macro="" textlink="">
      <cdr:nvSpPr>
        <cdr:cNvPr id="3" name="Textfeld 2"/>
        <cdr:cNvSpPr txBox="1"/>
      </cdr:nvSpPr>
      <cdr:spPr>
        <a:xfrm xmlns:a="http://schemas.openxmlformats.org/drawingml/2006/main">
          <a:off x="5345205" y="1992687"/>
          <a:ext cx="750795" cy="36979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de-AT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0.84047</cdr:x>
      <cdr:y>0.89235</cdr:y>
    </cdr:from>
    <cdr:to>
      <cdr:x>0.98997</cdr:x>
      <cdr:y>1</cdr:y>
    </cdr:to>
    <cdr:sp macro="" textlink="">
      <cdr:nvSpPr>
        <cdr:cNvPr id="2" name="Textfeld 1"/>
        <cdr:cNvSpPr txBox="1"/>
      </cdr:nvSpPr>
      <cdr:spPr>
        <a:xfrm xmlns:a="http://schemas.openxmlformats.org/drawingml/2006/main">
          <a:off x="5165911" y="3359804"/>
          <a:ext cx="918883" cy="381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de-AT" sz="1100"/>
        </a:p>
      </cdr:txBody>
    </cdr:sp>
  </cdr:relSizeAnchor>
  <cdr:relSizeAnchor xmlns:cdr="http://schemas.openxmlformats.org/drawingml/2006/chartDrawing">
    <cdr:from>
      <cdr:x>0.86964</cdr:x>
      <cdr:y>0.56305</cdr:y>
    </cdr:from>
    <cdr:to>
      <cdr:x>0.9918</cdr:x>
      <cdr:y>0.66754</cdr:y>
    </cdr:to>
    <cdr:sp macro="" textlink="">
      <cdr:nvSpPr>
        <cdr:cNvPr id="3" name="Textfeld 2"/>
        <cdr:cNvSpPr txBox="1"/>
      </cdr:nvSpPr>
      <cdr:spPr>
        <a:xfrm xmlns:a="http://schemas.openxmlformats.org/drawingml/2006/main">
          <a:off x="5345205" y="1992687"/>
          <a:ext cx="750795" cy="36979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de-AT" sz="1100"/>
        </a:p>
      </cdr:txBody>
    </cdr:sp>
  </cdr:relSizeAnchor>
  <cdr:relSizeAnchor xmlns:cdr="http://schemas.openxmlformats.org/drawingml/2006/chartDrawing">
    <cdr:from>
      <cdr:x>0.84047</cdr:x>
      <cdr:y>0.89235</cdr:y>
    </cdr:from>
    <cdr:to>
      <cdr:x>0.98997</cdr:x>
      <cdr:y>1</cdr:y>
    </cdr:to>
    <cdr:sp macro="" textlink="">
      <cdr:nvSpPr>
        <cdr:cNvPr id="4" name="Textfeld 1"/>
        <cdr:cNvSpPr txBox="1"/>
      </cdr:nvSpPr>
      <cdr:spPr>
        <a:xfrm xmlns:a="http://schemas.openxmlformats.org/drawingml/2006/main">
          <a:off x="5165911" y="3359804"/>
          <a:ext cx="918883" cy="381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de-AT" sz="1100"/>
        </a:p>
      </cdr:txBody>
    </cdr:sp>
  </cdr:relSizeAnchor>
  <cdr:relSizeAnchor xmlns:cdr="http://schemas.openxmlformats.org/drawingml/2006/chartDrawing">
    <cdr:from>
      <cdr:x>0.86964</cdr:x>
      <cdr:y>0.56305</cdr:y>
    </cdr:from>
    <cdr:to>
      <cdr:x>0.9918</cdr:x>
      <cdr:y>0.66754</cdr:y>
    </cdr:to>
    <cdr:sp macro="" textlink="">
      <cdr:nvSpPr>
        <cdr:cNvPr id="5" name="Textfeld 2"/>
        <cdr:cNvSpPr txBox="1"/>
      </cdr:nvSpPr>
      <cdr:spPr>
        <a:xfrm xmlns:a="http://schemas.openxmlformats.org/drawingml/2006/main">
          <a:off x="5345205" y="1992687"/>
          <a:ext cx="750795" cy="36979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de-AT" sz="11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0.84047</cdr:x>
      <cdr:y>0.89235</cdr:y>
    </cdr:from>
    <cdr:to>
      <cdr:x>0.98997</cdr:x>
      <cdr:y>1</cdr:y>
    </cdr:to>
    <cdr:sp macro="" textlink="">
      <cdr:nvSpPr>
        <cdr:cNvPr id="2" name="Textfeld 1"/>
        <cdr:cNvSpPr txBox="1"/>
      </cdr:nvSpPr>
      <cdr:spPr>
        <a:xfrm xmlns:a="http://schemas.openxmlformats.org/drawingml/2006/main">
          <a:off x="5165911" y="3359804"/>
          <a:ext cx="918883" cy="381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de-AT" sz="1100"/>
        </a:p>
      </cdr:txBody>
    </cdr:sp>
  </cdr:relSizeAnchor>
  <cdr:relSizeAnchor xmlns:cdr="http://schemas.openxmlformats.org/drawingml/2006/chartDrawing">
    <cdr:from>
      <cdr:x>0.86964</cdr:x>
      <cdr:y>0.56305</cdr:y>
    </cdr:from>
    <cdr:to>
      <cdr:x>0.9918</cdr:x>
      <cdr:y>0.66754</cdr:y>
    </cdr:to>
    <cdr:sp macro="" textlink="">
      <cdr:nvSpPr>
        <cdr:cNvPr id="3" name="Textfeld 2"/>
        <cdr:cNvSpPr txBox="1"/>
      </cdr:nvSpPr>
      <cdr:spPr>
        <a:xfrm xmlns:a="http://schemas.openxmlformats.org/drawingml/2006/main">
          <a:off x="5345205" y="1992687"/>
          <a:ext cx="750795" cy="36979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de-AT" sz="1100"/>
        </a:p>
      </cdr:txBody>
    </cdr:sp>
  </cdr:relSizeAnchor>
</c:userShape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B5E99F17ABF4603B5AE49310279A76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DA61343-E17F-4ADF-B7BA-0C45CBD38592}"/>
      </w:docPartPr>
      <w:docPartBody>
        <w:p w:rsidR="00000000" w:rsidRDefault="003B5E46" w:rsidP="003B5E46">
          <w:pPr>
            <w:pStyle w:val="AB5E99F17ABF4603B5AE49310279A760"/>
          </w:pPr>
          <w:r>
            <w:rPr>
              <w:color w:val="4F81BD" w:themeColor="accent1"/>
              <w:sz w:val="20"/>
              <w:lang w:val="de-DE"/>
            </w:rPr>
            <w:t>[Geben Sie den Titel des Dokuments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E46"/>
    <w:rsid w:val="003B5E46"/>
    <w:rsid w:val="009C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5E99F17ABF4603B5AE49310279A760">
    <w:name w:val="AB5E99F17ABF4603B5AE49310279A760"/>
    <w:rsid w:val="003B5E4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5E99F17ABF4603B5AE49310279A760">
    <w:name w:val="AB5E99F17ABF4603B5AE49310279A760"/>
    <w:rsid w:val="003B5E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Stephan Schwarz, 3BHIT</dc:title>
  <dc:subject/>
  <dc:creator>d4rkor3</dc:creator>
  <cp:keywords/>
  <dc:description/>
  <cp:lastModifiedBy>d4rkor3</cp:lastModifiedBy>
  <cp:revision>4</cp:revision>
  <dcterms:created xsi:type="dcterms:W3CDTF">2014-01-24T09:01:00Z</dcterms:created>
  <dcterms:modified xsi:type="dcterms:W3CDTF">2014-01-24T10:18:00Z</dcterms:modified>
</cp:coreProperties>
</file>