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H SarabunPSK" w:hAnsi="TH SarabunPSK"/>
        </w:rPr>
        <w:t>สรุปค่าเก็บรักษารายเดือน (Monthly Billing Summary)</w:t>
      </w:r>
    </w:p>
    <w:p>
      <w:pPr>
        <w:pStyle w:val="Heading2"/>
      </w:pPr>
      <w:r>
        <w:rPr>
          <w:rFonts w:ascii="TH SarabunPSK" w:hAnsi="TH SarabunPSK"/>
        </w:rPr>
        <w:t>วัตถุประสงค์</w:t>
      </w:r>
    </w:p>
    <w:p>
      <w:pPr>
        <w:spacing w:after="80"/>
      </w:pPr>
      <w:r>
        <w:rPr>
          <w:rFonts w:ascii="TH SarabunPSK" w:hAnsi="TH SarabunPSK"/>
          <w:sz w:val="26"/>
        </w:rPr>
        <w:t>หน้านี้แสดงสรุปค่าบริการเก็บรักษาสินค้ารายเดือนแยกตามลูกค้า เพื่อใช้ตรวจสอบและเตรียมข้อมูลสำหรับออกใบแจ้งหนี้</w:t>
      </w:r>
    </w:p>
    <w:p>
      <w:pPr>
        <w:pStyle w:val="Heading2"/>
      </w:pPr>
      <w:r>
        <w:rPr>
          <w:rFonts w:ascii="TH SarabunPSK" w:hAnsi="TH SarabunPSK"/>
        </w:rPr>
        <w:t>ผู้ใช้งาน</w:t>
      </w:r>
    </w:p>
    <w:p>
      <w:pPr>
        <w:pStyle w:val="ListBullet"/>
        <w:spacing w:after="40"/>
      </w:pPr>
      <w:r>
        <w:rPr>
          <w:rFonts w:ascii="TH SarabunPSK" w:hAnsi="TH SarabunPSK"/>
          <w:sz w:val="26"/>
        </w:rPr>
        <w:t>Accounting</w:t>
      </w:r>
    </w:p>
    <w:p>
      <w:pPr>
        <w:pStyle w:val="ListBullet"/>
        <w:spacing w:after="40"/>
      </w:pPr>
      <w:r>
        <w:rPr>
          <w:rFonts w:ascii="TH SarabunPSK" w:hAnsi="TH SarabunPSK"/>
          <w:sz w:val="26"/>
        </w:rPr>
        <w:t>Admin</w:t>
      </w:r>
    </w:p>
    <w:p>
      <w:pPr>
        <w:pStyle w:val="ListBullet"/>
        <w:spacing w:after="40"/>
      </w:pPr>
      <w:r>
        <w:rPr>
          <w:rFonts w:ascii="TH SarabunPSK" w:hAnsi="TH SarabunPSK"/>
          <w:sz w:val="26"/>
        </w:rPr>
        <w:t>Warehouse Manager</w:t>
      </w:r>
    </w:p>
    <w:p>
      <w:pPr>
        <w:pStyle w:val="Heading2"/>
      </w:pPr>
      <w:r>
        <w:rPr>
          <w:rFonts w:ascii="TH SarabunPSK" w:hAnsi="TH SarabunPSK"/>
        </w:rPr>
        <w:t>สิทธิ์ที่ต้องการ</w:t>
      </w:r>
    </w:p>
    <w:p>
      <w:pPr>
        <w:pStyle w:val="ListBullet"/>
        <w:spacing w:after="40"/>
      </w:pPr>
      <w:r>
        <w:rPr>
          <w:rFonts w:ascii="TH SarabunPSK" w:hAnsi="TH SarabunPSK"/>
          <w:b/>
          <w:sz w:val="26"/>
        </w:rPr>
        <w:t>Accounting</w:t>
      </w:r>
      <w:r>
        <w:rPr>
          <w:rFonts w:ascii="TH SarabunPSK" w:hAnsi="TH SarabunPSK"/>
          <w:sz w:val="26"/>
        </w:rPr>
        <w:t xml:space="preserve">, </w:t>
      </w:r>
      <w:r>
        <w:rPr>
          <w:rFonts w:ascii="TH SarabunPSK" w:hAnsi="TH SarabunPSK"/>
          <w:b/>
          <w:sz w:val="26"/>
        </w:rPr>
        <w:t>Admin</w:t>
      </w:r>
      <w:r>
        <w:rPr>
          <w:rFonts w:ascii="TH SarabunPSK" w:hAnsi="TH SarabunPSK"/>
          <w:sz w:val="26"/>
        </w:rPr>
        <w:t xml:space="preserve">, หรือ </w:t>
      </w:r>
      <w:r>
        <w:rPr>
          <w:rFonts w:ascii="TH SarabunPSK" w:hAnsi="TH SarabunPSK"/>
          <w:b/>
          <w:sz w:val="26"/>
        </w:rPr>
        <w:t>Warehouse Manager</w:t>
      </w:r>
    </w:p>
    <w:p>
      <w:pPr>
        <w:pStyle w:val="Heading2"/>
      </w:pPr>
      <w:r>
        <w:rPr>
          <w:rFonts w:ascii="TH SarabunPSK" w:hAnsi="TH SarabunPSK"/>
        </w:rPr>
        <w:t>การเข้าถึง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</w:tcPr>
          <w:p>
            <w:pPr>
              <w:spacing w:before="40" w:after="40"/>
            </w:pPr>
            <w:r>
              <w:rPr>
                <w:b/>
                <w:color w:val="1F497D"/>
                <w:sz w:val="24"/>
              </w:rPr>
            </w:r>
            <w:r>
              <w:rPr>
                <w:b/>
                <w:color w:val="1F497D"/>
              </w:rPr>
              <w:t>เมนู</w:t>
            </w:r>
          </w:p>
        </w:tc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</w:tcPr>
          <w:p>
            <w:pPr>
              <w:spacing w:before="40" w:after="40"/>
            </w:pPr>
            <w:r>
              <w:rPr>
                <w:b/>
                <w:color w:val="1F497D"/>
                <w:sz w:val="24"/>
              </w:rPr>
            </w:r>
            <w:r>
              <w:rPr>
                <w:b/>
                <w:color w:val="1F497D"/>
              </w:rPr>
              <w:t>เส้นทาง</w:t>
            </w:r>
          </w:p>
        </w:tc>
      </w:tr>
      <w:tr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Reports / Billing</w:t>
            </w:r>
          </w:p>
        </w:tc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สรุปค่าเก็บรักษารายเดือน</w:t>
            </w:r>
          </w:p>
        </w:tc>
      </w:tr>
      <w:tr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URL</w:t>
            </w:r>
          </w:p>
        </w:tc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rPr>
                <w:rFonts w:ascii="Courier New" w:hAnsi="Courier New"/>
                <w:sz w:val="18"/>
              </w:rPr>
              <w:t>/reports/monthly-billing</w:t>
            </w:r>
          </w:p>
        </w:tc>
      </w:tr>
    </w:tbl>
    <w:p>
      <w:pPr>
        <w:pBdr>
          <w:bottom w:val="single" w:sz="6" w:space="1" w:color="AAAAAA"/>
        </w:pBdr>
      </w:pPr>
    </w:p>
    <w:p>
      <w:pPr>
        <w:pStyle w:val="Heading2"/>
      </w:pPr>
      <w:r>
        <w:rPr>
          <w:rFonts w:ascii="TH SarabunPSK" w:hAnsi="TH SarabunPSK"/>
        </w:rPr>
        <w:t>คำอธิบายหน้าจอ</w:t>
      </w:r>
    </w:p>
    <w:p>
      <w:pPr>
        <w:pStyle w:val="Heading3"/>
      </w:pPr>
      <w:r>
        <w:rPr>
          <w:rFonts w:ascii="TH SarabunPSK" w:hAnsi="TH SarabunPSK"/>
        </w:rPr>
        <w:t>ส่วนที่ 1: ตัวกรอง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</w:tcPr>
          <w:p>
            <w:pPr>
              <w:spacing w:before="40" w:after="40"/>
            </w:pPr>
            <w:r>
              <w:rPr>
                <w:b/>
                <w:color w:val="1F497D"/>
                <w:sz w:val="24"/>
              </w:rPr>
            </w:r>
            <w:r>
              <w:rPr>
                <w:b/>
                <w:color w:val="1F497D"/>
              </w:rPr>
              <w:t>ตัวกรอง</w:t>
            </w:r>
          </w:p>
        </w:tc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</w:tcPr>
          <w:p>
            <w:pPr>
              <w:spacing w:before="40" w:after="40"/>
            </w:pPr>
            <w:r>
              <w:rPr>
                <w:b/>
                <w:color w:val="1F497D"/>
                <w:sz w:val="24"/>
              </w:rPr>
            </w:r>
            <w:r>
              <w:rPr>
                <w:b/>
                <w:color w:val="1F497D"/>
              </w:rPr>
              <w:t>คำอธิบาย</w:t>
            </w:r>
          </w:p>
        </w:tc>
      </w:tr>
      <w:tr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เดือน</w:t>
            </w:r>
          </w:p>
        </w:tc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เดือนที่ต้องการ (1-12)</w:t>
            </w:r>
          </w:p>
        </w:tc>
      </w:tr>
      <w:tr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ปี</w:t>
            </w:r>
          </w:p>
        </w:tc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ปีที่ต้องการ (ตั้งแต่ปี 2020)</w:t>
            </w:r>
          </w:p>
        </w:tc>
      </w:tr>
      <w:tr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ลูกค้า</w:t>
            </w:r>
          </w:p>
        </w:tc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รหัสลูกค้า (ถ้าต้องการเฉพาะราย)</w:t>
            </w:r>
          </w:p>
        </w:tc>
      </w:tr>
      <w:tr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คลังสินค้า</w:t>
            </w:r>
          </w:p>
        </w:tc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รหัสคลัง</w:t>
            </w:r>
          </w:p>
        </w:tc>
      </w:tr>
    </w:tbl>
    <w:p>
      <w:pPr>
        <w:pStyle w:val="Heading3"/>
      </w:pPr>
      <w:r>
        <w:rPr>
          <w:rFonts w:ascii="TH SarabunPSK" w:hAnsi="TH SarabunPSK"/>
        </w:rPr>
        <w:t>ส่วนที่ 2: การ์ดสรุปภาพรวม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</w:tcPr>
          <w:p>
            <w:pPr>
              <w:spacing w:before="40" w:after="40"/>
            </w:pPr>
            <w:r>
              <w:rPr>
                <w:b/>
                <w:color w:val="1F497D"/>
                <w:sz w:val="24"/>
              </w:rPr>
            </w:r>
            <w:r>
              <w:rPr>
                <w:b/>
                <w:color w:val="1F497D"/>
              </w:rPr>
              <w:t>การ์ด</w:t>
            </w:r>
          </w:p>
        </w:tc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</w:tcPr>
          <w:p>
            <w:pPr>
              <w:spacing w:before="40" w:after="40"/>
            </w:pPr>
            <w:r>
              <w:rPr>
                <w:b/>
                <w:color w:val="1F497D"/>
                <w:sz w:val="24"/>
              </w:rPr>
            </w:r>
            <w:r>
              <w:rPr>
                <w:b/>
                <w:color w:val="1F497D"/>
              </w:rPr>
              <w:t>ความหมาย</w:t>
            </w:r>
          </w:p>
        </w:tc>
      </w:tr>
      <w:tr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ลูกค้าทั้งหมด</w:t>
            </w:r>
          </w:p>
        </w:tc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จำนวนลูกค้าที่มีการเคลื่อนไหว</w:t>
            </w:r>
          </w:p>
        </w:tc>
      </w:tr>
      <w:tr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จำนวนรับเข้า</w:t>
            </w:r>
          </w:p>
        </w:tc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รวมปริมาณที่รับเข้าคลัง</w:t>
            </w:r>
          </w:p>
        </w:tc>
      </w:tr>
      <w:tr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จำนวนส่งออก</w:t>
            </w:r>
          </w:p>
        </w:tc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รวมปริมาณที่ส่งออก</w:t>
            </w:r>
          </w:p>
        </w:tc>
      </w:tr>
      <w:tr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คงเหลือ</w:t>
            </w:r>
          </w:p>
        </w:tc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ปริมาณสินค้าคงเหลือในคลัง</w:t>
            </w:r>
          </w:p>
        </w:tc>
      </w:tr>
      <w:tr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น้ำหนัก/ปริมาณที่คิดได้</w:t>
            </w:r>
          </w:p>
        </w:tc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ปริมาณสำหรับคำนวณค่าบริการ</w:t>
            </w:r>
          </w:p>
        </w:tc>
      </w:tr>
      <w:tr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จำนวนรายการค่าบริการ</w:t>
            </w:r>
          </w:p>
        </w:tc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จำนวนรายการที่มีค่าดำเนินงาน</w:t>
            </w:r>
          </w:p>
        </w:tc>
      </w:tr>
      <w:tr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ขาดอัตราค่าบริการ</w:t>
            </w:r>
          </w:p>
        </w:tc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รายการที่ยังไม่มีอัตราที่กำหนด</w:t>
            </w:r>
          </w:p>
        </w:tc>
      </w:tr>
      <w:tr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ขาดน้ำหนัก</w:t>
            </w:r>
          </w:p>
        </w:tc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รายการที่ขาดข้อมูลน้ำหนัก</w:t>
            </w:r>
          </w:p>
        </w:tc>
      </w:tr>
      <w:tr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ต้องตรวจสอบบัญชี</w:t>
            </w:r>
          </w:p>
        </w:tc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รายการที่ต้องการความสนใจพิเศษ</w:t>
            </w:r>
          </w:p>
        </w:tc>
      </w:tr>
    </w:tbl>
    <w:p>
      <w:pPr>
        <w:pStyle w:val="Heading3"/>
      </w:pPr>
      <w:r>
        <w:rPr>
          <w:rFonts w:ascii="TH SarabunPSK" w:hAnsi="TH SarabunPSK"/>
        </w:rPr>
        <w:t>ส่วนที่ 3: ตารางสรุปรายลูกค้า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</w:tcPr>
          <w:p>
            <w:pPr>
              <w:spacing w:before="40" w:after="40"/>
            </w:pPr>
            <w:r>
              <w:rPr>
                <w:b/>
                <w:color w:val="1F497D"/>
                <w:sz w:val="24"/>
              </w:rPr>
            </w:r>
            <w:r>
              <w:rPr>
                <w:b/>
                <w:color w:val="1F497D"/>
              </w:rPr>
              <w:t>คอลัมน์</w:t>
            </w:r>
          </w:p>
        </w:tc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</w:tcPr>
          <w:p>
            <w:pPr>
              <w:spacing w:before="40" w:after="40"/>
            </w:pPr>
            <w:r>
              <w:rPr>
                <w:b/>
                <w:color w:val="1F497D"/>
                <w:sz w:val="24"/>
              </w:rPr>
            </w:r>
            <w:r>
              <w:rPr>
                <w:b/>
                <w:color w:val="1F497D"/>
              </w:rPr>
              <w:t>ความหมาย</w:t>
            </w:r>
          </w:p>
        </w:tc>
      </w:tr>
      <w:tr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งวดบิล</w:t>
            </w:r>
          </w:p>
        </w:tc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เดือน-ปีที่คิดค่าบริการ</w:t>
            </w:r>
          </w:p>
        </w:tc>
      </w:tr>
      <w:tr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ลูกค้า</w:t>
            </w:r>
          </w:p>
        </w:tc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ชื่อ/รหัสลูกค้า</w:t>
            </w:r>
          </w:p>
        </w:tc>
      </w:tr>
      <w:tr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คลัง</w:t>
            </w:r>
          </w:p>
        </w:tc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คลังที่เก็บ</w:t>
            </w:r>
          </w:p>
        </w:tc>
      </w:tr>
      <w:tr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รับเข้า</w:t>
            </w:r>
          </w:p>
        </w:tc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จำนวนรับเข้า</w:t>
            </w:r>
          </w:p>
        </w:tc>
      </w:tr>
      <w:tr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ส่งออก</w:t>
            </w:r>
          </w:p>
        </w:tc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จำนวนส่งออก</w:t>
            </w:r>
          </w:p>
        </w:tc>
      </w:tr>
      <w:tr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คงเหลือ</w:t>
            </w:r>
          </w:p>
        </w:tc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คงเหลือ</w:t>
            </w:r>
          </w:p>
        </w:tc>
      </w:tr>
      <w:tr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เฉลี่ยที่เก็บ</w:t>
            </w:r>
          </w:p>
        </w:tc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จำนวนเฉลี่ยระหว่างเดือน</w:t>
            </w:r>
          </w:p>
        </w:tc>
      </w:tr>
      <w:tr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น้ำหนักที่คิดได้</w:t>
            </w:r>
          </w:p>
        </w:tc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น้ำหนักสำหรับค่าเก็บ</w:t>
            </w:r>
          </w:p>
        </w:tc>
      </w:tr>
      <w:tr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อัตราค่าเก็บ</w:t>
            </w:r>
          </w:p>
        </w:tc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ราคาต่อหน่วย</w:t>
            </w:r>
          </w:p>
        </w:tc>
      </w:tr>
      <w:tr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ประมาณการค่าบริการ</w:t>
            </w:r>
          </w:p>
        </w:tc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ค่าบริการที่คำนวณได้</w:t>
            </w:r>
          </w:p>
        </w:tc>
      </w:tr>
      <w:tr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ยอดรวมประมาณ</w:t>
            </w:r>
          </w:p>
        </w:tc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ยอดรวมค่าบริการ</w:t>
            </w:r>
          </w:p>
        </w:tc>
      </w:tr>
      <w:tr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สถานะตรวจสอบ</w:t>
            </w:r>
          </w:p>
        </w:tc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READY_FOR_REVIEW / ต้องแก้ไข</w:t>
            </w:r>
          </w:p>
        </w:tc>
      </w:tr>
      <w:tr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หมายเหตุบัญชี</w:t>
            </w:r>
          </w:p>
        </w:tc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บันทึกเพิ่มเติม</w:t>
            </w:r>
          </w:p>
        </w:tc>
      </w:tr>
    </w:tbl>
    <w:p>
      <w:pPr>
        <w:pStyle w:val="Heading3"/>
      </w:pPr>
      <w:r>
        <w:rPr>
          <w:rFonts w:ascii="TH SarabunPSK" w:hAnsi="TH SarabunPSK"/>
        </w:rPr>
        <w:t>ส่วนที่ 4: แผงแจ้งเตือนข้อมูลไม่สมบูรณ์</w:t>
      </w:r>
    </w:p>
    <w:p>
      <w:pPr>
        <w:spacing w:after="80"/>
      </w:pPr>
      <w:r>
        <w:rPr>
          <w:rFonts w:ascii="TH SarabunPSK" w:hAnsi="TH SarabunPSK"/>
          <w:sz w:val="26"/>
        </w:rPr>
        <w:t>แสดงรายการที่ต้องแก้ไขก่อนออกใบแจ้งหนี้จริง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rPr>
          <w:rFonts w:ascii="TH SarabunPSK" w:hAnsi="TH SarabunPSK"/>
        </w:rPr>
        <w:t>ขั้นตอนการใช้งาน</w:t>
      </w:r>
    </w:p>
    <w:p>
      <w:pPr>
        <w:spacing w:after="80"/>
      </w:pPr>
      <w:r>
        <w:rPr>
          <w:rFonts w:ascii="TH SarabunPSK" w:hAnsi="TH SarabunPSK"/>
          <w:b/>
          <w:sz w:val="26"/>
        </w:rPr>
        <w:t>ขั้นตอนที่ 1:</w:t>
      </w:r>
      <w:r>
        <w:rPr>
          <w:rFonts w:ascii="TH SarabunPSK" w:hAnsi="TH SarabunPSK"/>
          <w:sz w:val="26"/>
        </w:rPr>
        <w:t xml:space="preserve"> เลือก </w:t>
      </w:r>
      <w:r>
        <w:rPr>
          <w:rFonts w:ascii="TH SarabunPSK" w:hAnsi="TH SarabunPSK"/>
          <w:b/>
          <w:sz w:val="26"/>
        </w:rPr>
        <w:t>เดือน</w:t>
      </w:r>
      <w:r>
        <w:rPr>
          <w:rFonts w:ascii="TH SarabunPSK" w:hAnsi="TH SarabunPSK"/>
          <w:sz w:val="26"/>
        </w:rPr>
        <w:t xml:space="preserve"> และ </w:t>
      </w:r>
      <w:r>
        <w:rPr>
          <w:rFonts w:ascii="TH SarabunPSK" w:hAnsi="TH SarabunPSK"/>
          <w:b/>
          <w:sz w:val="26"/>
        </w:rPr>
        <w:t>ปี</w:t>
      </w:r>
      <w:r>
        <w:rPr>
          <w:rFonts w:ascii="TH SarabunPSK" w:hAnsi="TH SarabunPSK"/>
          <w:sz w:val="26"/>
        </w:rPr>
        <w:t xml:space="preserve"> ที่ต้องการ</w:t>
      </w:r>
    </w:p>
    <w:p>
      <w:pPr>
        <w:spacing w:after="80"/>
      </w:pPr>
      <w:r>
        <w:rPr>
          <w:rFonts w:ascii="TH SarabunPSK" w:hAnsi="TH SarabunPSK"/>
          <w:b/>
          <w:sz w:val="26"/>
        </w:rPr>
        <w:t>ขั้นตอนที่ 2:</w:t>
      </w:r>
      <w:r>
        <w:rPr>
          <w:rFonts w:ascii="TH SarabunPSK" w:hAnsi="TH SarabunPSK"/>
          <w:sz w:val="26"/>
        </w:rPr>
        <w:t xml:space="preserve"> เลือก </w:t>
      </w:r>
      <w:r>
        <w:rPr>
          <w:rFonts w:ascii="TH SarabunPSK" w:hAnsi="TH SarabunPSK"/>
          <w:b/>
          <w:sz w:val="26"/>
        </w:rPr>
        <w:t>ลูกค้า</w:t>
      </w:r>
      <w:r>
        <w:rPr>
          <w:rFonts w:ascii="TH SarabunPSK" w:hAnsi="TH SarabunPSK"/>
          <w:sz w:val="26"/>
        </w:rPr>
        <w:t xml:space="preserve"> (ถ้าต้องการดูเฉพาะราย)</w:t>
      </w:r>
    </w:p>
    <w:p>
      <w:pPr>
        <w:spacing w:after="80"/>
      </w:pPr>
      <w:r>
        <w:rPr>
          <w:rFonts w:ascii="TH SarabunPSK" w:hAnsi="TH SarabunPSK"/>
          <w:b/>
          <w:sz w:val="26"/>
        </w:rPr>
        <w:t>ขั้นตอนที่ 3:</w:t>
      </w:r>
      <w:r>
        <w:rPr>
          <w:rFonts w:ascii="TH SarabunPSK" w:hAnsi="TH SarabunPSK"/>
          <w:sz w:val="26"/>
        </w:rPr>
        <w:t xml:space="preserve"> กด </w:t>
      </w:r>
      <w:r>
        <w:rPr>
          <w:rFonts w:ascii="TH SarabunPSK" w:hAnsi="TH SarabunPSK"/>
          <w:b/>
          <w:sz w:val="26"/>
        </w:rPr>
        <w:t>ค้นหา</w:t>
      </w:r>
    </w:p>
    <w:p>
      <w:pPr>
        <w:spacing w:after="80"/>
      </w:pPr>
      <w:r>
        <w:rPr>
          <w:rFonts w:ascii="TH SarabunPSK" w:hAnsi="TH SarabunPSK"/>
          <w:b/>
          <w:sz w:val="26"/>
        </w:rPr>
        <w:t>ขั้นตอนที่ 4:</w:t>
      </w:r>
      <w:r>
        <w:rPr>
          <w:rFonts w:ascii="TH SarabunPSK" w:hAnsi="TH SarabunPSK"/>
          <w:sz w:val="26"/>
        </w:rPr>
        <w:t xml:space="preserve"> ตรวจสอบการ์ดสรุป — หากมีรายการสีเหลือง/แดง ต้องแก้ไขก่อน</w:t>
      </w:r>
    </w:p>
    <w:p>
      <w:pPr>
        <w:spacing w:after="80"/>
      </w:pPr>
      <w:r>
        <w:rPr>
          <w:rFonts w:ascii="TH SarabunPSK" w:hAnsi="TH SarabunPSK"/>
          <w:b/>
          <w:sz w:val="26"/>
        </w:rPr>
        <w:t>ขั้นตอนที่ 5:</w:t>
      </w:r>
      <w:r>
        <w:rPr>
          <w:rFonts w:ascii="TH SarabunPSK" w:hAnsi="TH SarabunPSK"/>
          <w:sz w:val="26"/>
        </w:rPr>
        <w:t xml:space="preserve"> ตรวจสอบตารางรายลูกค้าและยอดรวมประมาณ</w:t>
      </w:r>
    </w:p>
    <w:p>
      <w:pPr>
        <w:spacing w:after="80"/>
      </w:pPr>
      <w:r>
        <w:rPr>
          <w:rFonts w:ascii="TH SarabunPSK" w:hAnsi="TH SarabunPSK"/>
          <w:b/>
          <w:sz w:val="26"/>
        </w:rPr>
        <w:t>ขั้นตอนที่ 6:</w:t>
      </w:r>
      <w:r>
        <w:rPr>
          <w:rFonts w:ascii="TH SarabunPSK" w:hAnsi="TH SarabunPSK"/>
          <w:sz w:val="26"/>
        </w:rPr>
        <w:t xml:space="preserve"> ใช้ข้อมูลนี้อ้างอิงสำหรับสร้างใบแจ้งหนี้จากหน้า Billing Movement Weight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rPr>
          <w:rFonts w:ascii="TH SarabunPSK" w:hAnsi="TH SarabunPSK"/>
        </w:rPr>
        <w:t>กฎทางธุรกิจ</w:t>
      </w:r>
    </w:p>
    <w:p>
      <w:pPr>
        <w:pStyle w:val="ListNumber"/>
        <w:spacing w:after="40"/>
      </w:pPr>
      <w:r>
        <w:rPr>
          <w:rFonts w:ascii="TH SarabunPSK" w:hAnsi="TH SarabunPSK"/>
          <w:sz w:val="26"/>
        </w:rPr>
        <w:t xml:space="preserve">หน้านี้เป็น </w:t>
      </w:r>
      <w:r>
        <w:rPr>
          <w:rFonts w:ascii="TH SarabunPSK" w:hAnsi="TH SarabunPSK"/>
          <w:b/>
          <w:sz w:val="26"/>
        </w:rPr>
        <w:t>ตัวอย่างเพื่อตรวจสอบ</w:t>
      </w:r>
      <w:r>
        <w:rPr>
          <w:rFonts w:ascii="TH SarabunPSK" w:hAnsi="TH SarabunPSK"/>
          <w:sz w:val="26"/>
        </w:rPr>
        <w:t xml:space="preserve"> — ยอดรวมเป็น </w:t>
      </w:r>
      <w:r>
        <w:rPr>
          <w:rFonts w:ascii="TH SarabunPSK" w:hAnsi="TH SarabunPSK"/>
          <w:b/>
          <w:sz w:val="26"/>
        </w:rPr>
        <w:t>ประมาณการ</w:t>
      </w:r>
      <w:r>
        <w:rPr>
          <w:rFonts w:ascii="TH SarabunPSK" w:hAnsi="TH SarabunPSK"/>
          <w:sz w:val="26"/>
        </w:rPr>
        <w:t xml:space="preserve"> ยังไม่ใช่ยอดบิลจริง</w:t>
      </w:r>
    </w:p>
    <w:p>
      <w:pPr>
        <w:pStyle w:val="ListNumber"/>
        <w:spacing w:after="40"/>
      </w:pPr>
      <w:r>
        <w:rPr>
          <w:rFonts w:ascii="TH SarabunPSK" w:hAnsi="TH SarabunPSK"/>
          <w:sz w:val="26"/>
        </w:rPr>
        <w:t>ต้องแก้ไขรายการสีแดง (ขาดอัตรา/น้ำหนัก) ก่อนออกบิลจริง</w:t>
      </w:r>
    </w:p>
    <w:p>
      <w:pPr>
        <w:pStyle w:val="ListNumber"/>
        <w:spacing w:after="40"/>
      </w:pPr>
      <w:r>
        <w:rPr>
          <w:rFonts w:ascii="TH SarabunPSK" w:hAnsi="TH SarabunPSK"/>
          <w:sz w:val="26"/>
        </w:rPr>
        <w:t>ยอดบิลจริงออกจากหน้า Billing Movement Weight → Invoice Draft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rPr>
          <w:rFonts w:ascii="TH SarabunPSK" w:hAnsi="TH SarabunPSK"/>
        </w:rPr>
        <w:t>คำถามที่พบบ่อย</w:t>
      </w:r>
    </w:p>
    <w:p>
      <w:pPr>
        <w:spacing w:after="80"/>
      </w:pPr>
      <w:r>
        <w:rPr>
          <w:rFonts w:ascii="TH SarabunPSK" w:hAnsi="TH SarabunPSK"/>
          <w:b/>
          <w:sz w:val="26"/>
        </w:rPr>
        <w:t>ถาม:</w:t>
      </w:r>
      <w:r>
        <w:rPr>
          <w:rFonts w:ascii="TH SarabunPSK" w:hAnsi="TH SarabunPSK"/>
          <w:sz w:val="26"/>
        </w:rPr>
        <w:t xml:space="preserve"> ยอดในหน้านี้ต่างจากยอดในใบแจ้งหนี้จริง เป็นไปได้ไหม?</w:t>
      </w:r>
    </w:p>
    <w:p>
      <w:pPr>
        <w:spacing w:after="80"/>
      </w:pPr>
      <w:r>
        <w:rPr>
          <w:rFonts w:ascii="TH SarabunPSK" w:hAnsi="TH SarabunPSK"/>
          <w:b/>
          <w:sz w:val="26"/>
        </w:rPr>
        <w:t>ตอบ:</w:t>
      </w:r>
      <w:r>
        <w:rPr>
          <w:rFonts w:ascii="TH SarabunPSK" w:hAnsi="TH SarabunPSK"/>
          <w:sz w:val="26"/>
        </w:rPr>
        <w:t xml:space="preserve"> ได้ — หน้านี้เป็นการประมาณการ ยอดจริงขึ้นอยู่กับรายการที่เลือกในขั้นตอนสร้างใบแจ้งหนี้</w:t>
      </w:r>
    </w:p>
    <w:p>
      <w:pPr>
        <w:spacing w:after="80"/>
      </w:pPr>
      <w:r>
        <w:rPr>
          <w:rFonts w:ascii="TH SarabunPSK" w:hAnsi="TH SarabunPSK"/>
          <w:b/>
          <w:sz w:val="26"/>
        </w:rPr>
        <w:t>ถาม:</w:t>
      </w:r>
      <w:r>
        <w:rPr>
          <w:rFonts w:ascii="TH SarabunPSK" w:hAnsi="TH SarabunPSK"/>
          <w:sz w:val="26"/>
        </w:rPr>
        <w:t xml:space="preserve"> รายการขาดอัตราค่าบริการ ต้องทำอย่างไร?</w:t>
      </w:r>
    </w:p>
    <w:p>
      <w:pPr>
        <w:spacing w:after="80"/>
      </w:pPr>
      <w:r>
        <w:rPr>
          <w:rFonts w:ascii="TH SarabunPSK" w:hAnsi="TH SarabunPSK"/>
          <w:b/>
          <w:sz w:val="26"/>
        </w:rPr>
        <w:t>ตอบ:</w:t>
      </w:r>
      <w:r>
        <w:rPr>
          <w:rFonts w:ascii="TH SarabunPSK" w:hAnsi="TH SarabunPSK"/>
          <w:sz w:val="26"/>
        </w:rPr>
        <w:t xml:space="preserve"> ไปที่ Administration → อัตราค่าบริการ แล้วกำหนดอัตราให้ลูกค้าและสินค้านั้น</w:t>
      </w:r>
    </w:p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TH SarabunPSK" w:hAnsi="TH SarabunPSK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80"/>
      <w:outlineLvl w:val="0"/>
    </w:pPr>
    <w:rPr>
      <w:rFonts w:asciiTheme="majorHAnsi" w:eastAsiaTheme="majorEastAsia" w:hAnsiTheme="majorHAnsi" w:cstheme="majorBidi" w:ascii="TH SarabunPSK" w:hAnsi="TH SarabunPSK"/>
      <w:b/>
      <w:bCs/>
      <w:color w:val="1F497D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 w:ascii="TH SarabunPSK" w:hAnsi="TH SarabunPSK"/>
      <w:b/>
      <w:bCs/>
      <w:color w:val="2E74B5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80"/>
      <w:outlineLvl w:val="2"/>
    </w:pPr>
    <w:rPr>
      <w:rFonts w:asciiTheme="majorHAnsi" w:eastAsiaTheme="majorEastAsia" w:hAnsiTheme="majorHAnsi" w:cstheme="majorBidi" w:ascii="TH SarabunPSK" w:hAnsi="TH SarabunPSK"/>
      <w:b/>
      <w:bCs/>
      <w:color w:val="2E74B5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