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New Client Onboarding Brief — Meadowfield Snacks</w:t>
      </w:r>
    </w:p>
    <w:p>
      <w:r>
        <w:t>Contract MS-3350 · F&amp;B Contract Manufacturing, TGMOK Holdings</w:t>
      </w:r>
    </w:p>
    <w:p>
      <w:r>
        <w:t>Prepared by: Client Services, F&amp;B · 2026-09-15</w:t>
      </w:r>
    </w:p>
    <w:p>
      <w:pPr>
        <w:pStyle w:val="Heading2"/>
      </w:pPr>
      <w:r>
        <w:t>Client overview</w:t>
      </w:r>
    </w:p>
    <w:p>
      <w:r>
        <w:t>Meadowfield Snacks is a new contract client onboarding with the F&amp;B division to manufacture and package a resealable savoury snack pouch line. Initial order volume is projected at 25,000 units/month, with a six-month ramp to 60,000 units/month if the initial run meets quality targets.</w:t>
      </w:r>
    </w:p>
    <w:p>
      <w:pPr>
        <w:pStyle w:val="Heading2"/>
      </w:pPr>
      <w:r>
        <w:t>Packaging requirement</w:t>
      </w:r>
    </w:p>
    <w:p>
      <w:r>
        <w:t>The product uses a stand-up resealable pouch with a press-to-close zipper seal, a format not currently run on any TGMOK filling line. The existing capping-head tooling used for bottled products cannot be adapted for pouch sealing — a new pouch-sealing head must be machined and installed before the first production run, following the same tooling-request process used for prior packaging changes (see SOP-FNB-014).</w:t>
      </w:r>
    </w:p>
    <w:p>
      <w:pPr>
        <w:pStyle w:val="Heading2"/>
      </w:pPr>
      <w:r>
        <w:t>Timeline</w:t>
      </w:r>
    </w:p>
    <w:p>
      <w:r>
        <w:t>Client requested first shipment within 8 weeks of contract signing (target: 2026-11-10). Given the new tooling requirement, Client Services has flagged this as a candidate for an expedited work order, similar in shape to the Aurora Beverages tooling request earlier this year.</w:t>
      </w:r>
    </w:p>
    <w:p>
      <w:pPr>
        <w:pStyle w:val="Heading2"/>
      </w:pPr>
      <w:r>
        <w:t>Financial terms</w:t>
      </w:r>
    </w:p>
    <w:p>
      <w:r>
        <w:t>Net 30 payment terms. No surge-capacity clause has been requested for the initial contract period. Tooling costs for the new pouch-sealing head are to be quoted separately and billed to the client as a one-time setup fee.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