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02D3B"/>
        </w:rPr>
        <w:t>Donor Thank You and Receipts</w:t>
      </w:r>
    </w:p>
    <w:p>
      <w:r>
        <w:t>Document owner: Maya Chen, Development Director</w:t>
      </w:r>
    </w:p>
    <w:p>
      <w:r>
        <w:t>Successor: Priya Patel</w:t>
      </w:r>
    </w:p>
    <w:p>
      <w:r>
        <w:t>Approved: October 8, 2026</w:t>
      </w:r>
    </w:p>
    <w:p>
      <w:r>
        <w:t>Transition date: November 15, 2026</w:t>
      </w:r>
    </w:p>
    <w:p>
      <w:pPr>
        <w:pStyle w:val="Heading2"/>
      </w:pPr>
      <w:r>
        <w:rPr>
          <w:color w:val="7753CE"/>
        </w:rPr>
        <w:t>What every supporter should experience</w:t>
      </w:r>
    </w:p>
    <w:p>
      <w:r>
        <w:t>A donor needs to know that a gift arrived and that it matters. Every gift is recorded in the donor register on the day it arrives. Record the date, amount, campaign, designation, contact preference, and internal donor alias. The accompanying sample register uses nonidentifying aliases rather than real names.</w:t>
      </w:r>
    </w:p>
    <w:p>
      <w:r>
        <w:t>Send the automated receipt within 24 hours. It must reflect the verified transaction and current legal acknowledgement language. The fictional pantry does not claim a real charitable registration or tax status, so the sample material does not include tax-deductibility promises.</w:t>
      </w:r>
    </w:p>
    <w:p>
      <w:r>
        <w:t>Send a personal thank-you within two working days. Keep the note human, short, and accurate. Do not promise how an unrestricted gift will be spent. Only mention a specific campaign when the register confirms its designation.</w:t>
      </w:r>
    </w:p>
    <w:p>
      <w:r>
        <w:t>Gifts over $1,000 receive a call from Maya Chen or the acting development lead. A donor's request for no phone calls always takes precedence. Never leave a gift amount on voicemail.</w:t>
      </w:r>
    </w:p>
    <w:p>
      <w:pPr>
        <w:pStyle w:val="Heading2"/>
      </w:pPr>
      <w:r>
        <w:rPr>
          <w:color w:val="7753CE"/>
        </w:rPr>
        <w:t>Procedure for an incoming contribution</w:t>
      </w:r>
    </w:p>
    <w:p>
      <w:pPr>
        <w:pStyle w:val="ListNumber"/>
      </w:pPr>
      <w:r>
        <w:t>1. Confirm the amount and date from the payment report or received check.</w:t>
      </w:r>
    </w:p>
    <w:p>
      <w:pPr>
        <w:pStyle w:val="ListNumber"/>
      </w:pPr>
      <w:r>
        <w:t>2. Record the gift in the restricted donor register that day.</w:t>
      </w:r>
    </w:p>
    <w:p>
      <w:pPr>
        <w:pStyle w:val="ListNumber"/>
      </w:pPr>
      <w:r>
        <w:t>3. Verify the designation and campaign field.</w:t>
      </w:r>
    </w:p>
    <w:p>
      <w:pPr>
        <w:pStyle w:val="ListNumber"/>
      </w:pPr>
      <w:r>
        <w:t>4. Confirm the automated receipt is scheduled within 24 hours.</w:t>
      </w:r>
    </w:p>
    <w:p>
      <w:pPr>
        <w:pStyle w:val="ListNumber"/>
      </w:pPr>
      <w:r>
        <w:t>5. Prepare a personal thank-you within two working days.</w:t>
      </w:r>
    </w:p>
    <w:p>
      <w:pPr>
        <w:pStyle w:val="ListNumber"/>
      </w:pPr>
      <w:r>
        <w:t>6. For a gift over $1,000, assign a call to the Development Director.</w:t>
      </w:r>
    </w:p>
    <w:p>
      <w:pPr>
        <w:pStyle w:val="ListNumber"/>
      </w:pPr>
      <w:r>
        <w:t>7. Log each completed acknowledgement in the authorized record.</w:t>
      </w:r>
    </w:p>
    <w:p>
      <w:pPr>
        <w:pStyle w:val="ListNumber"/>
      </w:pPr>
      <w:r>
        <w:t>8. Add the supporter to an approved impact update only when consent allows it.</w:t>
      </w:r>
    </w:p>
    <w:p>
      <w:pPr>
        <w:pStyle w:val="Heading2"/>
      </w:pPr>
      <w:r>
        <w:rPr>
          <w:color w:val="7753CE"/>
        </w:rPr>
        <w:t>Examples</w:t>
      </w:r>
    </w:p>
    <w:p>
      <w:r>
        <w:t>A fictional supporter gives $75 to the pantry's general fund on October 5. The receipt is queued by October 6 and a personal note is sent by October 7. A fictional donor alias G-014 gives $1,250 to the winter pantry campaign on October 8. The register flags a director call as well as the routine receipt and note.</w:t>
      </w:r>
    </w:p>
    <w:p>
      <w:r>
        <w:t>These examples are internal demonstration cases, not customer donations. No donor identity, phone number, home address, payment credential, or bank information appears in this pack.</w:t>
      </w:r>
    </w:p>
    <w:p>
      <w:pPr>
        <w:pStyle w:val="Heading2"/>
      </w:pPr>
      <w:r>
        <w:rPr>
          <w:color w:val="7753CE"/>
        </w:rPr>
        <w:t>Exceptions and quality control</w:t>
      </w:r>
    </w:p>
    <w:p>
      <w:r>
        <w:t>If a designation is unclear, hold any specific promise until Finance confirms it. If a refund is pending, do not mark the gift as final. If the receipt service is unavailable, log the incident and follow up when it is restored. The Friday check compares gifts received against receipts, thank-you notes, and calls due.</w:t>
      </w:r>
    </w:p>
    <w:p>
      <w:pPr>
        <w:pStyle w:val="Heading2"/>
      </w:pPr>
      <w:r>
        <w:rPr>
          <w:color w:val="7753CE"/>
        </w:rPr>
        <w:t>Handoff to Priya Patel</w:t>
      </w:r>
    </w:p>
    <w:p>
      <w:r>
        <w:t>Maya's departure is scheduled for November 15, 2026. Priya needs access to the restricted donor platform, the approved note template, the weekly exception report, and the current contact preference rules. The October 29 handoff rehearsal should demonstrate the Friday reconciliation without copying actual supporter information.</w:t>
      </w:r>
    </w:p>
    <w:p>
      <w:pPr>
        <w:pStyle w:val="Heading2"/>
      </w:pPr>
      <w:r>
        <w:rPr>
          <w:color w:val="7753CE"/>
        </w:rPr>
        <w:t>Ownership and publication</w:t>
      </w:r>
    </w:p>
    <w:p>
      <w:r>
        <w:t>Until departure, Maya owns donor acknowledgement. Priya is the incoming owner and Sam Rivera can verify physical deliveries but cannot override contact preferences. An OrgFlow draft must be reviewed by staff before it becomes a published procedure.</w:t>
      </w:r>
    </w:p>
    <w:sectPr w:rsidR="00FC693F" w:rsidRPr="0006063C" w:rsidSect="00034616">
      <w:footerReference w:type="default" r:id="rId9"/>
      <w:pgSz w:w="12240" w:h="15840"/>
      <w:pgMar w:top="1195"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CENTER VALLEY COMMUNITY PANTRY  |  FICTIONAL ORGFLOW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302D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