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302D3B"/>
        </w:rPr>
        <w:t>Quarterly Grant Reporting</w:t>
      </w:r>
    </w:p>
    <w:p>
      <w:r>
        <w:t>Owner: Maya Chen, Development Director</w:t>
      </w:r>
    </w:p>
    <w:p>
      <w:r>
        <w:t>Successor: Priya Patel</w:t>
      </w:r>
    </w:p>
    <w:p>
      <w:r>
        <w:t>Approved: October 7, 2026</w:t>
      </w:r>
    </w:p>
    <w:p>
      <w:r>
        <w:t>Next fictional deadline: November 6, 2026</w:t>
      </w:r>
    </w:p>
    <w:p>
      <w:pPr>
        <w:pStyle w:val="Heading2"/>
      </w:pPr>
      <w:r>
        <w:rPr>
          <w:color w:val="7753CE"/>
        </w:rPr>
        <w:t>Purpose</w:t>
      </w:r>
    </w:p>
    <w:p>
      <w:r>
        <w:t>A grant report should be an accurate record of what happened. The example funder is the fictional Community Table Fund. No actual grant relationship is implied. All activity figures in this file are sample values for video and software testing.</w:t>
      </w:r>
    </w:p>
    <w:p>
      <w:r>
        <w:t>Quarterly grant reports start three weeks before the deadline. The owner gathers outcomes, budget information, and any properly consented story before writing the narrative. The Executive Director reviews the final packet one week before submission.</w:t>
      </w:r>
    </w:p>
    <w:p>
      <w:pPr>
        <w:pStyle w:val="Heading2"/>
      </w:pPr>
      <w:r>
        <w:rPr>
          <w:color w:val="7753CE"/>
        </w:rPr>
        <w:t>Schedule for the example</w:t>
      </w:r>
    </w:p>
    <w:p>
      <w:r>
        <w:t>The report deadline is November 6, 2026. Begin on October 16 by requesting program numbers. Program leads send reconciled distribution counts by October 20. Finance submits a budget-to-actual table by October 23. The first narrative is ready October 27. The Executive Director signs off by October 30. Save the submitted PDF and portal confirmation on November 6.</w:t>
      </w:r>
    </w:p>
    <w:p>
      <w:pPr>
        <w:pStyle w:val="Heading2"/>
      </w:pPr>
      <w:r>
        <w:rPr>
          <w:color w:val="7753CE"/>
        </w:rPr>
        <w:t>Evidence checklist</w:t>
      </w:r>
    </w:p>
    <w:p>
      <w:pPr>
        <w:pStyle w:val="ListNumber"/>
      </w:pPr>
      <w:r>
        <w:t>1. Reporting period appears on every data table.</w:t>
      </w:r>
    </w:p>
    <w:p>
      <w:pPr>
        <w:pStyle w:val="ListNumber"/>
      </w:pPr>
      <w:r>
        <w:t>2. Distribution counts use a consistent definition of a household visit.</w:t>
      </w:r>
    </w:p>
    <w:p>
      <w:pPr>
        <w:pStyle w:val="ListNumber"/>
      </w:pPr>
      <w:r>
        <w:t>3. Budget and spending totals reconcile to Finance records.</w:t>
      </w:r>
    </w:p>
    <w:p>
      <w:pPr>
        <w:pStyle w:val="ListNumber"/>
      </w:pPr>
      <w:r>
        <w:t>4. Any personal story has documented consent.</w:t>
      </w:r>
    </w:p>
    <w:p>
      <w:pPr>
        <w:pStyle w:val="ListNumber"/>
      </w:pPr>
      <w:r>
        <w:t>5. Significant changes and unresolved problems are described accurately.</w:t>
      </w:r>
    </w:p>
    <w:p>
      <w:pPr>
        <w:pStyle w:val="ListNumber"/>
      </w:pPr>
      <w:r>
        <w:t>6. The Executive Director has approved the final narrative.</w:t>
      </w:r>
    </w:p>
    <w:p>
      <w:pPr>
        <w:pStyle w:val="ListNumber"/>
      </w:pPr>
      <w:r>
        <w:t>7. The portal receipt is saved alongside the final submission.</w:t>
      </w:r>
    </w:p>
    <w:p>
      <w:r>
        <w:t>The fictional July through September outcomes register totals 1,260 household visits. These are synthetic demonstration numbers and must never be presented as verified impact.</w:t>
      </w:r>
    </w:p>
    <w:p>
      <w:pPr>
        <w:pStyle w:val="Heading2"/>
      </w:pPr>
      <w:r>
        <w:rPr>
          <w:color w:val="7753CE"/>
        </w:rPr>
        <w:t>Who does what</w:t>
      </w:r>
    </w:p>
    <w:p>
      <w:r>
        <w:t>Sam Rivera confirms how visits were counted. Finance signs off on expenditure categories and any grant restrictions. Maya drafts the narrative until the transition. Priya will take over after November 15, with the Executive Director retaining final approval.</w:t>
      </w:r>
    </w:p>
    <w:p>
      <w:pPr>
        <w:pStyle w:val="Heading2"/>
      </w:pPr>
      <w:r>
        <w:rPr>
          <w:color w:val="7753CE"/>
        </w:rPr>
        <w:t>Privacy and safe storytelling</w:t>
      </w:r>
    </w:p>
    <w:p>
      <w:r>
        <w:t>Do not put names, household addresses, case notes, or unapproved photographs into a funder report. If no consented story is available, explain the work through aggregated activity and volunteer observations without inventing a beneficiary quote.</w:t>
      </w:r>
    </w:p>
    <w:p>
      <w:pPr>
        <w:pStyle w:val="Heading2"/>
      </w:pPr>
      <w:r>
        <w:rPr>
          <w:color w:val="7753CE"/>
        </w:rPr>
        <w:t>Special handoff knowledge</w:t>
      </w:r>
    </w:p>
    <w:p>
      <w:r>
        <w:t>Maya has notes on the Community Table Fund's portal layout. Priya should observe a practice submission during the transition, record the form field names, and keep credentials in the approved password manager. Never place passwords in OrgFlow, the demo pack, or the draft report.</w:t>
      </w:r>
    </w:p>
    <w:p>
      <w:pPr>
        <w:pStyle w:val="Heading2"/>
      </w:pPr>
      <w:r>
        <w:rPr>
          <w:color w:val="7753CE"/>
        </w:rPr>
        <w:t>Submission archive</w:t>
      </w:r>
    </w:p>
    <w:p>
      <w:r>
        <w:t>Create the folder Grants / 2026 Q4 / Community Table Fund. Store the approved narrative PDF, outcomes table, Finance sign-off, and portal confirmation. These are provider files; OrgFlow can point staff to the originals.</w:t>
      </w:r>
    </w:p>
    <w:p>
      <w:pPr>
        <w:pStyle w:val="Heading2"/>
      </w:pPr>
      <w:r>
        <w:rPr>
          <w:color w:val="7753CE"/>
        </w:rPr>
        <w:t>Related information</w:t>
      </w:r>
    </w:p>
    <w:p>
      <w:r>
        <w:t>Quarterly_Impact_Snapshot, Outcomes_Jul_Sep.csv, Community_Table_Fund_Reminder.eml, and Maya_Chen_Transfer_Guide.</w:t>
      </w:r>
    </w:p>
    <w:sectPr w:rsidR="00FC693F" w:rsidRPr="0006063C" w:rsidSect="00034616">
      <w:footerReference w:type="default" r:id="rId9"/>
      <w:pgSz w:w="12240" w:h="15840"/>
      <w:pgMar w:top="1195"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CENTER VALLEY COMMUNITY PANTRY  |  FICTIONAL ORGFLOW DEMONSTRATION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color w:val="302D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