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02D3B"/>
        </w:rPr>
        <w:t>Maya Chen: Development Director Transfer Guide</w:t>
      </w:r>
    </w:p>
    <w:p>
      <w:r>
        <w:t>Prepared for: Priya Patel, incoming acting development lead</w:t>
      </w:r>
    </w:p>
    <w:p>
      <w:r>
        <w:t>Transition owner: Sam Rivera</w:t>
      </w:r>
    </w:p>
    <w:p>
      <w:r>
        <w:t>Leaving date: November 15, 2026</w:t>
      </w:r>
    </w:p>
    <w:p>
      <w:r>
        <w:t>Last updated: October 11, 2026</w:t>
      </w:r>
    </w:p>
    <w:p>
      <w:r>
        <w:t>Status: Draft for human review, not yet published</w:t>
      </w:r>
    </w:p>
    <w:p>
      <w:pPr>
        <w:pStyle w:val="Heading2"/>
      </w:pPr>
      <w:r>
        <w:rPr>
          <w:color w:val="7753CE"/>
        </w:rPr>
        <w:t>Why this handoff matters</w:t>
      </w:r>
    </w:p>
    <w:p>
      <w:r>
        <w:t>Maya Chen has managed donor acknowledgement, quarterly grant reporting, and the Harvest Dinner fundraiser. Her relationships and practical workarounds are important, but the team should not depend on her memory alone. This guide separates established written procedures from details Priya must still confirm during live handoff interviews.</w:t>
      </w:r>
    </w:p>
    <w:p>
      <w:pPr>
        <w:pStyle w:val="Heading2"/>
      </w:pPr>
      <w:r>
        <w:rPr>
          <w:color w:val="7753CE"/>
        </w:rPr>
        <w:t>Immediate timeline</w:t>
      </w:r>
    </w:p>
    <w:p>
      <w:r>
        <w:t>October 16: begin collecting quarterly grant evidence.</w:t>
      </w:r>
    </w:p>
    <w:p>
      <w:r>
        <w:t>October 22: Jordan finalizes the next month's volunteer schedule.</w:t>
      </w:r>
    </w:p>
    <w:p>
      <w:r>
        <w:t>October 29: Maya and Priya rehearse Friday donor reconciliation.</w:t>
      </w:r>
    </w:p>
    <w:p>
      <w:r>
        <w:t>October 30: Executive Director reviews the example grant report.</w:t>
      </w:r>
    </w:p>
    <w:p>
      <w:r>
        <w:t>November 6: submit the fictional Community Table Fund report.</w:t>
      </w:r>
    </w:p>
    <w:p>
      <w:r>
        <w:t>November 9: conduct the full role walkthrough and confirm shared access.</w:t>
      </w:r>
    </w:p>
    <w:p>
      <w:r>
        <w:t>November 12: Priya performs the process independently with Maya observing.</w:t>
      </w:r>
    </w:p>
    <w:p>
      <w:r>
        <w:t>November 15: final transfer of open items and ownership.</w:t>
      </w:r>
    </w:p>
    <w:p>
      <w:pPr>
        <w:pStyle w:val="Heading2"/>
      </w:pPr>
      <w:r>
        <w:rPr>
          <w:color w:val="7753CE"/>
        </w:rPr>
        <w:t>Processes Maya currently owns</w:t>
      </w:r>
    </w:p>
    <w:p>
      <w:r>
        <w:t>Donor Thank You and Receipts: record gifts the day they arrive, send receipts within 24 hours, send a personal thank-you within two working days, and call for gifts over $1,000, respecting contact preferences.</w:t>
      </w:r>
    </w:p>
    <w:p>
      <w:r>
        <w:t>Quarterly Grant Reporting: start three weeks before the due date, reconcile outcomes and financials, secure Executive Director approval one week before submission, and archive the final portal confirmation.</w:t>
      </w:r>
    </w:p>
    <w:p>
      <w:r>
        <w:t>Harvest Dinner Fundraiser: review volunteer station coverage, meal counts, receipt handling, and the post-event thank-you queue. The event is part of this fictional demo, not an actual public event.</w:t>
      </w:r>
    </w:p>
    <w:p>
      <w:pPr>
        <w:pStyle w:val="Heading2"/>
      </w:pPr>
      <w:r>
        <w:rPr>
          <w:color w:val="7753CE"/>
        </w:rPr>
        <w:t>Access and document locations</w:t>
      </w:r>
    </w:p>
    <w:p>
      <w:r>
        <w:t>Google Drive: Development / Donor Stewardship, Development / Grants, and Programs / Harvest Dinner. The donor register lives in the approved restricted donor system; the CSV in this pack is anonymized illustration only. Passwords and OAuth tokens belong in the approved password manager, never inside OrgFlow notes.</w:t>
      </w:r>
    </w:p>
    <w:p>
      <w:pPr>
        <w:pStyle w:val="Heading2"/>
      </w:pPr>
      <w:r>
        <w:rPr>
          <w:color w:val="7753CE"/>
        </w:rPr>
        <w:t>Decisions that must remain with people</w:t>
      </w:r>
    </w:p>
    <w:p>
      <w:r>
        <w:t>Priya and the Executive Director must approve unusual donor language, changes to a designated gift, public impact statements, and grant-report submission. AI may assemble a draft or identify a missing source, but it does not publish automatically.</w:t>
      </w:r>
    </w:p>
    <w:p>
      <w:pPr>
        <w:pStyle w:val="Heading2"/>
      </w:pPr>
      <w:r>
        <w:rPr>
          <w:color w:val="7753CE"/>
        </w:rPr>
        <w:t>Open questions for the voice handoff interview</w:t>
      </w:r>
    </w:p>
    <w:p>
      <w:pPr>
        <w:pStyle w:val="ListNumber"/>
      </w:pPr>
      <w:r>
        <w:t>1. Which funder portal fields have previously required manual reformatting?</w:t>
      </w:r>
    </w:p>
    <w:p>
      <w:pPr>
        <w:pStyle w:val="ListNumber"/>
      </w:pPr>
      <w:r>
        <w:t>2. Who handles calls above $1,000 when Maya or Priya is away?</w:t>
      </w:r>
    </w:p>
    <w:p>
      <w:pPr>
        <w:pStyle w:val="ListNumber"/>
      </w:pPr>
      <w:r>
        <w:t>3. Where is the most recent approved Harvest Dinner sponsor list?</w:t>
      </w:r>
    </w:p>
    <w:p>
      <w:pPr>
        <w:pStyle w:val="ListNumber"/>
      </w:pPr>
      <w:r>
        <w:t>4. Which donors have opted out of phone contact, and who maintains those preferences?</w:t>
      </w:r>
    </w:p>
    <w:p>
      <w:pPr>
        <w:pStyle w:val="ListNumber"/>
      </w:pPr>
      <w:r>
        <w:t>5. Which procedures have changed since the last published version?</w:t>
      </w:r>
    </w:p>
    <w:p>
      <w:pPr>
        <w:pStyle w:val="ListNumber"/>
      </w:pPr>
      <w:r>
        <w:t>6. Which tasks would block the team next week if nobody owned them?</w:t>
      </w:r>
    </w:p>
    <w:p>
      <w:pPr>
        <w:pStyle w:val="Heading2"/>
      </w:pPr>
      <w:r>
        <w:rPr>
          <w:color w:val="7753CE"/>
        </w:rPr>
        <w:t>Successor checklist</w:t>
      </w:r>
    </w:p>
    <w:p>
      <w:pPr>
        <w:pStyle w:val="ListBullet"/>
      </w:pPr>
      <w:r>
        <w:t>□ Review and confirm all owned procedures with Maya.</w:t>
      </w:r>
    </w:p>
    <w:p>
      <w:pPr>
        <w:pStyle w:val="ListBullet"/>
      </w:pPr>
      <w:r>
        <w:t>□ Check access to source folders without copying credentials into notes.</w:t>
      </w:r>
    </w:p>
    <w:p>
      <w:pPr>
        <w:pStyle w:val="ListBullet"/>
      </w:pPr>
      <w:r>
        <w:t>□ Rehearse donor reconciliation using nonidentifying sample data.</w:t>
      </w:r>
    </w:p>
    <w:p>
      <w:pPr>
        <w:pStyle w:val="ListBullet"/>
      </w:pPr>
      <w:r>
        <w:t>□ Locate grant report source tables and executive approval records.</w:t>
      </w:r>
    </w:p>
    <w:p>
      <w:pPr>
        <w:pStyle w:val="ListBullet"/>
      </w:pPr>
      <w:r>
        <w:t>□ Review the upcoming calendar and open decisions.</w:t>
      </w:r>
    </w:p>
    <w:p>
      <w:pPr>
        <w:pStyle w:val="ListBullet"/>
      </w:pPr>
      <w:r>
        <w:t>□ Ask the six gap questions and record the transcript with consent.</w:t>
      </w:r>
    </w:p>
    <w:p>
      <w:pPr>
        <w:pStyle w:val="ListBullet"/>
      </w:pPr>
      <w:r>
        <w:t>□ Edit the draft handoff guide and request a human Publish action.</w:t>
      </w:r>
    </w:p>
    <w:p>
      <w:pPr>
        <w:pStyle w:val="ListBullet"/>
      </w:pPr>
      <w:r>
        <w:t>□ Set review dates for the transferred procedures.</w:t>
      </w:r>
    </w:p>
    <w:p>
      <w:pPr>
        <w:pStyle w:val="ListBullet"/>
      </w:pPr>
      <w:r>
        <w:t>□ Complete the November 12 independent run through.</w:t>
      </w:r>
    </w:p>
    <w:p>
      <w:pPr>
        <w:pStyle w:val="Heading2"/>
      </w:pPr>
      <w:r>
        <w:rPr>
          <w:color w:val="7753CE"/>
        </w:rPr>
        <w:t>Known gaps and risk</w:t>
      </w:r>
    </w:p>
    <w:p>
      <w:r>
        <w:t>The final successor is named but the full handoff is not yet complete. One source document may be older than the current register. Flag changes rather than silently treating them as facts. If a process has no named owner, Sam should assign one before Maya leaves.</w:t>
      </w:r>
    </w:p>
    <w:p>
      <w:pPr>
        <w:pStyle w:val="Heading2"/>
      </w:pPr>
      <w:r>
        <w:rPr>
          <w:color w:val="7753CE"/>
        </w:rPr>
        <w:t>Review</w:t>
      </w:r>
    </w:p>
    <w:p>
      <w:r>
        <w:t>This document is a fictional draft, not a confirmed personnel record. Sam Rivera coordinates review, Maya verifies the facts, and Priya confirms that the steps are usable before publication.</w:t>
      </w:r>
    </w:p>
    <w:sectPr w:rsidR="00FC693F" w:rsidRPr="0006063C" w:rsidSect="00034616">
      <w:footerReference w:type="default" r:id="rId9"/>
      <w:pgSz w:w="12240" w:h="15840"/>
      <w:pgMar w:top="1195"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CENTER VALLEY COMMUNITY PANTRY  |  FICTIONAL ORGFLOW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302D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