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Đây là tỉnh có dân số đông thứ 6 trong tổng số 63</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"https://vi.wikipedia.org/wiki/T%E1%BB%89nh" \o "Tỉnh"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tỉnh thành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cũng là tỉnh có tỷ lệ gia tăng dân số cơ học rất cao do có nhiều người nhập cư, hơn 50% dân số của tỉnh Bình Dương là dân nhập cư.</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Phía Bắc giáp</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"https://vi.wikipedia.org/wiki/B%C3%ACnh_Ph%C6%B0%E1%BB%9Bc" \o "Bình Phước"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tỉnh Bình Phước</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Nam giáp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"https://vi.wikipedia.org/wiki/Th%C3%A0nh_ph%E1%BB%91_H%E1%BB%93_Ch%C3%AD_Minh" \o "Thành phố Hồ Chí Minh"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Thành phố Hồ Chí Minh</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Đông giáp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"https://vi.wikipedia.org/wiki/%C4%90%E1%BB%93ng_Nai" \o "Đồng Nai"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tỉnh Đồng Nai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Tây giáp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"https://vi.wikipedia.org/wiki/T%C3%A2y_Ninh" \o "Tây Ninh"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tỉnh Tây Ninh</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"https://vi.wikipedia.org/wiki/Th%C3%A0nh_ph%E1%BB%91_H%E1%BB%93_Ch%C3%AD_Minh" \o "Thành phố Hồ Chí Minh"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Thành phố Hồ Chí Minh</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instrText xml:space="preserve"> HYPERLINK "https://vi.wikipedia.org/wiki/B%C3%ACnh_D%C6%B0%C6%A1ng" \l "cite_note-gioithieubinhduong-9" </w:instrText>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bdr w:val="none" w:color="auto" w:sz="0" w:space="0"/>
          <w:shd w:val="clear" w:fill="FFFFFF"/>
        </w:rPr>
        <w:t>[9]</w:t>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Bình Dương là một tỉnh nằm ở vị trí chuyển tiếp giữa sườn phía nam của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"https://vi.wikipedia.org/wiki/D%C3%A3y_Tr%C6%B0%E1%BB%9Dng_S%C6%A1n" \o "Dãy Trường Sơn"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dãy Trường Sơn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nối nam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"https://vi.wikipedia.org/wiki/D%C3%A3y_Tr%C6%B0%E1%BB%9Dng_S%C6%A1n" \o "Dãy Trường Sơn"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Trường Sơn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các </w:t>
      </w:r>
      <w:r>
        <w:rPr>
          <w:rFonts w:hint="default" w:ascii="sans-serif" w:hAnsi="sans-serif" w:eastAsia="sans-serif" w:cs="sans-serif"/>
          <w:i w:val="0"/>
          <w:iCs w:val="0"/>
          <w:caps w:val="0"/>
          <w:color w:val="3366CC"/>
          <w:spacing w:val="0"/>
          <w:sz w:val="21"/>
          <w:szCs w:val="21"/>
          <w:u w:val="single"/>
          <w:shd w:val="clear" w:fill="FFFFFF"/>
        </w:rPr>
        <w:fldChar w:fldCharType="begin"/>
      </w:r>
      <w:r>
        <w:rPr>
          <w:rFonts w:hint="default" w:ascii="sans-serif" w:hAnsi="sans-serif" w:eastAsia="sans-serif" w:cs="sans-serif"/>
          <w:i w:val="0"/>
          <w:iCs w:val="0"/>
          <w:caps w:val="0"/>
          <w:color w:val="3366CC"/>
          <w:spacing w:val="0"/>
          <w:sz w:val="21"/>
          <w:szCs w:val="21"/>
          <w:u w:val="single"/>
          <w:shd w:val="clear" w:fill="FFFFFF"/>
        </w:rPr>
        <w:instrText xml:space="preserve"> HYPERLINK "https://vi.wikipedia.org/wiki/%C4%90%E1%BB%93ng_b%E1%BA%B1ng_s%C3%B4ng_C%E1%BB%ADu_Long" \o "" </w:instrText>
      </w:r>
      <w:r>
        <w:rPr>
          <w:rFonts w:hint="default" w:ascii="sans-serif" w:hAnsi="sans-serif" w:eastAsia="sans-serif" w:cs="sans-serif"/>
          <w:i w:val="0"/>
          <w:iCs w:val="0"/>
          <w:caps w:val="0"/>
          <w:color w:val="3366CC"/>
          <w:spacing w:val="0"/>
          <w:sz w:val="21"/>
          <w:szCs w:val="21"/>
          <w:u w:val="single"/>
          <w:shd w:val="clear" w:fill="FFFFFF"/>
        </w:rPr>
        <w:fldChar w:fldCharType="separate"/>
      </w:r>
      <w:r>
        <w:rPr>
          <w:rStyle w:val="10"/>
          <w:rFonts w:hint="default" w:ascii="sans-serif" w:hAnsi="sans-serif" w:eastAsia="sans-serif" w:cs="sans-serif"/>
          <w:i w:val="0"/>
          <w:iCs w:val="0"/>
          <w:caps w:val="0"/>
          <w:color w:val="3366CC"/>
          <w:spacing w:val="0"/>
          <w:sz w:val="21"/>
          <w:szCs w:val="21"/>
          <w:u w:val="single"/>
          <w:shd w:val="clear" w:fill="FFFFFF"/>
        </w:rPr>
        <w:t>tỉnh đồng bằng sông Cửu Long</w:t>
      </w:r>
      <w:r>
        <w:rPr>
          <w:rFonts w:hint="default" w:ascii="sans-serif" w:hAnsi="sans-serif" w:eastAsia="sans-serif" w:cs="sans-serif"/>
          <w:i w:val="0"/>
          <w:iCs w:val="0"/>
          <w:caps w:val="0"/>
          <w:color w:val="3366CC"/>
          <w:spacing w:val="0"/>
          <w:sz w:val="21"/>
          <w:szCs w:val="21"/>
          <w:u w:val="singl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tỉnh bình nguyên có địa hình lượn sóng từ cao xuống thấp dần từ 10m đến 15m so với mặt biển. Địa hình tương đối bằng phẳng, thấp dần từ bắc xuống nam. Nhìn tổng quát, Bình Dương có nhiều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"https://vi.wikipedia.org/wiki/%C4%90%E1%BB%8Ba_h%C3%ACnh" \o "Địa hình"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địa hình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khác nhau như</w:t>
      </w:r>
      <w:r>
        <w:rPr>
          <w:rFonts w:hint="default" w:ascii="sans-serif" w:hAnsi="sans-serif" w:eastAsia="sans-serif" w:cs="sans-serif"/>
          <w:b w:val="0"/>
          <w:bCs w:val="0"/>
          <w:i w:val="0"/>
          <w:iCs w:val="0"/>
          <w:caps w:val="0"/>
          <w:color w:val="3366CC"/>
          <w:spacing w:val="0"/>
          <w:sz w:val="16"/>
          <w:szCs w:val="16"/>
          <w:u w:val="none"/>
          <w:shd w:val="clear" w:fill="FFFFFF"/>
        </w:rPr>
        <w:fldChar w:fldCharType="begin"/>
      </w:r>
      <w:r>
        <w:rPr>
          <w:rFonts w:hint="default" w:ascii="sans-serif" w:hAnsi="sans-serif" w:eastAsia="sans-serif" w:cs="sans-serif"/>
          <w:b w:val="0"/>
          <w:bCs w:val="0"/>
          <w:i w:val="0"/>
          <w:iCs w:val="0"/>
          <w:caps w:val="0"/>
          <w:color w:val="3366CC"/>
          <w:spacing w:val="0"/>
          <w:sz w:val="16"/>
          <w:szCs w:val="16"/>
          <w:u w:val="none"/>
          <w:shd w:val="clear" w:fill="FFFFFF"/>
        </w:rPr>
        <w:instrText xml:space="preserve"> HYPERLINK "https://vi.wikipedia.org/wiki/B%C3%ACnh_D%C6%B0%C6%A1ng" \l "cite_note-10" </w:instrText>
      </w:r>
      <w:r>
        <w:rPr>
          <w:rFonts w:hint="default" w:ascii="sans-serif" w:hAnsi="sans-serif" w:eastAsia="sans-serif" w:cs="sans-serif"/>
          <w:b w:val="0"/>
          <w:bCs w:val="0"/>
          <w:i w:val="0"/>
          <w:iCs w:val="0"/>
          <w:caps w:val="0"/>
          <w:color w:val="3366CC"/>
          <w:spacing w:val="0"/>
          <w:sz w:val="16"/>
          <w:szCs w:val="16"/>
          <w:u w:val="none"/>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shd w:val="clear" w:fill="FFFFFF"/>
        </w:rPr>
        <w:t>[10]</w:t>
      </w:r>
      <w:r>
        <w:rPr>
          <w:rFonts w:hint="default" w:ascii="sans-serif" w:hAnsi="sans-serif" w:eastAsia="sans-serif" w:cs="sans-serif"/>
          <w:b w:val="0"/>
          <w:bCs w:val="0"/>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Vùng thung lũng bãi bồi: phân bố dọc theo các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"https://vi.wikipedia.org/wiki/S%C3%B4ng_%C4%90%E1%BB%93ng_Nai" \o "Sông Đồng Nai"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sông Đồng Nai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"https://vi.wikipedia.org/wiki/S%C3%B4ng_S%C3%A0i_G%C3%B2n" \o "Sông Sài Gòn"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sông Sài Gòn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"https://vi.wikipedia.org/wiki/S%C3%B4ng_B%C3%A9" \o "Sông Bé"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sông Bé</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Đây là vùng đất thấp, phù sa mới, khá phì nhiêu, bằng phẳng, cao trung bình 6 – 10m.</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Vùng địa hình bằng phẳng: nằm kế tiếp sau các vùng thung lũng bãi bồi, địa hình tương đối bằng phẳng, có độ dốc 3 – 120, cao trung bình từ 10 – 30m.</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Vùng địa hình đồi thấp có lượn sóng yếu: nằm trên các nền phù sa cổ, chủ yếu là các đồi thấp với đỉnh bằng phẳng, liên tiếp nhau, có độ dốc 5 – 120, độ cao phổ biến từ 30 – 60m.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Về hệ thống giao thông đường thủy, Bình Dương nằm giữa ba con sông lớn, nhất là</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"https://vi.wikipedia.org/wiki/S%C3%B4ng_S%C3%A0i_G%C3%B2n" \o "Sông Sài Gòn"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sông Sài Gòn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Bình Dương có thể nối với các cảng lớn ở phía nam và giao lưu hàng hóa với các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 sông Cửu Long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Theo thông cáo báo chí Kết quả Tổng điều tra Dân số và Nhà ở năm 2019 thì toàn quốc có 12 tỉnh, thành phố trực thuộc Trung ương có tỷ suất di cư thuần dương, nghĩa là người nhập cư nhiều hơn người xuất cư. Trong đó, tỉnh Bình Dương có tỷ suất di cư thuần dương cao nhất (200,4‰) với hơn 489 nghìn người nhập cư nhưng chỉ có khoảng 38 nghìn người xuất cư khỏi tỉnh này trong 5 năm trước. Như vậy, cứ 5 người từ 5 tuổi trở lên ở tỉnh Bình Dương thì có 1 người đến từ tỉnh khác. Hơn nữa theo thông cáo này, Bình Dương cũng là tỉnh có tỷ lệ người di cư phải thuê/mượn nhà cao nhất cả nước (74,5%).</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Tính đến ngày</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"https://vi.wikipedia.org/wiki/1_th%C3%A1ng_4" \o "1 tháng 4"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1 tháng 4</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năm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"https://vi.wikipedia.org/wiki/2019" \o "2019"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2019</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toàn tỉnh có 13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"https://vi.wikipedia.org/wiki/T%C3%B4n_gi%C3%A1o" \o "Tôn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tôn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khác nhau đạt 186.021 người, nhiều nhất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"https://vi.wikipedia.org/wiki/C%C3%B4ng_gi%C3%A1o_t%E1%BA%A1i_Vi%E1%BB%87t_Nam" \o "Công giáo tại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Công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108.260 người, tiếp theo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"https://vi.wikipedia.org/wiki/Ph%E1%BA%ADt_gi%C3%A1o_Vi%E1%BB%87t_Nam" \o "Phật giáo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58.220 người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Bình Dương có nhiều khu công nghiệp (KCN) đang hoạt động, trong đó nhiều KCN đã cho thuê gần hết diện tích như KCN Sóng Thần I, KCN Sóng Thần II, KCN Đồng An, KCN Nam Tân Uyên, KCN Tân Đông Hiệp A, KCN Việt Hương, KCN VSIP - Việt Nam Singapore, các KCN Mỹ Phước 1, 2, 3, 4 và 5. Các khu công nghiệp trên địa bàn tỉnh đã thu hút 938 dự án đầu tư, trong đó có 613 dự án đầu tư nước ngoài với tổng vốn 3,483 triệu</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"https://vi.wikipedia.org/wiki/%C4%90%C3%B4_la_M%E1%BB%B9" \o "Đô la Mỹ"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USD</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225 dự án đầu tư trong nước có số vốn 2.656 tỷ đồng.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i w:val="0"/>
          <w:iCs w:val="0"/>
          <w:caps w:val="0"/>
          <w:color w:val="202122"/>
          <w:spacing w:val="0"/>
          <w:sz w:val="21"/>
          <w:szCs w:val="21"/>
          <w:shd w:val="clear" w:fill="FFFFFF"/>
          <w:lang w:val="en-US"/>
        </w:rPr>
      </w:pPr>
      <w:r>
        <w:rPr>
          <w:rFonts w:hint="default" w:ascii="sans-serif" w:hAnsi="sans-serif" w:eastAsia="sans-serif"/>
          <w:i w:val="0"/>
          <w:iCs w:val="0"/>
          <w:caps w:val="0"/>
          <w:color w:val="202122"/>
          <w:spacing w:val="0"/>
          <w:sz w:val="21"/>
          <w:szCs w:val="21"/>
          <w:shd w:val="clear" w:fill="FFFFFF"/>
          <w:lang w:val="en-US"/>
        </w:rPr>
        <w:t>Lễ hội chùa Bà Thiên Hậu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hint="default" w:ascii="sans-serif" w:hAnsi="sans-serif" w:eastAsia="sans-serif"/>
          <w:i w:val="0"/>
          <w:iCs w:val="0"/>
          <w:caps w:val="0"/>
          <w:color w:val="202122"/>
          <w:spacing w:val="0"/>
          <w:sz w:val="21"/>
          <w:szCs w:val="21"/>
          <w:shd w:val="clear" w:fill="FFFFFF"/>
          <w:lang w:val="en-US"/>
        </w:rPr>
        <w:t>hay còn được gọi là lễ hội chùa Bà, được diễn ra vào rằm tháng giêng mỗi năm. Lễ hội chùa Bà Bình Dương được tổ chức tại chùa Bà Thiên Hậu ở Thủ Dầu Một, là nơi mà hàng nghìn du khách thập phương từ nhiều tỉnh đổ về. Lễ hội chùa Bà Bình Dương độc đáo hơn ở các tỉnh khác ở chỗ tất cả các dịch vụ nước uống, đồ ăn, vá xe, khăn lạnh đều được người dân địa phương hỗ trợ miễn phí.</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Tôm khô</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"https://vi.wikipedia.org/wiki/L%E1%BA%A1c_C%E1%BA%A3nh_%C4%90%E1%BA%A1i_Nam_V%C4%83n_Hi%E1%BA%BFn" \o "Lạc Cảnh Đại Nam Văn Hiến"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khu du lịch Đại Nam</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khu du lịch lớn nhất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"https://vi.wikipedia.org/wiki/%C4%90%C3%B4ng_Nam_%C3%81" \o "Đông Nam Á"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Đông Nam Á</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leftChars="0" w:hanging="360" w:firstLineChars="0"/>
        <w:outlineLvl w:val="0"/>
        <w:rPr>
          <w:rFonts w:ascii="Arial" w:hAnsi="Arial" w:eastAsia="Arial" w:cs="Arial"/>
          <w:color w:val="538135"/>
          <w:sz w:val="36"/>
          <w:szCs w:val="36"/>
        </w:rPr>
      </w:pPr>
      <w:r>
        <w:rPr>
          <w:rFonts w:ascii="sans-serif" w:hAnsi="sans-serif" w:eastAsia="sans-serif" w:cs="sans-serif"/>
          <w:i w:val="0"/>
          <w:iCs w:val="0"/>
          <w:caps w:val="0"/>
          <w:color w:val="202122"/>
          <w:spacing w:val="0"/>
          <w:sz w:val="19"/>
          <w:szCs w:val="19"/>
          <w:shd w:val="clear" w:fill="FFFFFF"/>
        </w:rPr>
        <w:t>Chủ tịch nước</w:t>
      </w:r>
      <w:r>
        <w:rPr>
          <w:rFonts w:hint="default" w:ascii="sans-serif" w:hAnsi="sans-serif" w:eastAsia="sans-serif" w:cs="sans-serif"/>
          <w:i w:val="0"/>
          <w:iCs w:val="0"/>
          <w:caps w:val="0"/>
          <w:color w:val="202122"/>
          <w:spacing w:val="0"/>
          <w:sz w:val="19"/>
          <w:szCs w:val="19"/>
          <w:shd w:val="clear" w:fill="FFFFFF"/>
        </w:rPr>
        <w:t> </w:t>
      </w:r>
      <w:r>
        <w:rPr>
          <w:rFonts w:hint="default" w:ascii="sans-serif" w:hAnsi="sans-serif" w:eastAsia="sans-serif" w:cs="sans-serif"/>
          <w:i w:val="0"/>
          <w:iCs w:val="0"/>
          <w:caps w:val="0"/>
          <w:color w:val="3366CC"/>
          <w:spacing w:val="0"/>
          <w:sz w:val="19"/>
          <w:szCs w:val="19"/>
          <w:u w:val="none"/>
          <w:shd w:val="clear" w:fill="FFFFFF"/>
        </w:rPr>
        <w:fldChar w:fldCharType="begin"/>
      </w:r>
      <w:r>
        <w:rPr>
          <w:rFonts w:hint="default" w:ascii="sans-serif" w:hAnsi="sans-serif" w:eastAsia="sans-serif" w:cs="sans-serif"/>
          <w:i w:val="0"/>
          <w:iCs w:val="0"/>
          <w:caps w:val="0"/>
          <w:color w:val="3366CC"/>
          <w:spacing w:val="0"/>
          <w:sz w:val="19"/>
          <w:szCs w:val="19"/>
          <w:u w:val="none"/>
          <w:shd w:val="clear" w:fill="FFFFFF"/>
        </w:rPr>
        <w:instrText xml:space="preserve"> HYPERLINK "https://vi.wikipedia.org/wiki/Nguy%E1%BB%85n_Minh_Tri%E1%BA%BFt" \o "Nguyễn Minh Triết" </w:instrText>
      </w:r>
      <w:r>
        <w:rPr>
          <w:rFonts w:hint="default" w:ascii="sans-serif" w:hAnsi="sans-serif" w:eastAsia="sans-serif" w:cs="sans-serif"/>
          <w:i w:val="0"/>
          <w:iCs w:val="0"/>
          <w:caps w:val="0"/>
          <w:color w:val="3366CC"/>
          <w:spacing w:val="0"/>
          <w:sz w:val="19"/>
          <w:szCs w:val="19"/>
          <w:u w:val="none"/>
          <w:shd w:val="clear" w:fill="FFFFFF"/>
        </w:rPr>
        <w:fldChar w:fldCharType="separate"/>
      </w:r>
      <w:r>
        <w:rPr>
          <w:rStyle w:val="10"/>
          <w:rFonts w:hint="default" w:ascii="sans-serif" w:hAnsi="sans-serif" w:eastAsia="sans-serif" w:cs="sans-serif"/>
          <w:i w:val="0"/>
          <w:iCs w:val="0"/>
          <w:caps w:val="0"/>
          <w:color w:val="3366CC"/>
          <w:spacing w:val="0"/>
          <w:sz w:val="19"/>
          <w:szCs w:val="19"/>
          <w:u w:val="none"/>
          <w:shd w:val="clear" w:fill="FFFFFF"/>
        </w:rPr>
        <w:t>Nguyễn Minh Triết</w:t>
      </w:r>
      <w:r>
        <w:rPr>
          <w:rFonts w:hint="default" w:ascii="sans-serif" w:hAnsi="sans-serif" w:eastAsia="sans-serif" w:cs="sans-serif"/>
          <w:i w:val="0"/>
          <w:iCs w:val="0"/>
          <w:caps w:val="0"/>
          <w:color w:val="3366CC"/>
          <w:spacing w:val="0"/>
          <w:sz w:val="19"/>
          <w:szCs w:val="19"/>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ascii="Arial" w:hAnsi="Arial" w:eastAsia="Arial" w:cs="Arial"/>
          <w:color w:val="538135"/>
          <w:sz w:val="36"/>
          <w:szCs w:val="36"/>
        </w:rPr>
      </w:pPr>
      <w:r>
        <w:rPr>
          <w:rFonts w:ascii="sans-serif" w:hAnsi="sans-serif" w:eastAsia="sans-serif" w:cs="sans-serif"/>
          <w:i w:val="0"/>
          <w:iCs w:val="0"/>
          <w:caps w:val="0"/>
          <w:color w:val="202122"/>
          <w:spacing w:val="0"/>
          <w:sz w:val="21"/>
          <w:szCs w:val="21"/>
          <w:bdr w:val="none" w:color="auto" w:sz="0" w:space="0"/>
          <w:shd w:val="clear" w:fill="FFFFFF"/>
        </w:rPr>
        <w:t>Diễn viên</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"https://vi.wikipedia.org/wiki/Johnny_Tr%C3%AD_Nguy%E1%BB%85n" \o "Johnny Trí Nguyễn"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Johnny Trí Nguyễn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ascii="Arial" w:hAnsi="Arial" w:eastAsia="Arial" w:cs="Arial"/>
          <w:color w:val="538135"/>
          <w:sz w:val="36"/>
          <w:szCs w:val="36"/>
        </w:rPr>
      </w:pPr>
      <w:bookmarkStart w:id="1" w:name="_GoBack"/>
      <w:bookmarkEnd w:id="1"/>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1C5B30"/>
    <w:multiLevelType w:val="multilevel"/>
    <w:tmpl w:val="E41C5B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1A8E83"/>
    <w:multiLevelType w:val="multilevel"/>
    <w:tmpl w:val="071A8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1CA464C"/>
    <w:multiLevelType w:val="multilevel"/>
    <w:tmpl w:val="31CA46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834083B"/>
    <w:rsid w:val="29F3729F"/>
    <w:rsid w:val="2E922111"/>
    <w:rsid w:val="38E14AEA"/>
    <w:rsid w:val="4BD256D5"/>
    <w:rsid w:val="4EB14B03"/>
    <w:rsid w:val="5120126E"/>
    <w:rsid w:val="5BC30EDA"/>
    <w:rsid w:val="65D77CE1"/>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2023-06-21T12:05:57Z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