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r>
        <w:t xml:space="preserve"/>
      </w:r>
    </w:p>
    <w:p>
      <w:pPr>
        <w:spacing w:after="100"/>
      </w:pPr>
      <w:r>
        <w:rPr>
          <w:rFonts w:ascii="Georgia" w:cs="Georgia" w:eastAsia="Georgia" w:hAnsi="Georgia"/>
          <w:b/>
          <w:bCs/>
          <w:color w:val="15324B"/>
          <w:spacing w:val="40"/>
          <w:sz w:val="76"/>
          <w:szCs w:val="76"/>
        </w:rPr>
        <w:t xml:space="preserve">SUPERME</w:t>
      </w:r>
    </w:p>
    <w:p>
      <w:pPr>
        <w:spacing w:after="700"/>
      </w:pPr>
      <w:r>
        <w:rPr>
          <w:rFonts w:ascii="Calibri" w:cs="Calibri" w:eastAsia="Calibri" w:hAnsi="Calibri"/>
          <w:color w:val="A8703C"/>
          <w:sz w:val="24"/>
          <w:szCs w:val="24"/>
        </w:rPr>
        <w:t xml:space="preserve">The 5-Day Pain Reset   |   The Inner Brace Method</w:t>
      </w:r>
    </w:p>
    <w:p>
      <w:pPr>
        <w:pBdr>
          <w:top w:val="single" w:color="A8703C" w:sz="12" w:space="14"/>
        </w:pBdr>
        <w:spacing w:after="160"/>
      </w:pPr>
      <w:r>
        <w:rPr>
          <w:rFonts w:ascii="Georgia" w:cs="Georgia" w:eastAsia="Georgia" w:hAnsi="Georgia"/>
          <w:b/>
          <w:bCs/>
          <w:color w:val="15324B"/>
          <w:sz w:val="40"/>
          <w:szCs w:val="40"/>
        </w:rPr>
        <w:t xml:space="preserve">Business Strategy &amp; Game Plan</w:t>
      </w:r>
    </w:p>
    <w:p>
      <w:pPr>
        <w:spacing w:after="1400"/>
      </w:pPr>
      <w:r>
        <w:rPr>
          <w:rFonts w:ascii="Calibri" w:cs="Calibri" w:eastAsia="Calibri" w:hAnsi="Calibri"/>
          <w:color w:val="5A6673"/>
          <w:sz w:val="22"/>
          <w:szCs w:val="22"/>
        </w:rPr>
        <w:t xml:space="preserve">The complete strategy, positioning, offer, funnel, content and ad plan for the United Kingdom launch. Everything in one place.</w:t>
      </w:r>
    </w:p>
    <w:tbl>
      <w:tblPr>
        <w:tblW w:type="dxa" w:w="9638"/>
        <w:tblBorders>
          <w:top w:val="single" w:color="D3D8DD" w:sz="4"/>
          <w:left w:val="single" w:color="D3D8DD" w:sz="4"/>
          <w:bottom w:val="single" w:color="D3D8DD" w:sz="4"/>
          <w:right w:val="single" w:color="D3D8DD" w:sz="4"/>
          <w:insideH w:val="single" w:color="D3D8DD" w:sz="4"/>
          <w:insideV w:val="single" w:color="D3D8DD" w:sz="4"/>
        </w:tblBorders>
      </w:tblPr>
      <w:tblGrid>
        <w:gridCol w:w="2400"/>
        <w:gridCol w:w="7238"/>
      </w:tblGrid>
      <w:tr>
        <w:tc>
          <w:tcPr>
            <w:tcW w:type="dxa" w:w="24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FOR</w:t>
            </w:r>
          </w:p>
        </w:tc>
        <w:tc>
          <w:tcPr>
            <w:tcW w:type="dxa" w:w="72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Sriram Natarajan, Stéphane Bezençon and Vineet Govind</w:t>
            </w:r>
          </w:p>
          <w:p>
            <w:pPr>
              <w:spacing w:after="40" w:before="60" w:line="264"/>
              <w:jc w:val="left"/>
            </w:pPr>
            <w:r>
              <w:rPr>
                <w:rFonts w:ascii="Calibri" w:cs="Calibri" w:eastAsia="Calibri" w:hAnsi="Calibri"/>
                <w:color w:val="2B3138"/>
                <w:sz w:val="19"/>
                <w:szCs w:val="19"/>
              </w:rPr>
              <w:t xml:space="preserve">SuperMe  |  MyEntourage Sàrl, Lausanne</w:t>
            </w:r>
          </w:p>
        </w:tc>
      </w:tr>
      <w:tr>
        <w:tc>
          <w:tcPr>
            <w:tcW w:type="dxa" w:w="24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PREPARED BY</w:t>
            </w:r>
          </w:p>
        </w:tc>
        <w:tc>
          <w:tcPr>
            <w:tcW w:type="dxa" w:w="72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Nirmit Maniar</w:t>
            </w:r>
          </w:p>
          <w:p>
            <w:pPr>
              <w:spacing w:after="40" w:before="60" w:line="264"/>
              <w:jc w:val="left"/>
            </w:pPr>
            <w:r>
              <w:rPr>
                <w:rFonts w:ascii="Calibri" w:cs="Calibri" w:eastAsia="Calibri" w:hAnsi="Calibri"/>
                <w:color w:val="2B3138"/>
                <w:sz w:val="19"/>
                <w:szCs w:val="19"/>
              </w:rPr>
              <w:t xml:space="preserve">TrainerGoesOnline</w:t>
            </w:r>
          </w:p>
        </w:tc>
      </w:tr>
      <w:tr>
        <w:tc>
          <w:tcPr>
            <w:tcW w:type="dxa" w:w="24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DATE</w:t>
            </w:r>
          </w:p>
        </w:tc>
        <w:tc>
          <w:tcPr>
            <w:tcW w:type="dxa" w:w="72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August 2026     ·     Version 2.0     ·     Confidential</w:t>
            </w:r>
          </w:p>
        </w:tc>
      </w:tr>
    </w:tbl>
    <w:p>
      <w:r>
        <w:br w:type="page"/>
      </w:r>
    </w:p>
    <w:p>
      <w:pPr>
        <w:spacing w:after="60"/>
      </w:pPr>
      <w:r>
        <w:rPr>
          <w:rFonts w:ascii="Georgia" w:cs="Georgia" w:eastAsia="Georgia" w:hAnsi="Georgia"/>
          <w:b/>
          <w:bCs/>
          <w:color w:val="15324B"/>
          <w:sz w:val="40"/>
          <w:szCs w:val="40"/>
        </w:rPr>
        <w:t xml:space="preserve">Contents</w:t>
      </w:r>
    </w:p>
    <w:p>
      <w:pPr>
        <w:spacing w:after="420"/>
      </w:pPr>
      <w:r>
        <w:rPr>
          <w:rFonts w:ascii="Calibri" w:cs="Calibri" w:eastAsia="Calibri" w:hAnsi="Calibri"/>
          <w:i/>
          <w:iCs/>
          <w:color w:val="A8703C"/>
          <w:sz w:val="22"/>
          <w:szCs w:val="22"/>
        </w:rPr>
        <w:t xml:space="preserve">Seven sections. One game plan.</w:t>
      </w:r>
    </w:p>
    <w:p>
      <w:pPr>
        <w:spacing w:after="190"/>
      </w:pPr>
      <w:r>
        <w:rPr>
          <w:rFonts w:ascii="Georgia" w:cs="Georgia" w:eastAsia="Georgia" w:hAnsi="Georgia"/>
          <w:b/>
          <w:bCs/>
          <w:color w:val="A8703C"/>
          <w:sz w:val="26"/>
          <w:szCs w:val="26"/>
        </w:rPr>
        <w:t xml:space="preserve">1.   </w:t>
      </w:r>
      <w:r>
        <w:rPr>
          <w:rFonts w:ascii="Georgia" w:cs="Georgia" w:eastAsia="Georgia" w:hAnsi="Georgia"/>
          <w:color w:val="15324B"/>
          <w:sz w:val="26"/>
          <w:szCs w:val="26"/>
        </w:rPr>
        <w:t xml:space="preserve">The Strategy In A Nutshell</w:t>
      </w:r>
    </w:p>
    <w:p>
      <w:pPr>
        <w:spacing w:after="190"/>
      </w:pPr>
      <w:r>
        <w:rPr>
          <w:rFonts w:ascii="Georgia" w:cs="Georgia" w:eastAsia="Georgia" w:hAnsi="Georgia"/>
          <w:b/>
          <w:bCs/>
          <w:color w:val="A8703C"/>
          <w:sz w:val="26"/>
          <w:szCs w:val="26"/>
        </w:rPr>
        <w:t xml:space="preserve">2.   </w:t>
      </w:r>
      <w:r>
        <w:rPr>
          <w:rFonts w:ascii="Georgia" w:cs="Georgia" w:eastAsia="Georgia" w:hAnsi="Georgia"/>
          <w:color w:val="15324B"/>
          <w:sz w:val="26"/>
          <w:szCs w:val="26"/>
        </w:rPr>
        <w:t xml:space="preserve">Who We're Talking To</w:t>
      </w:r>
    </w:p>
    <w:p>
      <w:pPr>
        <w:spacing w:after="190"/>
      </w:pPr>
      <w:r>
        <w:rPr>
          <w:rFonts w:ascii="Georgia" w:cs="Georgia" w:eastAsia="Georgia" w:hAnsi="Georgia"/>
          <w:b/>
          <w:bCs/>
          <w:color w:val="A8703C"/>
          <w:sz w:val="26"/>
          <w:szCs w:val="26"/>
        </w:rPr>
        <w:t xml:space="preserve">3.   </w:t>
      </w:r>
      <w:r>
        <w:rPr>
          <w:rFonts w:ascii="Georgia" w:cs="Georgia" w:eastAsia="Georgia" w:hAnsi="Georgia"/>
          <w:color w:val="15324B"/>
          <w:sz w:val="26"/>
          <w:szCs w:val="26"/>
        </w:rPr>
        <w:t xml:space="preserve">Positioning &amp; The Inner Brace Method</w:t>
      </w:r>
    </w:p>
    <w:p>
      <w:pPr>
        <w:spacing w:after="190"/>
      </w:pPr>
      <w:r>
        <w:rPr>
          <w:rFonts w:ascii="Georgia" w:cs="Georgia" w:eastAsia="Georgia" w:hAnsi="Georgia"/>
          <w:b/>
          <w:bCs/>
          <w:color w:val="A8703C"/>
          <w:sz w:val="26"/>
          <w:szCs w:val="26"/>
        </w:rPr>
        <w:t xml:space="preserve">4.   </w:t>
      </w:r>
      <w:r>
        <w:rPr>
          <w:rFonts w:ascii="Georgia" w:cs="Georgia" w:eastAsia="Georgia" w:hAnsi="Georgia"/>
          <w:color w:val="15324B"/>
          <w:sz w:val="26"/>
          <w:szCs w:val="26"/>
        </w:rPr>
        <w:t xml:space="preserve">The Offer</w:t>
      </w:r>
    </w:p>
    <w:p>
      <w:pPr>
        <w:spacing w:after="190"/>
      </w:pPr>
      <w:r>
        <w:rPr>
          <w:rFonts w:ascii="Georgia" w:cs="Georgia" w:eastAsia="Georgia" w:hAnsi="Georgia"/>
          <w:b/>
          <w:bCs/>
          <w:color w:val="A8703C"/>
          <w:sz w:val="26"/>
          <w:szCs w:val="26"/>
        </w:rPr>
        <w:t xml:space="preserve">5.   </w:t>
      </w:r>
      <w:r>
        <w:rPr>
          <w:rFonts w:ascii="Georgia" w:cs="Georgia" w:eastAsia="Georgia" w:hAnsi="Georgia"/>
          <w:color w:val="15324B"/>
          <w:sz w:val="26"/>
          <w:szCs w:val="26"/>
        </w:rPr>
        <w:t xml:space="preserve">Pricing &amp; The Challenge Funnel</w:t>
      </w:r>
    </w:p>
    <w:p>
      <w:pPr>
        <w:spacing w:after="190"/>
      </w:pPr>
      <w:r>
        <w:rPr>
          <w:rFonts w:ascii="Georgia" w:cs="Georgia" w:eastAsia="Georgia" w:hAnsi="Georgia"/>
          <w:b/>
          <w:bCs/>
          <w:color w:val="A8703C"/>
          <w:sz w:val="26"/>
          <w:szCs w:val="26"/>
        </w:rPr>
        <w:t xml:space="preserve">6.   </w:t>
      </w:r>
      <w:r>
        <w:rPr>
          <w:rFonts w:ascii="Georgia" w:cs="Georgia" w:eastAsia="Georgia" w:hAnsi="Georgia"/>
          <w:color w:val="15324B"/>
          <w:sz w:val="26"/>
          <w:szCs w:val="26"/>
        </w:rPr>
        <w:t xml:space="preserve">Content Strategy</w:t>
      </w:r>
    </w:p>
    <w:p>
      <w:pPr>
        <w:spacing w:after="190"/>
      </w:pPr>
      <w:r>
        <w:rPr>
          <w:rFonts w:ascii="Georgia" w:cs="Georgia" w:eastAsia="Georgia" w:hAnsi="Georgia"/>
          <w:b/>
          <w:bCs/>
          <w:color w:val="A8703C"/>
          <w:sz w:val="26"/>
          <w:szCs w:val="26"/>
        </w:rPr>
        <w:t xml:space="preserve">7.   </w:t>
      </w:r>
      <w:r>
        <w:rPr>
          <w:rFonts w:ascii="Georgia" w:cs="Georgia" w:eastAsia="Georgia" w:hAnsi="Georgia"/>
          <w:color w:val="15324B"/>
          <w:sz w:val="26"/>
          <w:szCs w:val="26"/>
        </w:rPr>
        <w:t xml:space="preserve">Ad Messaging</w:t>
      </w:r>
    </w:p>
    <w:p>
      <w:pPr>
        <w:spacing w:after="180"/>
      </w:pPr>
      <w:r>
        <w:t xml:space="preserve"/>
      </w:r>
    </w:p>
    <w:p>
      <w:pPr>
        <w:spacing w:after="190"/>
      </w:pPr>
      <w:r>
        <w:rPr>
          <w:rFonts w:ascii="Georgia" w:cs="Georgia" w:eastAsia="Georgia" w:hAnsi="Georgia"/>
          <w:b/>
          <w:bCs/>
          <w:color w:val="5A6673"/>
          <w:sz w:val="24"/>
          <w:szCs w:val="24"/>
        </w:rPr>
        <w:t xml:space="preserve">A.   </w:t>
      </w:r>
      <w:r>
        <w:rPr>
          <w:rFonts w:ascii="Georgia" w:cs="Georgia" w:eastAsia="Georgia" w:hAnsi="Georgia"/>
          <w:color w:val="5A6673"/>
          <w:sz w:val="24"/>
          <w:szCs w:val="24"/>
        </w:rPr>
        <w:t xml:space="preserve">Advertising Standards: The Working Line</w:t>
      </w:r>
    </w:p>
    <w:p>
      <w:pPr>
        <w:spacing w:after="190"/>
      </w:pPr>
      <w:r>
        <w:rPr>
          <w:rFonts w:ascii="Georgia" w:cs="Georgia" w:eastAsia="Georgia" w:hAnsi="Georgia"/>
          <w:b/>
          <w:bCs/>
          <w:color w:val="5A6673"/>
          <w:sz w:val="24"/>
          <w:szCs w:val="24"/>
        </w:rPr>
        <w:t xml:space="preserve">B.   </w:t>
      </w:r>
      <w:r>
        <w:rPr>
          <w:rFonts w:ascii="Georgia" w:cs="Georgia" w:eastAsia="Georgia" w:hAnsi="Georgia"/>
          <w:color w:val="5A6673"/>
          <w:sz w:val="24"/>
          <w:szCs w:val="24"/>
        </w:rPr>
        <w:t xml:space="preserve">The Three-Cycle Plan, Budget &amp; Operating Cadence</w:t>
      </w:r>
    </w:p>
    <w:p>
      <w:pPr>
        <w:pageBreakBefore/>
        <w:spacing w:after="20" w:before="0"/>
      </w:pPr>
      <w:r>
        <w:rPr>
          <w:rFonts w:ascii="Georgia" w:cs="Georgia" w:eastAsia="Georgia" w:hAnsi="Georgia"/>
          <w:b/>
          <w:bCs/>
          <w:color w:val="A8703C"/>
          <w:sz w:val="44"/>
          <w:szCs w:val="44"/>
        </w:rPr>
        <w:t xml:space="preserve">1.</w:t>
      </w:r>
    </w:p>
    <w:p>
      <w:pPr>
        <w:pStyle w:val="Heading1"/>
        <w:pBdr>
          <w:bottom w:val="single" w:color="A8703C" w:sz="10" w:space="10"/>
        </w:pBdr>
        <w:spacing w:after="200"/>
      </w:pPr>
      <w:r>
        <w:rPr>
          <w:rFonts w:ascii="Georgia" w:cs="Georgia" w:eastAsia="Georgia" w:hAnsi="Georgia"/>
          <w:b/>
          <w:bCs/>
          <w:color w:val="15324B"/>
          <w:sz w:val="34"/>
          <w:szCs w:val="34"/>
        </w:rPr>
        <w:t xml:space="preserve">THE STRATEGY IN A NUTSHELL</w:t>
      </w:r>
    </w:p>
    <w:p>
      <w:pPr>
        <w:pStyle w:val="Heading2"/>
        <w:spacing w:after="130" w:before="300"/>
      </w:pPr>
      <w:r>
        <w:rPr>
          <w:rFonts w:ascii="Georgia" w:cs="Georgia" w:eastAsia="Georgia" w:hAnsi="Georgia"/>
          <w:b/>
          <w:bCs/>
          <w:color w:val="15324B"/>
          <w:sz w:val="25"/>
          <w:szCs w:val="25"/>
        </w:rPr>
        <w:t xml:space="preserve">The gap no one else is filling</w:t>
      </w:r>
    </w:p>
    <w:p>
      <w:pPr>
        <w:spacing w:after="140" w:line="288"/>
        <w:jc w:val="left"/>
      </w:pPr>
      <w:r>
        <w:rPr>
          <w:rFonts w:ascii="Calibri" w:cs="Calibri" w:eastAsia="Calibri" w:hAnsi="Calibri"/>
          <w:color w:val="2B3138"/>
          <w:sz w:val="21"/>
          <w:szCs w:val="21"/>
        </w:rPr>
        <w:t xml:space="preserve">There is a specific person, 47, in an office in Leeds or a spare bedroom in Guildford, who stood up from a chair a moment ago and paused for a second before walking. A small pause. The kind only the person doing it notices. They have been doing it for about eighteen months.</w:t>
      </w:r>
    </w:p>
    <w:p>
      <w:pPr>
        <w:spacing w:after="140" w:line="288"/>
        <w:jc w:val="left"/>
      </w:pPr>
      <w:r>
        <w:rPr>
          <w:rFonts w:ascii="Calibri" w:cs="Calibri" w:eastAsia="Calibri" w:hAnsi="Calibri"/>
          <w:color w:val="2B3138"/>
          <w:sz w:val="21"/>
          <w:szCs w:val="21"/>
        </w:rPr>
        <w:t xml:space="preserve">They have started editing their day around it. Which chair at dinner. How they will get out of the car. They stopped picking their child up off the floor about a year ago and nobody in the house has mentioned it. At eleven at night they spend the first twenty minutes finding the one position that lets them sleep.</w:t>
      </w:r>
    </w:p>
    <w:p>
      <w:pPr>
        <w:spacing w:after="140" w:line="288"/>
        <w:jc w:val="left"/>
      </w:pPr>
      <w:r>
        <w:rPr>
          <w:rFonts w:ascii="Calibri" w:cs="Calibri" w:eastAsia="Calibri" w:hAnsi="Calibri"/>
          <w:color w:val="2B3138"/>
          <w:sz w:val="21"/>
          <w:szCs w:val="21"/>
        </w:rPr>
        <w:t xml:space="preserve">Four answers exist for this person and all four fail differently. </w:t>
      </w:r>
      <w:r>
        <w:rPr>
          <w:rFonts w:ascii="Calibri" w:cs="Calibri" w:eastAsia="Calibri" w:hAnsi="Calibri"/>
          <w:b/>
          <w:bCs/>
          <w:color w:val="15324B"/>
          <w:sz w:val="21"/>
          <w:szCs w:val="21"/>
        </w:rPr>
        <w:t xml:space="preserve">The NHS</w:t>
      </w:r>
      <w:r>
        <w:rPr>
          <w:rFonts w:ascii="Calibri" w:cs="Calibri" w:eastAsia="Calibri" w:hAnsi="Calibri"/>
          <w:color w:val="2B3138"/>
          <w:sz w:val="21"/>
          <w:szCs w:val="21"/>
        </w:rPr>
        <w:t xml:space="preserve"> sends them to physiotherapy. Six sessions, a sheet of exercises, discharge. It helps while it lasts, and four months after it stops the pain is back with a waiting list in front of it. </w:t>
      </w:r>
      <w:r>
        <w:rPr>
          <w:rFonts w:ascii="Calibri" w:cs="Calibri" w:eastAsia="Calibri" w:hAnsi="Calibri"/>
          <w:b/>
          <w:bCs/>
          <w:color w:val="15324B"/>
          <w:sz w:val="21"/>
          <w:szCs w:val="21"/>
        </w:rPr>
        <w:t xml:space="preserve">Employer-funded digital programmes</w:t>
      </w:r>
      <w:r>
        <w:rPr>
          <w:rFonts w:ascii="Calibri" w:cs="Calibri" w:eastAsia="Calibri" w:hAnsi="Calibri"/>
          <w:color w:val="2B3138"/>
          <w:sz w:val="21"/>
          <w:szCs w:val="21"/>
        </w:rPr>
        <w:t xml:space="preserve"> such as Hinge Health and Sword Health reach a slice of this audience free through work, which means many of them already believe a digital pain programme is something you are given rather than something you buy. It is app-delivered and asynchronous, and nobody is watching how they move. </w:t>
      </w:r>
      <w:r>
        <w:rPr>
          <w:rFonts w:ascii="Calibri" w:cs="Calibri" w:eastAsia="Calibri" w:hAnsi="Calibri"/>
          <w:b/>
          <w:bCs/>
          <w:color w:val="15324B"/>
          <w:sz w:val="21"/>
          <w:szCs w:val="21"/>
        </w:rPr>
        <w:t xml:space="preserve">Devices and supplements</w:t>
      </w:r>
      <w:r>
        <w:rPr>
          <w:rFonts w:ascii="Calibri" w:cs="Calibri" w:eastAsia="Calibri" w:hAnsi="Calibri"/>
          <w:color w:val="2B3138"/>
          <w:sz w:val="21"/>
          <w:szCs w:val="21"/>
        </w:rPr>
        <w:t xml:space="preserve"> sell them a belt, a massage gun, a collagen powder, and this is where most of the money in the category currently goes. </w:t>
      </w:r>
      <w:r>
        <w:rPr>
          <w:rFonts w:ascii="Calibri" w:cs="Calibri" w:eastAsia="Calibri" w:hAnsi="Calibri"/>
          <w:b/>
          <w:bCs/>
          <w:color w:val="15324B"/>
          <w:sz w:val="21"/>
          <w:szCs w:val="21"/>
        </w:rPr>
        <w:t xml:space="preserve">Generic yoga</w:t>
      </w:r>
      <w:r>
        <w:rPr>
          <w:rFonts w:ascii="Calibri" w:cs="Calibri" w:eastAsia="Calibri" w:hAnsi="Calibri"/>
          <w:color w:val="2B3138"/>
          <w:sz w:val="21"/>
          <w:szCs w:val="21"/>
        </w:rPr>
        <w:t xml:space="preserve">, on YouTube or in a studio class, either does nothing or makes things worse, because a flow class is not sequenced for a lumbar spine that has been compensating for two years, and the wrong asana on an irritated back sets it back rather than forward.</w:t>
      </w:r>
    </w:p>
    <w:p>
      <w:pPr>
        <w:spacing w:after="140" w:line="288"/>
        <w:jc w:val="left"/>
      </w:pPr>
      <w:r>
        <w:rPr>
          <w:rFonts w:ascii="Calibri" w:cs="Calibri" w:eastAsia="Calibri" w:hAnsi="Calibri"/>
          <w:color w:val="2B3138"/>
          <w:sz w:val="21"/>
          <w:szCs w:val="21"/>
        </w:rPr>
        <w:t xml:space="preserve">Underneath all four sits the belief that holds this person in place. They think moving will make it worse, so they rest, and rest is exactly what lets the supporting muscle switch off. Four live days with a teacher who knows how to make the first session feel safe is a credible way to start reversing that.</w:t>
      </w:r>
    </w:p>
    <w:p>
      <w:pPr>
        <w:spacing w:after="140" w:line="288"/>
        <w:jc w:val="left"/>
      </w:pPr>
      <w:r>
        <w:rPr>
          <w:rFonts w:ascii="Calibri" w:cs="Calibri" w:eastAsia="Calibri" w:hAnsi="Calibri"/>
          <w:b/>
          <w:bCs/>
          <w:color w:val="15324B"/>
          <w:sz w:val="21"/>
          <w:szCs w:val="21"/>
        </w:rPr>
        <w:t xml:space="preserve">That is the position for SuperMe, and it is not yoga.</w:t>
      </w:r>
      <w:r>
        <w:rPr>
          <w:rFonts w:ascii="Calibri" w:cs="Calibri" w:eastAsia="Calibri" w:hAnsi="Calibri"/>
          <w:color w:val="2B3138"/>
          <w:sz w:val="21"/>
          <w:szCs w:val="21"/>
        </w:rPr>
        <w:t xml:space="preserve"> It is a live, coach-led, five-day challenge for a specific pain, built on a named method that deliberately does not go at the sore part first. Atul Mishra has sixteen years, a postgraduate diploma from Kaivalyadhama, an E-RYT 500, and the same underlying approach across back, neck and knee: take the load off, wake up the structure that should have been carrying it, and let the painful part stop carrying what it was never meant to.</w:t>
      </w:r>
    </w:p>
    <w:p>
      <w:pPr>
        <w:spacing w:after="140" w:line="288"/>
        <w:jc w:val="left"/>
      </w:pPr>
      <w:r>
        <w:rPr>
          <w:rFonts w:ascii="Calibri" w:cs="Calibri" w:eastAsia="Calibri" w:hAnsi="Calibri"/>
          <w:color w:val="2B3138"/>
          <w:sz w:val="21"/>
          <w:szCs w:val="21"/>
        </w:rPr>
        <w:t xml:space="preserve">The read from the Meta Ad Library is that nobody in the United Kingdom is running this shape. There are fitness challenges and there are yoga challenges. There is no pain-specific, coach-led challenge running into a structured programme. The field is local clinics booking appointments and dropshippers selling objects. The model itself is proven twice over on this agency's Indian health accounts, both profitable on the front end, one of them on these same three pain points. The opening is real and it will not stay open.</w:t>
      </w:r>
    </w:p>
    <w:p>
      <w:pPr>
        <w:pStyle w:val="Heading2"/>
        <w:spacing w:after="130" w:before="300"/>
      </w:pPr>
      <w:r>
        <w:rPr>
          <w:rFonts w:ascii="Georgia" w:cs="Georgia" w:eastAsia="Georgia" w:hAnsi="Georgia"/>
          <w:b/>
          <w:bCs/>
          <w:color w:val="15324B"/>
          <w:sz w:val="25"/>
          <w:szCs w:val="25"/>
        </w:rPr>
        <w:t xml:space="preserve">What we are solving for</w:t>
      </w:r>
    </w:p>
    <w:p>
      <w:pPr>
        <w:spacing w:after="140" w:line="288"/>
        <w:jc w:val="left"/>
      </w:pPr>
      <w:r>
        <w:rPr>
          <w:rFonts w:ascii="Calibri" w:cs="Calibri" w:eastAsia="Calibri" w:hAnsi="Calibri"/>
          <w:color w:val="2B3138"/>
          <w:sz w:val="21"/>
          <w:szCs w:val="21"/>
        </w:rPr>
        <w:t xml:space="preserve">Five challenges, in priority order. Everything downstream flows from these.</w:t>
      </w:r>
    </w:p>
    <w:p>
      <w:pPr>
        <w:spacing w:after="60"/>
      </w:pPr>
      <w:r>
        <w:t xml:space="preserve"/>
      </w:r>
    </w:p>
    <w:tbl>
      <w:tblPr>
        <w:tblW w:type="dxa" w:w="9638"/>
        <w:tblBorders>
          <w:top w:val="single" w:color="D3D8DD" w:sz="4"/>
          <w:left w:val="single" w:color="D3D8DD" w:sz="4"/>
          <w:bottom w:val="single" w:color="D3D8DD" w:sz="4"/>
          <w:right w:val="single" w:color="D3D8DD" w:sz="4"/>
          <w:insideH w:val="single" w:color="D3D8DD" w:sz="4"/>
          <w:insideV w:val="single" w:color="D3D8DD" w:sz="4"/>
        </w:tblBorders>
      </w:tblPr>
      <w:tblGrid>
        <w:gridCol w:w="2100"/>
        <w:gridCol w:w="3600"/>
        <w:gridCol w:w="3938"/>
      </w:tblGrid>
      <w:tr>
        <w:trPr>
          <w:tblHeader/>
        </w:trPr>
        <w:tc>
          <w:tcPr>
            <w:tcW w:type="dxa" w:w="21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Challenge</w:t>
            </w:r>
          </w:p>
        </w:tc>
        <w:tc>
          <w:tcPr>
            <w:tcW w:type="dxa" w:w="36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What it is</w:t>
            </w:r>
          </w:p>
        </w:tc>
        <w:tc>
          <w:tcPr>
            <w:tcW w:type="dxa" w:w="3938"/>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What we are doing about it</w:t>
            </w:r>
          </w:p>
        </w:tc>
      </w:tr>
      <w:tr>
        <w:tc>
          <w:tcPr>
            <w:tcW w:type="dxa" w:w="21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Belief on cold traffic, doubled by the fear of movement</w:t>
            </w:r>
          </w:p>
        </w:tc>
        <w:tc>
          <w:tcPr>
            <w:tcW w:type="dxa" w:w="36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The buyer has to accept two things at once: that yoga can move a structural pain their physiotherapist could not permanently fix, and that moving will not make it worse. Yoga adds a third problem. It does not deliver instant relief. Most people need two to three sessions before they feel a real change. The funnel cannot buy belief on day one. This is the primary constraint on the whole account.</w:t>
            </w:r>
          </w:p>
        </w:tc>
        <w:tc>
          <w:tcPr>
            <w:tcW w:type="dxa" w:w="39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The four live days are built as a belief ladder, not a relief promise. Day one sells safety. Every participant scores their pain out of ten before the first session and scores it again on day four, so the shift they see is their own number rather than our claim. The method is named, so the mechanism becomes something a person can picture rather than "yoga".</w:t>
            </w:r>
          </w:p>
        </w:tc>
      </w:tr>
      <w:tr>
        <w:tc>
          <w:tcPr>
            <w:tcW w:type="dxa" w:w="21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Front-end economics in a market six to nine times more expensive than India</w:t>
            </w:r>
          </w:p>
        </w:tc>
        <w:tc>
          <w:tcPr>
            <w:tcW w:type="dxa" w:w="36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The Indian comparables acquire a paid challenge registrant at roughly £3.50 against a £4.60 ticket, which is genuine front-end profit. UK cost per thousand impressions runs £8 to £18 against an Indian equivalent near £1.20. A price that self-funds in Pune loses money in Manchester.</w:t>
            </w:r>
          </w:p>
        </w:tc>
        <w:tc>
          <w:tcPr>
            <w:tcW w:type="dxa" w:w="39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The ticket is set at £6, which sits in the established UK impulse band, and the target is to recover most of the ad cost on the front end rather than to profit from it. Section 5 works the funnel backwards from published UK benchmarks and sets the ceiling at which the price changes.</w:t>
            </w:r>
          </w:p>
        </w:tc>
      </w:tr>
      <w:tr>
        <w:tc>
          <w:tcPr>
            <w:tcW w:type="dxa" w:w="21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Proof is written, not yet filmed, and not yet British</w:t>
            </w:r>
          </w:p>
        </w:tc>
        <w:tc>
          <w:tcPr>
            <w:tcW w:type="dxa" w:w="36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Six usable case studies now cover all three pains, including two on neck and shoulder that closed the largest gap in the file. What is still missing is video, before-and-after imagery, and any client from this market. Every case comes from Atul's teaching in Asia rather than the UK.</w:t>
            </w:r>
          </w:p>
        </w:tc>
        <w:tc>
          <w:tcPr>
            <w:tcW w:type="dxa" w:w="39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Video testimonials are in production alongside the website build, and they are the single biggest available lift on the landing page. Cycle one then becomes the proof engine for cycle two: consent at registration and pain scores at day one and day four, which manufactures British, time-stamped proof within two weeks of the first cohort.</w:t>
            </w:r>
          </w:p>
        </w:tc>
      </w:tr>
      <w:tr>
        <w:tc>
          <w:tcPr>
            <w:tcW w:type="dxa" w:w="21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No named mechanism</w:t>
            </w:r>
          </w:p>
        </w:tc>
        <w:tc>
          <w:tcPr>
            <w:tcW w:type="dxa" w:w="36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Until now this has been "yoga for back pain", which puts SuperMe into a fight with Yoga-Go and Better Me and their budgets. Atul's approach is genuinely distinct and was previously written down only as a list of asanas.</w:t>
            </w:r>
          </w:p>
        </w:tc>
        <w:tc>
          <w:tcPr>
            <w:tcW w:type="dxa" w:w="39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The Inner Brace Method</w:t>
            </w:r>
            <w:r>
              <w:rPr>
                <w:rFonts w:ascii="Calibri" w:cs="Calibri" w:eastAsia="Calibri" w:hAnsi="Calibri"/>
                <w:color w:val="2B3138"/>
                <w:sz w:val="19"/>
                <w:szCs w:val="19"/>
              </w:rPr>
              <w:t xml:space="preserve">, with three phases: Unload, Brace, Move. Built directly from what Atul actually does, and from his own explanation of why a guarding back does not respond to stretching. Section 3 sets it out in full.</w:t>
            </w:r>
          </w:p>
        </w:tc>
      </w:tr>
      <w:tr>
        <w:tc>
          <w:tcPr>
            <w:tcW w:type="dxa" w:w="21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Advertising standards that do not exist in the Indian market</w:t>
            </w:r>
          </w:p>
        </w:tc>
        <w:tc>
          <w:tcPr>
            <w:tcW w:type="dxa" w:w="36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UK health-adjacent advertising sits inside a statutory framework with active enforcement. Several conventions that work well in lower-regulation markets create exposure here rather than being a question of taste. "Pain-free", for one, is not available to us as an ad claim.</w:t>
            </w:r>
          </w:p>
        </w:tc>
        <w:tc>
          <w:tcPr>
            <w:tcW w:type="dxa" w:w="39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Appendix A sets the working line: which claims run, which verbs are available, and which conventional direct-response devices are deliberately not used. It is built into the first ad rather than corrected after the first ruling.</w:t>
            </w:r>
          </w:p>
        </w:tc>
      </w:tr>
    </w:tbl>
    <w:p>
      <w:pPr>
        <w:pStyle w:val="Heading2"/>
        <w:spacing w:after="130" w:before="300"/>
      </w:pPr>
      <w:r>
        <w:rPr>
          <w:rFonts w:ascii="Georgia" w:cs="Georgia" w:eastAsia="Georgia" w:hAnsi="Georgia"/>
          <w:b/>
          <w:bCs/>
          <w:color w:val="15324B"/>
          <w:sz w:val="25"/>
          <w:szCs w:val="25"/>
        </w:rPr>
        <w:t xml:space="preserve">Why this works</w:t>
      </w:r>
    </w:p>
    <w:p>
      <w:pPr>
        <w:spacing w:after="140" w:line="288"/>
        <w:jc w:val="left"/>
      </w:pPr>
      <w:r>
        <w:rPr>
          <w:rFonts w:ascii="Calibri" w:cs="Calibri" w:eastAsia="Calibri" w:hAnsi="Calibri"/>
          <w:color w:val="2B3138"/>
          <w:sz w:val="21"/>
          <w:szCs w:val="21"/>
        </w:rPr>
        <w:t xml:space="preserve">The model is proven and the mechanism is real. Two health and rehabilitation accounts on this agency's Indian roster run this exact five-day shape, both profitable on the front end, and one of them targets the same three pain points SuperMe is targeting. What changes here is geography and modality, into a market that is deeper, more direct-response literate, and currently unserved on this funnel.</w:t>
      </w:r>
    </w:p>
    <w:p>
      <w:pPr>
        <w:spacing w:after="140" w:line="288"/>
        <w:jc w:val="left"/>
      </w:pPr>
      <w:r>
        <w:rPr>
          <w:rFonts w:ascii="Calibri" w:cs="Calibri" w:eastAsia="Calibri" w:hAnsi="Calibri"/>
          <w:color w:val="2B3138"/>
          <w:sz w:val="21"/>
          <w:szCs w:val="21"/>
        </w:rPr>
        <w:t xml:space="preserve">The coach is not a generalist. Sixteen years of practice and teaching, a postgraduate diploma in Yoga Education from Kaivalyadhama in Lonavala, E-RYT 500 with Yoga Alliance, more than twenty teacher training programmes and workshops across five countries, over a thousand students taught and five hundred trained to teach. Where the competing product is an application with no human in it, a named teacher on a live call is the differentiator rather than a nice-to-have.</w:t>
      </w:r>
    </w:p>
    <w:p>
      <w:pPr>
        <w:spacing w:after="140" w:line="288"/>
        <w:jc w:val="left"/>
      </w:pPr>
      <w:r>
        <w:rPr>
          <w:rFonts w:ascii="Calibri" w:cs="Calibri" w:eastAsia="Calibri" w:hAnsi="Calibri"/>
          <w:color w:val="2B3138"/>
          <w:sz w:val="21"/>
          <w:szCs w:val="21"/>
        </w:rPr>
        <w:t xml:space="preserve">And what is actually being sold is not a course. It is a toolkit. A painkiller stops the signal reaching the brain and changes nothing underneath it. Six physiotherapy sessions end. What this person is buying is the ability to manage their own body for the rest of their life, which is why the programme runs for six months rather than six weeks, and why the day five pitch is framed as a continuation rather than a new sale.</w:t>
      </w:r>
    </w:p>
    <w:p>
      <w:pPr>
        <w:spacing w:after="140" w:line="288"/>
        <w:jc w:val="left"/>
      </w:pPr>
      <w:r>
        <w:rPr>
          <w:rFonts w:ascii="Calibri" w:cs="Calibri" w:eastAsia="Calibri" w:hAnsi="Calibri"/>
          <w:color w:val="2B3138"/>
          <w:sz w:val="21"/>
          <w:szCs w:val="21"/>
        </w:rPr>
        <w:t xml:space="preserve">Build it in sequence. Name the method so the ads have something to point at. Productise the back case so cold belief has an anchor. Run four live days as a belief ladder with a measured pain score. Close on day five into a deposit rather than a full payment, and finish the sale on a prescription call where the right route can actually be recommended. Then use cycle one's participants to manufacture the British proof that makes cycle two cheaper.</w:t>
      </w:r>
    </w:p>
    <w:p>
      <w:pPr>
        <w:pStyle w:val="Heading2"/>
        <w:spacing w:after="130" w:before="300"/>
      </w:pPr>
      <w:r>
        <w:rPr>
          <w:rFonts w:ascii="Georgia" w:cs="Georgia" w:eastAsia="Georgia" w:hAnsi="Georgia"/>
          <w:b/>
          <w:bCs/>
          <w:color w:val="15324B"/>
          <w:sz w:val="25"/>
          <w:szCs w:val="25"/>
        </w:rPr>
        <w:t xml:space="preserve">How the pieces tie together</w:t>
      </w:r>
    </w:p>
    <w:p>
      <w:pPr>
        <w:spacing w:after="60"/>
      </w:pPr>
      <w:r>
        <w:t xml:space="preserve"/>
      </w:r>
    </w:p>
    <w:tbl>
      <w:tblPr>
        <w:tblW w:type="dxa" w:w="9638"/>
        <w:tblBorders>
          <w:top w:val="single" w:color="D3D8DD" w:sz="4"/>
          <w:left w:val="single" w:color="D3D8DD" w:sz="4"/>
          <w:bottom w:val="single" w:color="D3D8DD" w:sz="4"/>
          <w:right w:val="single" w:color="D3D8DD" w:sz="4"/>
          <w:insideH w:val="single" w:color="D3D8DD" w:sz="4"/>
          <w:insideV w:val="single" w:color="D3D8DD" w:sz="4"/>
        </w:tblBorders>
      </w:tblPr>
      <w:tblGrid>
        <w:gridCol w:w="2900"/>
        <w:gridCol w:w="6738"/>
      </w:tblGrid>
      <w:tr>
        <w:trPr>
          <w:tblHeader/>
        </w:trPr>
        <w:tc>
          <w:tcPr>
            <w:tcW w:type="dxa" w:w="29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Layer</w:t>
            </w:r>
          </w:p>
        </w:tc>
        <w:tc>
          <w:tcPr>
            <w:tcW w:type="dxa" w:w="6738"/>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What it does</w:t>
            </w:r>
          </w:p>
        </w:tc>
      </w:tr>
      <w:tr>
        <w:tc>
          <w:tcPr>
            <w:tcW w:type="dxa" w:w="29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Paid ads (Meta, United Kingdom, English)</w:t>
            </w:r>
          </w:p>
        </w:tc>
        <w:tc>
          <w:tcPr>
            <w:tcW w:type="dxa" w:w="67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The only acquisition channel in the pilot. Leads with the pain and the moment, told as a proof story about a named past client, never as a diagnosis pointed at the viewer. Two campaigns run in parallel, one broad and one weighted to higher-income areas, so the account learns quickly and the media buyer can read which audiences respond.</w:t>
            </w:r>
          </w:p>
        </w:tc>
      </w:tr>
      <w:tr>
        <w:tc>
          <w:tcPr>
            <w:tcW w:type="dxa" w:w="29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The landing page and the £6 ticket</w:t>
            </w:r>
          </w:p>
        </w:tc>
        <w:tc>
          <w:tcPr>
            <w:tcW w:type="dxa" w:w="67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The intent filter. Hundreds of people click. The ticket separates the ones who mean it. Its only job is to sell the five days, never the programme. It is honest about pace and it carries the day-one money-back promise openly on the page.</w:t>
            </w:r>
          </w:p>
        </w:tc>
      </w:tr>
      <w:tr>
        <w:tc>
          <w:tcPr>
            <w:tcW w:type="dxa" w:w="29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WhatsApp and email nurture</w:t>
            </w:r>
          </w:p>
        </w:tc>
        <w:tc>
          <w:tcPr>
            <w:tcW w:type="dxa" w:w="67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Automated reminders before each session through the AiSensy flow, with email running in parallel. The registration questions also hand the SuperMe team a list of who has been in pain longest, so the highest-intent registrants get a human call before day one.</w:t>
            </w:r>
          </w:p>
        </w:tc>
      </w:tr>
      <w:tr>
        <w:tc>
          <w:tcPr>
            <w:tcW w:type="dxa" w:w="29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The four live days</w:t>
            </w:r>
          </w:p>
        </w:tc>
        <w:tc>
          <w:tcPr>
            <w:tcW w:type="dxa" w:w="67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Where belief gets built. Day one takes the load off and proves that movement is safe. Days two and three wake the deep stabilisers and produce the first real shift. Day four moves and re-scores. Every session serves a back, a neck or a knee in the same room through level and prop variations.</w:t>
            </w:r>
          </w:p>
        </w:tc>
      </w:tr>
      <w:tr>
        <w:tc>
          <w:tcPr>
            <w:tcW w:type="dxa" w:w="29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Day five, the pitch</w:t>
            </w:r>
          </w:p>
        </w:tc>
        <w:tc>
          <w:tcPr>
            <w:tcW w:type="dxa" w:w="67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One programme, six months, one decision. Framed as the continuation of a journey that started on Monday rather than as a new purchase. It closes into a refundable deposit, not a credit card taken under live pressure.</w:t>
            </w:r>
          </w:p>
        </w:tc>
      </w:tr>
      <w:tr>
        <w:tc>
          <w:tcPr>
            <w:tcW w:type="dxa" w:w="29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The prescription call</w:t>
            </w:r>
          </w:p>
        </w:tc>
        <w:tc>
          <w:tcPr>
            <w:tcW w:type="dxa" w:w="67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One to one within seventy-two hours with a SuperMe coach Atul nominates, working to a TGO framework. Assesses the individual, recommends the right route, settles the balance, and is the only place a one-to-one or a shorter track is ever discussed.</w:t>
            </w:r>
          </w:p>
        </w:tc>
      </w:tr>
      <w:tr>
        <w:tc>
          <w:tcPr>
            <w:tcW w:type="dxa" w:w="29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The backend programme</w:t>
            </w:r>
          </w:p>
        </w:tc>
        <w:tc>
          <w:tcPr>
            <w:tcW w:type="dxa" w:w="67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The money. Live group sessions with Atul and his team, twice daily so people can pick a time that fits, running over six months. This is where the toolkit actually gets transferred.</w:t>
            </w:r>
          </w:p>
        </w:tc>
      </w:tr>
      <w:tr>
        <w:tc>
          <w:tcPr>
            <w:tcW w:type="dxa" w:w="29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Referral and continuity</w:t>
            </w:r>
          </w:p>
        </w:tc>
        <w:tc>
          <w:tcPr>
            <w:tcW w:type="dxa" w:w="67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Every participant is a proof asset and a potential source of the next one. Consent at registration, scores at day one and day four, testimonials at week three, week eight and week twelve, built into the programme rather than chased afterwards. A SuperMe Ambassador referral programme runs alongside it.</w:t>
            </w:r>
          </w:p>
        </w:tc>
      </w:tr>
    </w:tbl>
    <w:p>
      <w:pPr>
        <w:pageBreakBefore/>
        <w:spacing w:after="20" w:before="0"/>
      </w:pPr>
      <w:r>
        <w:rPr>
          <w:rFonts w:ascii="Georgia" w:cs="Georgia" w:eastAsia="Georgia" w:hAnsi="Georgia"/>
          <w:b/>
          <w:bCs/>
          <w:color w:val="A8703C"/>
          <w:sz w:val="44"/>
          <w:szCs w:val="44"/>
        </w:rPr>
        <w:t xml:space="preserve">2.</w:t>
      </w:r>
    </w:p>
    <w:p>
      <w:pPr>
        <w:pStyle w:val="Heading1"/>
        <w:pBdr>
          <w:bottom w:val="single" w:color="A8703C" w:sz="10" w:space="10"/>
        </w:pBdr>
        <w:spacing w:after="200"/>
      </w:pPr>
      <w:r>
        <w:rPr>
          <w:rFonts w:ascii="Georgia" w:cs="Georgia" w:eastAsia="Georgia" w:hAnsi="Georgia"/>
          <w:b/>
          <w:bCs/>
          <w:color w:val="15324B"/>
          <w:sz w:val="34"/>
          <w:szCs w:val="34"/>
        </w:rPr>
        <w:t xml:space="preserve">WHO WE'RE TALKING TO</w:t>
      </w:r>
    </w:p>
    <w:p>
      <w:pPr>
        <w:spacing w:after="140" w:line="288"/>
        <w:jc w:val="left"/>
      </w:pPr>
      <w:r>
        <w:rPr>
          <w:rFonts w:ascii="Calibri" w:cs="Calibri" w:eastAsia="Calibri" w:hAnsi="Calibri"/>
          <w:color w:val="2B3138"/>
          <w:sz w:val="21"/>
          <w:szCs w:val="21"/>
        </w:rPr>
        <w:t xml:space="preserve">Every ad, every landing page line and every word Atul says on day one is written for one person. Before any asset ships the question is simple: would this person recognise themselves in it, or does it sound like it was written about them by someone who has never had the problem. If it is the second, it does not go out.</w:t>
      </w:r>
    </w:p>
    <w:p>
      <w:pPr>
        <w:pStyle w:val="Heading2"/>
        <w:spacing w:after="130" w:before="300"/>
      </w:pPr>
      <w:r>
        <w:rPr>
          <w:rFonts w:ascii="Georgia" w:cs="Georgia" w:eastAsia="Georgia" w:hAnsi="Georgia"/>
          <w:b/>
          <w:bCs/>
          <w:color w:val="15324B"/>
          <w:sz w:val="25"/>
          <w:szCs w:val="25"/>
        </w:rPr>
        <w:t xml:space="preserve">The Careful Mover</w:t>
      </w:r>
    </w:p>
    <w:p>
      <w:pPr>
        <w:spacing w:after="200"/>
      </w:pPr>
      <w:r>
        <w:rPr>
          <w:rFonts w:ascii="Calibri" w:cs="Calibri" w:eastAsia="Calibri" w:hAnsi="Calibri"/>
          <w:i/>
          <w:iCs/>
          <w:color w:val="5A6673"/>
          <w:sz w:val="20"/>
          <w:szCs w:val="20"/>
        </w:rPr>
        <w:t xml:space="preserve">(Internal working label. The person who has quietly started editing how they move through their own day.)</w:t>
      </w:r>
    </w:p>
    <w:tbl>
      <w:tblPr>
        <w:tblW w:type="dxa" w:w="9638"/>
        <w:tblBorders>
          <w:top w:val="single" w:color="D3D8DD" w:sz="4"/>
          <w:left w:val="single" w:color="D3D8DD" w:sz="4"/>
          <w:bottom w:val="single" w:color="D3D8DD" w:sz="4"/>
          <w:right w:val="single" w:color="D3D8DD" w:sz="4"/>
          <w:insideH w:val="single" w:color="D3D8DD" w:sz="4"/>
          <w:insideV w:val="single" w:color="D3D8DD" w:sz="4"/>
        </w:tblBorders>
      </w:tblPr>
      <w:tblGrid>
        <w:gridCol w:w="2400"/>
        <w:gridCol w:w="7238"/>
      </w:tblGrid>
      <w:tr>
        <w:trPr>
          <w:tblHeader/>
        </w:trPr>
        <w:tc>
          <w:tcPr>
            <w:tcW w:type="dxa" w:w="24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Who they are</w:t>
            </w:r>
          </w:p>
        </w:tc>
        <w:tc>
          <w:tcPr>
            <w:tcW w:type="dxa" w:w="7238"/>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Detail</w:t>
            </w:r>
          </w:p>
        </w:tc>
      </w:tr>
      <w:tr>
        <w:tc>
          <w:tcPr>
            <w:tcW w:type="dxa" w:w="24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Age</w:t>
            </w:r>
          </w:p>
        </w:tc>
        <w:tc>
          <w:tcPr>
            <w:tcW w:type="dxa" w:w="72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35 to 60, with the centre of gravity between 42 and 55. Old enough that the pain has become a pattern rather than a single incident. Young enough that they have not accepted it as permanent.</w:t>
            </w:r>
          </w:p>
        </w:tc>
      </w:tr>
      <w:tr>
        <w:tc>
          <w:tcPr>
            <w:tcW w:type="dxa" w:w="24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Gender</w:t>
            </w:r>
          </w:p>
        </w:tc>
        <w:tc>
          <w:tcPr>
            <w:tcW w:type="dxa" w:w="72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Targeted evenly, with a likely female skew in response. Chronic pain prevalence runs somewhat higher in women across UK surveys and the yoga category itself is over seventy per cent female. Back pain being gender-neutral is an advantage over a women-only niche and widens the addressable audience. We run broad on gender and read the real ratio from cycle one.</w:t>
            </w:r>
          </w:p>
        </w:tc>
      </w:tr>
      <w:tr>
        <w:tc>
          <w:tcPr>
            <w:tcW w:type="dxa" w:w="24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Income and work</w:t>
            </w:r>
          </w:p>
        </w:tc>
        <w:tc>
          <w:tcPr>
            <w:tcW w:type="dxa" w:w="72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Comfortable to high. Desk-based, hybrid or fully remote. Professionals, managers, consultants, engineers, finance and public sector seniors. Long seated hours, and a home office that was improvised in 2020 and never properly fixed.</w:t>
            </w:r>
          </w:p>
        </w:tc>
      </w:tr>
      <w:tr>
        <w:tc>
          <w:tcPr>
            <w:tcW w:type="dxa" w:w="24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Location</w:t>
            </w:r>
          </w:p>
        </w:tc>
        <w:tc>
          <w:tcPr>
            <w:tcW w:type="dxa" w:w="72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National. The first campaign runs broad. The parallel campaign is weighted towards higher-income postcodes, with London and the South East carrying the largest concentration and Manchester, Birmingham, Leeds, Bristol and Edinburgh and their commuter belts close behind.</w:t>
            </w:r>
          </w:p>
        </w:tc>
      </w:tr>
      <w:tr>
        <w:tc>
          <w:tcPr>
            <w:tcW w:type="dxa" w:w="24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The trigger moment</w:t>
            </w:r>
          </w:p>
        </w:tc>
        <w:tc>
          <w:tcPr>
            <w:tcW w:type="dxa" w:w="72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Rarely a dramatic injury. Usually something small that reframes the pain as a problem. Reached for something on a top shelf and felt it lock. Got out of the car at a service station and could not straighten up for ten seconds. Could not turn far enough to reverse off the drive. Stood at the back of the room for the second half of a two-hour meeting. Could not get down on the floor with a grandchild.</w:t>
            </w:r>
          </w:p>
        </w:tc>
      </w:tr>
      <w:tr>
        <w:tc>
          <w:tcPr>
            <w:tcW w:type="dxa" w:w="24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What they have already tried</w:t>
            </w:r>
          </w:p>
        </w:tc>
        <w:tc>
          <w:tcPr>
            <w:tcW w:type="dxa" w:w="72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Physiotherapy, usually a course of six that helped while it lasted. Painkillers, more often than they would admit. A standing desk. An expensive chair. A massage gun. An osteopath or a chiropractor. A YouTube stretch routine that lasted eleven days.</w:t>
            </w:r>
          </w:p>
        </w:tc>
      </w:tr>
      <w:tr>
        <w:tc>
          <w:tcPr>
            <w:tcW w:type="dxa" w:w="24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The physical experience</w:t>
            </w:r>
          </w:p>
        </w:tc>
        <w:tc>
          <w:tcPr>
            <w:tcW w:type="dxa" w:w="72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Morning stiffness that takes thirty to sixty minutes to clear. Worst at the end of the working day and again at eleven at night. Sleep broken two or three times by position. One specific movement now avoided entirely. In the neck cases, headaches at the base of the skull and a shoulder that will not settle. In the knee cases, stairs, and getting up off the floor.</w:t>
            </w:r>
          </w:p>
        </w:tc>
      </w:tr>
      <w:tr>
        <w:tc>
          <w:tcPr>
            <w:tcW w:type="dxa" w:w="24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What they look like from outside</w:t>
            </w:r>
          </w:p>
        </w:tc>
        <w:tc>
          <w:tcPr>
            <w:tcW w:type="dxa" w:w="72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Fine. Working, managing, showing up. Nobody at work knows. They have never taken a sick day for it.</w:t>
            </w:r>
          </w:p>
        </w:tc>
      </w:tr>
      <w:tr>
        <w:tc>
          <w:tcPr>
            <w:tcW w:type="dxa" w:w="24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What they feel like from inside</w:t>
            </w:r>
          </w:p>
        </w:tc>
        <w:tc>
          <w:tcPr>
            <w:tcW w:type="dxa" w:w="72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Older than they are. Frustrated that a body which worked for forty years has started negotiating. Quietly worried that this is the beginning of a permanent decline rather than a phase. Sceptical, because they have paid for things that did not hold. And a little afraid of movement, which is the belief keeping them exactly where they are.</w:t>
            </w:r>
          </w:p>
        </w:tc>
      </w:tr>
    </w:tbl>
    <w:p>
      <w:pPr>
        <w:pStyle w:val="Heading2"/>
        <w:spacing w:after="130" w:before="300"/>
      </w:pPr>
      <w:r>
        <w:rPr>
          <w:rFonts w:ascii="Georgia" w:cs="Georgia" w:eastAsia="Georgia" w:hAnsi="Georgia"/>
          <w:b/>
          <w:bCs/>
          <w:color w:val="15324B"/>
          <w:sz w:val="25"/>
          <w:szCs w:val="25"/>
        </w:rPr>
        <w:t xml:space="preserve">The three sub-populations</w:t>
      </w:r>
    </w:p>
    <w:p>
      <w:pPr>
        <w:spacing w:after="140" w:line="288"/>
        <w:jc w:val="left"/>
      </w:pPr>
      <w:r>
        <w:rPr>
          <w:rFonts w:ascii="Calibri" w:cs="Calibri" w:eastAsia="Calibri" w:hAnsi="Calibri"/>
          <w:color w:val="2B3138"/>
          <w:sz w:val="21"/>
          <w:szCs w:val="21"/>
        </w:rPr>
        <w:t xml:space="preserve">One buyer, one campaign, one offer. All three pains are served in the same room. What differs is how large each segment is, how quickly it responds, and therefore how much advertising weight it carries.</w:t>
      </w:r>
    </w:p>
    <w:p>
      <w:pPr>
        <w:pStyle w:val="Heading3"/>
        <w:spacing w:after="90" w:before="220"/>
      </w:pPr>
      <w:r>
        <w:rPr>
          <w:rFonts w:ascii="Calibri" w:cs="Calibri" w:eastAsia="Calibri" w:hAnsi="Calibri"/>
          <w:b/>
          <w:bCs/>
          <w:color w:val="A8703C"/>
          <w:sz w:val="22"/>
          <w:szCs w:val="22"/>
        </w:rPr>
        <w:t xml:space="preserve">Back.  Roughly 55 to 60 per cent of the pool.  Primary ad weight.</w:t>
      </w:r>
    </w:p>
    <w:p>
      <w:pPr>
        <w:spacing w:after="140" w:line="288"/>
        <w:jc w:val="left"/>
      </w:pPr>
      <w:r>
        <w:rPr>
          <w:rFonts w:ascii="Calibri" w:cs="Calibri" w:eastAsia="Calibri" w:hAnsi="Calibri"/>
          <w:color w:val="2B3138"/>
          <w:sz w:val="21"/>
          <w:szCs w:val="21"/>
        </w:rPr>
        <w:t xml:space="preserve">The largest segment, the most searched, and the fastest to shift. It also carries the strongest proof in the file. Emotional state is frustration with an undertone of fear, usually anchored to one episode where they could not stand up straight, and that memory does a great deal of work. They are the most likely to accept a structural explanation, because a physiotherapist has already given them one. The majority of ad spend and the primary angles sit here.</w:t>
      </w:r>
    </w:p>
    <w:p>
      <w:pPr>
        <w:pStyle w:val="Heading3"/>
        <w:spacing w:after="90" w:before="220"/>
      </w:pPr>
      <w:r>
        <w:rPr>
          <w:rFonts w:ascii="Calibri" w:cs="Calibri" w:eastAsia="Calibri" w:hAnsi="Calibri"/>
          <w:b/>
          <w:bCs/>
          <w:color w:val="A8703C"/>
          <w:sz w:val="22"/>
          <w:szCs w:val="22"/>
        </w:rPr>
        <w:t xml:space="preserve">Neck and upper back.  Roughly 25 per cent.  Strong secondary weight, with its own ad angle.</w:t>
      </w:r>
    </w:p>
    <w:p>
      <w:pPr>
        <w:spacing w:after="140" w:line="288"/>
        <w:jc w:val="left"/>
      </w:pPr>
      <w:r>
        <w:rPr>
          <w:rFonts w:ascii="Calibri" w:cs="Calibri" w:eastAsia="Calibri" w:hAnsi="Calibri"/>
          <w:color w:val="2B3138"/>
          <w:sz w:val="21"/>
          <w:szCs w:val="21"/>
        </w:rPr>
        <w:t xml:space="preserve">The desk and screen segment, and increasingly the phone segment. Holding a phone low and looking down puts far more load through the neck than reading at eye level, and it compounds daily over years. Emotional state is tension and depletion rather than fear.</w:t>
      </w:r>
    </w:p>
    <w:p>
      <w:pPr>
        <w:spacing w:after="140" w:line="288"/>
        <w:jc w:val="left"/>
      </w:pPr>
      <w:r>
        <w:rPr>
          <w:rFonts w:ascii="Calibri" w:cs="Calibri" w:eastAsia="Calibri" w:hAnsi="Calibri"/>
          <w:b/>
          <w:bCs/>
          <w:color w:val="15324B"/>
          <w:sz w:val="21"/>
          <w:szCs w:val="21"/>
        </w:rPr>
        <w:t xml:space="preserve">The critical thing about this segment is what they actually complain about, which is not their neck.</w:t>
      </w:r>
      <w:r>
        <w:rPr>
          <w:rFonts w:ascii="Calibri" w:cs="Calibri" w:eastAsia="Calibri" w:hAnsi="Calibri"/>
          <w:color w:val="2B3138"/>
          <w:sz w:val="21"/>
          <w:szCs w:val="21"/>
        </w:rPr>
        <w:t xml:space="preserve"> It is the headaches. It is the shoulder that will not settle. It is being wiped out by four in the afternoon. Copy written about neck pain will underperform copy written about the headache that starts at the base of the skull, and the proof now supports the second version: a corporate professional with chronic neck stiffness and tight shoulders reported reduced headaches and restored range at three weeks, across eight sessions. That is comparable to the back timeline and considerably faster than knee, and it is the reason this segment now carries a dedicated ad angle rather than a supporting mention.</w:t>
      </w:r>
    </w:p>
    <w:p>
      <w:pPr>
        <w:pStyle w:val="Heading3"/>
        <w:spacing w:after="90" w:before="220"/>
      </w:pPr>
      <w:r>
        <w:rPr>
          <w:rFonts w:ascii="Calibri" w:cs="Calibri" w:eastAsia="Calibri" w:hAnsi="Calibri"/>
          <w:b/>
          <w:bCs/>
          <w:color w:val="A8703C"/>
          <w:sz w:val="22"/>
          <w:szCs w:val="22"/>
        </w:rPr>
        <w:t xml:space="preserve">Knee.  Roughly 15 to 20 per cent.  Supporting ad weight, with a specific honesty requirement.</w:t>
      </w:r>
    </w:p>
    <w:p>
      <w:pPr>
        <w:spacing w:after="140" w:line="288"/>
        <w:jc w:val="left"/>
      </w:pPr>
      <w:r>
        <w:rPr>
          <w:rFonts w:ascii="Calibri" w:cs="Calibri" w:eastAsia="Calibri" w:hAnsi="Calibri"/>
          <w:color w:val="2B3138"/>
          <w:sz w:val="21"/>
          <w:szCs w:val="21"/>
        </w:rPr>
        <w:t xml:space="preserve">Smaller, and the one segment where the promise has to be split, because there are two different knees behind the same complaint.</w:t>
      </w:r>
    </w:p>
    <w:p>
      <w:pPr>
        <w:spacing w:after="40"/>
      </w:pPr>
      <w:r>
        <w:t xml:space="preserve"/>
      </w:r>
    </w:p>
    <w:p>
      <w:pPr>
        <w:pStyle w:val="ListParagraph"/>
        <w:numPr>
          <w:ilvl w:val="0"/>
          <w:numId w:val="1"/>
        </w:numPr>
        <w:spacing w:after="70" w:line="276"/>
      </w:pPr>
      <w:r>
        <w:rPr>
          <w:rFonts w:ascii="Calibri" w:cs="Calibri" w:eastAsia="Calibri" w:hAnsi="Calibri"/>
          <w:b/>
          <w:bCs/>
          <w:color w:val="15324B"/>
          <w:sz w:val="21"/>
          <w:szCs w:val="21"/>
        </w:rPr>
        <w:t xml:space="preserve">Load-related knee pain.</w:t>
      </w:r>
      <w:r>
        <w:rPr>
          <w:rFonts w:ascii="Calibri" w:cs="Calibri" w:eastAsia="Calibri" w:hAnsi="Calibri"/>
          <w:color w:val="2B3138"/>
          <w:sz w:val="21"/>
          <w:szCs w:val="21"/>
        </w:rPr>
        <w:t xml:space="preserve"> Upper-body weight driven through the joint on stairs and on foot, day after day. This responds well. Reducing the load and strengthening the thighs and calves takes the pressure off the joint, and the pain genuinely resolves.</w:t>
      </w:r>
    </w:p>
    <w:p>
      <w:pPr>
        <w:pStyle w:val="ListParagraph"/>
        <w:numPr>
          <w:ilvl w:val="0"/>
          <w:numId w:val="1"/>
        </w:numPr>
        <w:spacing w:after="70" w:line="276"/>
      </w:pPr>
      <w:r>
        <w:rPr>
          <w:rFonts w:ascii="Calibri" w:cs="Calibri" w:eastAsia="Calibri" w:hAnsi="Calibri"/>
          <w:b/>
          <w:bCs/>
          <w:color w:val="15324B"/>
          <w:sz w:val="21"/>
          <w:szCs w:val="21"/>
        </w:rPr>
        <w:t xml:space="preserve">Arthritic knee pain.</w:t>
      </w:r>
      <w:r>
        <w:rPr>
          <w:rFonts w:ascii="Calibri" w:cs="Calibri" w:eastAsia="Calibri" w:hAnsi="Calibri"/>
          <w:color w:val="2B3138"/>
          <w:sz w:val="21"/>
          <w:szCs w:val="21"/>
        </w:rPr>
        <w:t xml:space="preserve"> This does not resolve, and we never suggest it does. What regular practice delivers is control of the day to day. Someone practising consistently stops noticing it in ordinary life and only feels it after overexertion. That is a real and valuable outcome, and stating the limit plainly is what makes the rest of the claim believable.</w:t>
      </w:r>
    </w:p>
    <w:p>
      <w:pPr>
        <w:spacing w:after="60"/>
      </w:pPr>
      <w:r>
        <w:t xml:space="preserve"/>
      </w:r>
    </w:p>
    <w:p>
      <w:pPr>
        <w:spacing w:after="140" w:line="288"/>
        <w:jc w:val="left"/>
      </w:pPr>
      <w:r>
        <w:rPr>
          <w:rFonts w:ascii="Calibri" w:cs="Calibri" w:eastAsia="Calibri" w:hAnsi="Calibri"/>
          <w:color w:val="2B3138"/>
          <w:sz w:val="21"/>
          <w:szCs w:val="21"/>
        </w:rPr>
        <w:t xml:space="preserve">This distinction is a conversion asset, not a caveat. In a category where everything else promises a cure, a coach who tells someone honestly which of the two they have, live on a call, is doing something no advertisement in this market currently does.</w:t>
      </w:r>
    </w:p>
    <w:p>
      <w:pPr>
        <w:pStyle w:val="Heading2"/>
        <w:spacing w:after="130" w:before="300"/>
      </w:pPr>
      <w:r>
        <w:rPr>
          <w:rFonts w:ascii="Georgia" w:cs="Georgia" w:eastAsia="Georgia" w:hAnsi="Georgia"/>
          <w:b/>
          <w:bCs/>
          <w:color w:val="15324B"/>
          <w:sz w:val="25"/>
          <w:szCs w:val="25"/>
        </w:rPr>
        <w:t xml:space="preserve">Their words</w:t>
      </w:r>
    </w:p>
    <w:p>
      <w:pPr>
        <w:spacing w:after="140" w:line="288"/>
        <w:jc w:val="left"/>
      </w:pPr>
      <w:r>
        <w:rPr>
          <w:rFonts w:ascii="Calibri" w:cs="Calibri" w:eastAsia="Calibri" w:hAnsi="Calibri"/>
          <w:color w:val="2B3138"/>
          <w:sz w:val="21"/>
          <w:szCs w:val="21"/>
        </w:rPr>
        <w:t xml:space="preserve">Drawn from the coach's case notes and from how the case subjects describe their own starting point. From cycle one this block gets rewritten with real British language, because the registration form asks one open question and nothing else does this job as well: </w:t>
      </w:r>
      <w:r>
        <w:rPr>
          <w:rFonts w:ascii="Calibri" w:cs="Calibri" w:eastAsia="Calibri" w:hAnsi="Calibri"/>
          <w:i/>
          <w:iCs/>
          <w:color w:val="2B3138"/>
          <w:sz w:val="21"/>
          <w:szCs w:val="21"/>
        </w:rPr>
        <w:t xml:space="preserve">"In your own words, what has your back, neck or knee stopped you doing?"</w:t>
      </w:r>
    </w:p>
    <w:p>
      <w:pPr>
        <w:spacing w:after="60"/>
      </w:pPr>
      <w: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15324B" w:sz="24"/>
              <w:bottom w:val="none" w:color="FFFFFF" w:sz="0"/>
              <w:right w:val="none" w:color="FFFFFF" w:sz="0"/>
            </w:tcBorders>
            <w:shd w:fill="F2F4F6" w:color="auto" w:val="clear"/>
            <w:tcMar>
              <w:top w:type="dxa" w:w="200"/>
              <w:left w:type="dxa" w:w="260"/>
              <w:bottom w:type="dxa" w:w="200"/>
              <w:right w:type="dxa" w:w="260"/>
            </w:tcMar>
          </w:tcPr>
          <w:p>
            <w:pPr>
              <w:spacing w:after="90" w:before="40"/>
            </w:pPr>
            <w:r>
              <w:rPr>
                <w:rFonts w:ascii="Calibri" w:cs="Calibri" w:eastAsia="Calibri" w:hAnsi="Calibri"/>
                <w:b/>
                <w:bCs/>
                <w:caps/>
                <w:color w:val="15324B"/>
                <w:sz w:val="19"/>
                <w:szCs w:val="19"/>
              </w:rPr>
              <w:t xml:space="preserve">Voice of customer</w:t>
            </w:r>
          </w:p>
          <w:p>
            <w:pPr>
              <w:spacing w:after="110" w:line="288"/>
            </w:pPr>
            <w:r>
              <w:rPr>
                <w:rFonts w:ascii="Calibri" w:cs="Calibri" w:eastAsia="Calibri" w:hAnsi="Calibri"/>
                <w:i/>
                <w:iCs/>
                <w:color w:val="2B3138"/>
                <w:sz w:val="20"/>
                <w:szCs w:val="20"/>
              </w:rPr>
              <w:t xml:space="preserve">"I sit for nine hours a day and by four in the afternoon I cannot get comfortable in any chair in the house."</w:t>
            </w:r>
          </w:p>
          <w:p>
            <w:pPr>
              <w:spacing w:after="110" w:line="288"/>
            </w:pPr>
            <w:r>
              <w:rPr>
                <w:rFonts w:ascii="Calibri" w:cs="Calibri" w:eastAsia="Calibri" w:hAnsi="Calibri"/>
                <w:i/>
                <w:iCs/>
                <w:color w:val="2B3138"/>
                <w:sz w:val="20"/>
                <w:szCs w:val="20"/>
              </w:rPr>
              <w:t xml:space="preserve">"The stiffness in the morning is the worst part. It takes me most of the first hour before I move properly."</w:t>
            </w:r>
          </w:p>
          <w:p>
            <w:pPr>
              <w:spacing w:after="110" w:line="288"/>
            </w:pPr>
            <w:r>
              <w:rPr>
                <w:rFonts w:ascii="Calibri" w:cs="Calibri" w:eastAsia="Calibri" w:hAnsi="Calibri"/>
                <w:i/>
                <w:iCs/>
                <w:color w:val="2B3138"/>
                <w:sz w:val="20"/>
                <w:szCs w:val="20"/>
              </w:rPr>
              <w:t xml:space="preserve">"It wakes me up. I turn over and it wakes me up."</w:t>
            </w:r>
          </w:p>
          <w:p>
            <w:pPr>
              <w:spacing w:after="110" w:line="288"/>
            </w:pPr>
            <w:r>
              <w:rPr>
                <w:rFonts w:ascii="Calibri" w:cs="Calibri" w:eastAsia="Calibri" w:hAnsi="Calibri"/>
                <w:i/>
                <w:iCs/>
                <w:color w:val="2B3138"/>
                <w:sz w:val="20"/>
                <w:szCs w:val="20"/>
              </w:rPr>
              <w:t xml:space="preserve">"I used to be able to touch my toes. Now bending down to put my shoes on is a whole event."</w:t>
            </w:r>
          </w:p>
          <w:p>
            <w:pPr>
              <w:spacing w:after="110" w:line="288"/>
            </w:pPr>
            <w:r>
              <w:rPr>
                <w:rFonts w:ascii="Calibri" w:cs="Calibri" w:eastAsia="Calibri" w:hAnsi="Calibri"/>
                <w:i/>
                <w:iCs/>
                <w:color w:val="2B3138"/>
                <w:sz w:val="20"/>
                <w:szCs w:val="20"/>
              </w:rPr>
              <w:t xml:space="preserve">"Reaching up to the cupboard, that is when I feel it."</w:t>
            </w:r>
          </w:p>
          <w:p>
            <w:pPr>
              <w:spacing w:after="110" w:line="288"/>
            </w:pPr>
            <w:r>
              <w:rPr>
                <w:rFonts w:ascii="Calibri" w:cs="Calibri" w:eastAsia="Calibri" w:hAnsi="Calibri"/>
                <w:i/>
                <w:iCs/>
                <w:color w:val="2B3138"/>
                <w:sz w:val="20"/>
                <w:szCs w:val="20"/>
              </w:rPr>
              <w:t xml:space="preserve">"Going up the stairs is becoming a thing I think about before I do it."</w:t>
            </w:r>
          </w:p>
          <w:p>
            <w:pPr>
              <w:spacing w:after="110" w:line="288"/>
            </w:pPr>
            <w:r>
              <w:rPr>
                <w:rFonts w:ascii="Calibri" w:cs="Calibri" w:eastAsia="Calibri" w:hAnsi="Calibri"/>
                <w:i/>
                <w:iCs/>
                <w:color w:val="2B3138"/>
                <w:sz w:val="20"/>
                <w:szCs w:val="20"/>
              </w:rPr>
              <w:t xml:space="preserve">"Sitting on the floor with the kids I can do. Getting back up is the problem."</w:t>
            </w:r>
          </w:p>
          <w:p>
            <w:pPr>
              <w:spacing w:after="40" w:line="288"/>
            </w:pPr>
            <w:r>
              <w:rPr>
                <w:rFonts w:ascii="Calibri" w:cs="Calibri" w:eastAsia="Calibri" w:hAnsi="Calibri"/>
                <w:i/>
                <w:iCs/>
                <w:color w:val="2B3138"/>
                <w:sz w:val="20"/>
                <w:szCs w:val="20"/>
              </w:rPr>
              <w:t xml:space="preserve">"The physio helped while I was going. Four months after I stopped, it was back."</w:t>
            </w:r>
          </w:p>
        </w:tc>
      </w:tr>
    </w:tbl>
    <w:p>
      <w:pPr>
        <w:pStyle w:val="Heading2"/>
        <w:spacing w:after="130" w:before="300"/>
      </w:pPr>
      <w:r>
        <w:rPr>
          <w:rFonts w:ascii="Georgia" w:cs="Georgia" w:eastAsia="Georgia" w:hAnsi="Georgia"/>
          <w:b/>
          <w:bCs/>
          <w:color w:val="15324B"/>
          <w:sz w:val="25"/>
          <w:szCs w:val="25"/>
        </w:rPr>
        <w:t xml:space="preserve">What they will push back on</w:t>
      </w:r>
    </w:p>
    <w:p>
      <w:pPr>
        <w:spacing w:after="140" w:line="288"/>
        <w:jc w:val="left"/>
      </w:pPr>
      <w:r>
        <w:rPr>
          <w:rFonts w:ascii="Calibri" w:cs="Calibri" w:eastAsia="Calibri" w:hAnsi="Calibri"/>
          <w:color w:val="2B3138"/>
          <w:sz w:val="21"/>
          <w:szCs w:val="21"/>
        </w:rPr>
        <w:t xml:space="preserve">Four objections with no equivalent in the Indian comparables. Each gets a prepared answer on the landing page or inside the challenge, and the fourth is the most important creative decision on the account.</w:t>
      </w:r>
    </w:p>
    <w:p>
      <w:pPr>
        <w:spacing w:after="60"/>
      </w:pPr>
      <w:r>
        <w:t xml:space="preserve"/>
      </w:r>
    </w:p>
    <w:tbl>
      <w:tblPr>
        <w:tblW w:type="dxa" w:w="9638"/>
        <w:tblBorders>
          <w:top w:val="single" w:color="D3D8DD" w:sz="4"/>
          <w:left w:val="single" w:color="D3D8DD" w:sz="4"/>
          <w:bottom w:val="single" w:color="D3D8DD" w:sz="4"/>
          <w:right w:val="single" w:color="D3D8DD" w:sz="4"/>
          <w:insideH w:val="single" w:color="D3D8DD" w:sz="4"/>
          <w:insideV w:val="single" w:color="D3D8DD" w:sz="4"/>
        </w:tblBorders>
      </w:tblPr>
      <w:tblGrid>
        <w:gridCol w:w="2200"/>
        <w:gridCol w:w="3100"/>
        <w:gridCol w:w="4338"/>
      </w:tblGrid>
      <w:tr>
        <w:trPr>
          <w:tblHeader/>
        </w:trPr>
        <w:tc>
          <w:tcPr>
            <w:tcW w:type="dxa" w:w="22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The objection</w:t>
            </w:r>
          </w:p>
        </w:tc>
        <w:tc>
          <w:tcPr>
            <w:tcW w:type="dxa" w:w="31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Where it comes from</w:t>
            </w:r>
          </w:p>
        </w:tc>
        <w:tc>
          <w:tcPr>
            <w:tcW w:type="dxa" w:w="4338"/>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The answer</w:t>
            </w:r>
          </w:p>
        </w:tc>
      </w:tr>
      <w:tr>
        <w:tc>
          <w:tcPr>
            <w:tcW w:type="dxa" w:w="22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"The NHS already does this."</w:t>
            </w:r>
          </w:p>
        </w:tc>
        <w:tc>
          <w:tcPr>
            <w:tcW w:type="dxa" w:w="31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Physiotherapy is free at the point of use, even when the wait is long and the discharge is a photocopied sheet.</w:t>
            </w:r>
          </w:p>
        </w:tc>
        <w:tc>
          <w:tcPr>
            <w:tcW w:type="dxa" w:w="43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Do not argue against the NHS. Argue on time and specificity. A referral takes months, a generic exercise sheet is not a sequenced programme, and nobody is watching how you move.</w:t>
            </w:r>
          </w:p>
        </w:tc>
      </w:tr>
      <w:tr>
        <w:tc>
          <w:tcPr>
            <w:tcW w:type="dxa" w:w="22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"My employer gives me an app for this free."</w:t>
            </w:r>
          </w:p>
        </w:tc>
        <w:tc>
          <w:tcPr>
            <w:tcW w:type="dxa" w:w="31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Hinge Health and Sword Health are distributed through employers and insurers at no cost to the user.</w:t>
            </w:r>
          </w:p>
        </w:tc>
        <w:tc>
          <w:tcPr>
            <w:tcW w:type="dxa" w:w="43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Live human instruction and real-time correction against app-based, asynchronous content. We do not claim clinical equivalence with a regulated medical device, because some competitors in this space are one and SuperMe is not.</w:t>
            </w:r>
          </w:p>
        </w:tc>
      </w:tr>
      <w:tr>
        <w:tc>
          <w:tcPr>
            <w:tcW w:type="dxa" w:w="22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"I have already spent money on this."</w:t>
            </w:r>
          </w:p>
        </w:tc>
        <w:tc>
          <w:tcPr>
            <w:tcW w:type="dxa" w:w="31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Physiotherapy courses, chiropractic, a chair, a massage gun. Each one helped, then stopped helping.</w:t>
            </w:r>
          </w:p>
        </w:tc>
        <w:tc>
          <w:tcPr>
            <w:tcW w:type="dxa" w:w="43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Name it before they do. Painkillers stop the signal reaching the brain, they do not change what is causing it. The reason everything else came back is that nothing changed about where the load was landing. That turns a spending history from an objection into evidence.</w:t>
            </w:r>
          </w:p>
        </w:tc>
      </w:tr>
      <w:tr>
        <w:tc>
          <w:tcPr>
            <w:tcW w:type="dxa" w:w="22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"I tried yoga. It did nothing, or it hurt."</w:t>
            </w:r>
          </w:p>
        </w:tc>
        <w:tc>
          <w:tcPr>
            <w:tcW w:type="dxa" w:w="31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 saturated studio and YouTube market means a large share of this audience has already had a bad experience with yoga specifically.</w:t>
            </w:r>
          </w:p>
        </w:tc>
        <w:tc>
          <w:tcPr>
            <w:tcW w:type="dxa" w:w="43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Win from inside the category, not against it.</w:t>
            </w:r>
            <w:r>
              <w:rPr>
                <w:rFonts w:ascii="Calibri" w:cs="Calibri" w:eastAsia="Calibri" w:hAnsi="Calibri"/>
                <w:color w:val="2B3138"/>
                <w:sz w:val="19"/>
                <w:szCs w:val="19"/>
              </w:rPr>
              <w:t xml:space="preserve"> A flow class is not sequenced for a guarding back, and the wrong asana on an irritated spine makes it worse. This is a named, sequenced, live-corrected method built around not aggravating the painful part. The hook </w:t>
            </w:r>
            <w:r>
              <w:rPr>
                <w:rFonts w:ascii="Calibri" w:cs="Calibri" w:eastAsia="Calibri" w:hAnsi="Calibri"/>
                <w:i/>
                <w:iCs/>
                <w:color w:val="2B3138"/>
                <w:sz w:val="19"/>
                <w:szCs w:val="19"/>
              </w:rPr>
              <w:t xml:space="preserve">stop stretching the part that hurts</w:t>
            </w:r>
            <w:r>
              <w:rPr>
                <w:rFonts w:ascii="Calibri" w:cs="Calibri" w:eastAsia="Calibri" w:hAnsi="Calibri"/>
                <w:color w:val="2B3138"/>
                <w:sz w:val="19"/>
                <w:szCs w:val="19"/>
              </w:rPr>
              <w:t xml:space="preserve"> is the strongest single answer to this objection, which is why it leads the ad set.</w:t>
            </w:r>
          </w:p>
        </w:tc>
      </w:tr>
    </w:tbl>
    <w:p>
      <w:pPr>
        <w:pageBreakBefore/>
        <w:spacing w:after="20" w:before="0"/>
      </w:pPr>
      <w:r>
        <w:rPr>
          <w:rFonts w:ascii="Georgia" w:cs="Georgia" w:eastAsia="Georgia" w:hAnsi="Georgia"/>
          <w:b/>
          <w:bCs/>
          <w:color w:val="A8703C"/>
          <w:sz w:val="44"/>
          <w:szCs w:val="44"/>
        </w:rPr>
        <w:t xml:space="preserve">3.</w:t>
      </w:r>
    </w:p>
    <w:p>
      <w:pPr>
        <w:pStyle w:val="Heading1"/>
        <w:pBdr>
          <w:bottom w:val="single" w:color="A8703C" w:sz="10" w:space="10"/>
        </w:pBdr>
        <w:spacing w:after="200"/>
      </w:pPr>
      <w:r>
        <w:rPr>
          <w:rFonts w:ascii="Georgia" w:cs="Georgia" w:eastAsia="Georgia" w:hAnsi="Georgia"/>
          <w:b/>
          <w:bCs/>
          <w:color w:val="15324B"/>
          <w:sz w:val="34"/>
          <w:szCs w:val="34"/>
        </w:rPr>
        <w:t xml:space="preserve">POSITIONING &amp; THE INNER BRACE METHOD</w:t>
      </w:r>
    </w:p>
    <w:p>
      <w:pPr>
        <w:pStyle w:val="Heading2"/>
        <w:spacing w:after="130" w:before="300"/>
      </w:pPr>
      <w:r>
        <w:rPr>
          <w:rFonts w:ascii="Georgia" w:cs="Georgia" w:eastAsia="Georgia" w:hAnsi="Georgia"/>
          <w:b/>
          <w:bCs/>
          <w:color w:val="15324B"/>
          <w:sz w:val="25"/>
          <w:szCs w:val="25"/>
        </w:rPr>
        <w:t xml:space="preserve">The line to own</w:t>
      </w:r>
    </w:p>
    <w:p>
      <w:pPr>
        <w:spacing w:after="140" w:line="288"/>
        <w:jc w:val="left"/>
      </w:pPr>
      <w:r>
        <w:rPr>
          <w:rFonts w:ascii="Calibri" w:cs="Calibri" w:eastAsia="Calibri" w:hAnsi="Calibri"/>
          <w:color w:val="2B3138"/>
          <w:sz w:val="21"/>
          <w:szCs w:val="21"/>
        </w:rPr>
        <w:t xml:space="preserve">The strongest positioning does two things at once. It names what this person actually wants, which is to stop thinking about their back. And it names what makes Atul different from the physiotherapist, the app and the YouTube routine, which is that he does not go at the sore part at all until the body has stopped defending it.</w:t>
      </w:r>
    </w:p>
    <w:p>
      <w:pPr>
        <w:spacing w:after="140" w:line="288"/>
        <w:jc w:val="left"/>
      </w:pPr>
      <w:r>
        <w:rPr>
          <w:rFonts w:ascii="Calibri" w:cs="Calibri" w:eastAsia="Calibri" w:hAnsi="Calibri"/>
          <w:color w:val="2B3138"/>
          <w:sz w:val="21"/>
          <w:szCs w:val="21"/>
        </w:rPr>
        <w:t xml:space="preserve">Three lines, three registers of one idea.</w:t>
      </w:r>
    </w:p>
    <w:p>
      <w:pPr>
        <w:spacing w:after="40"/>
      </w:pPr>
      <w:r>
        <w:t xml:space="preserve"/>
      </w:r>
    </w:p>
    <w:p>
      <w:pPr>
        <w:pStyle w:val="ListParagraph"/>
        <w:numPr>
          <w:ilvl w:val="0"/>
          <w:numId w:val="1"/>
        </w:numPr>
        <w:spacing w:after="70" w:line="276"/>
      </w:pPr>
      <w:r>
        <w:rPr>
          <w:rFonts w:ascii="Calibri" w:cs="Calibri" w:eastAsia="Calibri" w:hAnsi="Calibri"/>
          <w:b/>
          <w:bCs/>
          <w:color w:val="15324B"/>
          <w:sz w:val="21"/>
          <w:szCs w:val="21"/>
        </w:rPr>
        <w:t xml:space="preserve">"Stop stretching the part that hurts."</w:t>
      </w:r>
      <w:r>
        <w:rPr>
          <w:rFonts w:ascii="Calibri" w:cs="Calibri" w:eastAsia="Calibri" w:hAnsi="Calibri"/>
          <w:color w:val="2B3138"/>
          <w:sz w:val="21"/>
          <w:szCs w:val="21"/>
        </w:rPr>
        <w:t xml:space="preserve"> Contrarian, six words, and it does the mechanism reveal on its own. It attributes no condition to the reader and promises no outcome, which makes it the strongest line that is also completely safe. </w:t>
      </w:r>
      <w:r>
        <w:rPr>
          <w:rFonts w:ascii="Calibri" w:cs="Calibri" w:eastAsia="Calibri" w:hAnsi="Calibri"/>
          <w:b/>
          <w:bCs/>
          <w:color w:val="15324B"/>
          <w:sz w:val="21"/>
          <w:szCs w:val="21"/>
        </w:rPr>
        <w:t xml:space="preserve">Ad hooks and reel openers.</w:t>
      </w:r>
    </w:p>
    <w:p>
      <w:pPr>
        <w:pStyle w:val="ListParagraph"/>
        <w:numPr>
          <w:ilvl w:val="0"/>
          <w:numId w:val="1"/>
        </w:numPr>
        <w:spacing w:after="70" w:line="276"/>
      </w:pPr>
      <w:r>
        <w:rPr>
          <w:rFonts w:ascii="Calibri" w:cs="Calibri" w:eastAsia="Calibri" w:hAnsi="Calibri"/>
          <w:b/>
          <w:bCs/>
          <w:color w:val="15324B"/>
          <w:sz w:val="21"/>
          <w:szCs w:val="21"/>
        </w:rPr>
        <w:t xml:space="preserve">"Your back is not weak. It is defending itself."</w:t>
      </w:r>
      <w:r>
        <w:rPr>
          <w:rFonts w:ascii="Calibri" w:cs="Calibri" w:eastAsia="Calibri" w:hAnsi="Calibri"/>
          <w:color w:val="2B3138"/>
          <w:sz w:val="21"/>
          <w:szCs w:val="21"/>
        </w:rPr>
        <w:t xml:space="preserve"> The most important sentence in the strategy, because it is the whole mechanism in eight words and it reframes the problem before making any promise. </w:t>
      </w:r>
      <w:r>
        <w:rPr>
          <w:rFonts w:ascii="Calibri" w:cs="Calibri" w:eastAsia="Calibri" w:hAnsi="Calibri"/>
          <w:b/>
          <w:bCs/>
          <w:color w:val="15324B"/>
          <w:sz w:val="21"/>
          <w:szCs w:val="21"/>
        </w:rPr>
        <w:t xml:space="preserve">Landing page headline and the opening line of video.</w:t>
      </w:r>
    </w:p>
    <w:p>
      <w:pPr>
        <w:pStyle w:val="ListParagraph"/>
        <w:numPr>
          <w:ilvl w:val="0"/>
          <w:numId w:val="1"/>
        </w:numPr>
        <w:spacing w:after="70" w:line="276"/>
      </w:pPr>
      <w:r>
        <w:rPr>
          <w:rFonts w:ascii="Calibri" w:cs="Calibri" w:eastAsia="Calibri" w:hAnsi="Calibri"/>
          <w:b/>
          <w:bCs/>
          <w:color w:val="15324B"/>
          <w:sz w:val="21"/>
          <w:szCs w:val="21"/>
        </w:rPr>
        <w:t xml:space="preserve">"Unload. Brace. Move."</w:t>
      </w:r>
      <w:r>
        <w:rPr>
          <w:rFonts w:ascii="Calibri" w:cs="Calibri" w:eastAsia="Calibri" w:hAnsi="Calibri"/>
          <w:color w:val="2B3138"/>
          <w:sz w:val="21"/>
          <w:szCs w:val="21"/>
        </w:rPr>
        <w:t xml:space="preserve"> The method line. Three words, plain and sequential, and it answers the objection this audience carries above all others, which is that everything else came back. </w:t>
      </w:r>
      <w:r>
        <w:rPr>
          <w:rFonts w:ascii="Calibri" w:cs="Calibri" w:eastAsia="Calibri" w:hAnsi="Calibri"/>
          <w:b/>
          <w:bCs/>
          <w:color w:val="15324B"/>
          <w:sz w:val="21"/>
          <w:szCs w:val="21"/>
        </w:rPr>
        <w:t xml:space="preserve">Sign-off, day five, and the line that sits under the method name.</w:t>
      </w:r>
    </w:p>
    <w:p>
      <w:pPr>
        <w:pStyle w:val="Heading2"/>
        <w:spacing w:after="130" w:before="300"/>
      </w:pPr>
      <w:r>
        <w:rPr>
          <w:rFonts w:ascii="Georgia" w:cs="Georgia" w:eastAsia="Georgia" w:hAnsi="Georgia"/>
          <w:b/>
          <w:bCs/>
          <w:color w:val="15324B"/>
          <w:sz w:val="25"/>
          <w:szCs w:val="25"/>
        </w:rPr>
        <w:t xml:space="preserve">What SuperMe is, and is not</w:t>
      </w:r>
    </w:p>
    <w:p>
      <w:pPr>
        <w:spacing w:after="60"/>
      </w:pPr>
      <w:r>
        <w:t xml:space="preserve"/>
      </w:r>
    </w:p>
    <w:tbl>
      <w:tblPr>
        <w:tblW w:type="dxa" w:w="9638"/>
        <w:tblBorders>
          <w:top w:val="single" w:color="D3D8DD" w:sz="4"/>
          <w:left w:val="single" w:color="D3D8DD" w:sz="4"/>
          <w:bottom w:val="single" w:color="D3D8DD" w:sz="4"/>
          <w:right w:val="single" w:color="D3D8DD" w:sz="4"/>
          <w:insideH w:val="single" w:color="D3D8DD" w:sz="4"/>
          <w:insideV w:val="single" w:color="D3D8DD" w:sz="4"/>
        </w:tblBorders>
      </w:tblPr>
      <w:tblGrid>
        <w:gridCol w:w="4819"/>
        <w:gridCol w:w="4819"/>
      </w:tblGrid>
      <w:tr>
        <w:trPr>
          <w:tblHeader/>
        </w:trPr>
        <w:tc>
          <w:tcPr>
            <w:tcW w:type="dxa" w:w="4819"/>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What SuperMe is</w:t>
            </w:r>
          </w:p>
        </w:tc>
        <w:tc>
          <w:tcPr>
            <w:tcW w:type="dxa" w:w="4819"/>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What SuperMe is not</w:t>
            </w:r>
          </w:p>
        </w:tc>
      </w:tr>
      <w:tr>
        <w:tc>
          <w:tcPr>
            <w:tcW w:type="dxa" w:w="4819"/>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 live, coach-led programme for a specific pain: back, neck or knee</w:t>
            </w:r>
          </w:p>
        </w:tc>
        <w:tc>
          <w:tcPr>
            <w:tcW w:type="dxa" w:w="4819"/>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 general yoga subscription or a fitness app</w:t>
            </w:r>
          </w:p>
        </w:tc>
      </w:tr>
      <w:tr>
        <w:tc>
          <w:tcPr>
            <w:tcW w:type="dxa" w:w="4819"/>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Built on a named method that takes the load off the joint and wakes the body's own brace before going anywhere near the sore part</w:t>
            </w:r>
          </w:p>
        </w:tc>
        <w:tc>
          <w:tcPr>
            <w:tcW w:type="dxa" w:w="4819"/>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 stretching routine or a flexibility programme</w:t>
            </w:r>
          </w:p>
        </w:tc>
      </w:tr>
      <w:tr>
        <w:tc>
          <w:tcPr>
            <w:tcW w:type="dxa" w:w="4819"/>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Led by a teacher with sixteen years, a Kaivalyadhama postgraduate diploma and over a thousand students taught</w:t>
            </w:r>
          </w:p>
        </w:tc>
        <w:tc>
          <w:tcPr>
            <w:tcW w:type="dxa" w:w="4819"/>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An algorithmically generated plan with no human in it</w:t>
            </w:r>
          </w:p>
        </w:tc>
      </w:tr>
      <w:tr>
        <w:tc>
          <w:tcPr>
            <w:tcW w:type="dxa" w:w="4819"/>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Delivered live, in a group, with real-time correction and two session times a day so it fits a working life</w:t>
            </w:r>
          </w:p>
        </w:tc>
        <w:tc>
          <w:tcPr>
            <w:tcW w:type="dxa" w:w="4819"/>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Pre-recorded content that nobody watches you perform</w:t>
            </w:r>
          </w:p>
        </w:tc>
      </w:tr>
      <w:tr>
        <w:tc>
          <w:tcPr>
            <w:tcW w:type="dxa" w:w="4819"/>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 toolkit the person keeps and uses for the rest of their life</w:t>
            </w:r>
          </w:p>
        </w:tc>
        <w:tc>
          <w:tcPr>
            <w:tcW w:type="dxa" w:w="4819"/>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 course that ends and leaves them where they started</w:t>
            </w:r>
          </w:p>
        </w:tc>
      </w:tr>
      <w:tr>
        <w:tc>
          <w:tcPr>
            <w:tcW w:type="dxa" w:w="4819"/>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Honest about pace. Most people feel the first real change around the third session, and it builds from there</w:t>
            </w:r>
          </w:p>
        </w:tc>
        <w:tc>
          <w:tcPr>
            <w:tcW w:type="dxa" w:w="4819"/>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 quick fix, a cure claim, or an instant-relief promise</w:t>
            </w:r>
          </w:p>
        </w:tc>
      </w:tr>
      <w:tr>
        <w:tc>
          <w:tcPr>
            <w:tcW w:type="dxa" w:w="4819"/>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Honest about limits. Load-related knee pain resolves. Arthritic knee pain is managed, and we say so out loud</w:t>
            </w:r>
          </w:p>
        </w:tc>
        <w:tc>
          <w:tcPr>
            <w:tcW w:type="dxa" w:w="4819"/>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 programme that promises everyone the same outcome</w:t>
            </w:r>
          </w:p>
        </w:tc>
      </w:tr>
      <w:tr>
        <w:tc>
          <w:tcPr>
            <w:tcW w:type="dxa" w:w="4819"/>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Positioned around the pain and the life it is interrupting</w:t>
            </w:r>
          </w:p>
        </w:tc>
        <w:tc>
          <w:tcPr>
            <w:tcW w:type="dxa" w:w="4819"/>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Positioned around yoga, wellness or spiritual practice in any cold-facing asset</w:t>
            </w:r>
          </w:p>
        </w:tc>
      </w:tr>
      <w:tr>
        <w:tc>
          <w:tcPr>
            <w:tcW w:type="dxa" w:w="4819"/>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Complementary to medical care</w:t>
            </w:r>
          </w:p>
        </w:tc>
        <w:tc>
          <w:tcPr>
            <w:tcW w:type="dxa" w:w="4819"/>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 replacement for physiotherapy, medical advice or a clinical diagnosis</w:t>
            </w:r>
          </w:p>
        </w:tc>
      </w:tr>
    </w:tbl>
    <w:p>
      <w:pPr>
        <w:pStyle w:val="Heading2"/>
        <w:spacing w:after="130" w:before="300"/>
      </w:pPr>
      <w:r>
        <w:rPr>
          <w:rFonts w:ascii="Georgia" w:cs="Georgia" w:eastAsia="Georgia" w:hAnsi="Georgia"/>
          <w:b/>
          <w:bCs/>
          <w:color w:val="15324B"/>
          <w:sz w:val="25"/>
          <w:szCs w:val="25"/>
        </w:rPr>
        <w:t xml:space="preserve">The Inner Brace Method</w:t>
      </w:r>
    </w:p>
    <w:p>
      <w:pPr>
        <w:spacing w:after="40"/>
      </w:pPr>
      <w: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15324B" w:sz="24"/>
              <w:bottom w:val="none" w:color="FFFFFF" w:sz="0"/>
              <w:right w:val="none" w:color="FFFFFF" w:sz="0"/>
            </w:tcBorders>
            <w:shd w:fill="F2F4F6" w:color="auto" w:val="clear"/>
            <w:tcMar>
              <w:top w:type="dxa" w:w="200"/>
              <w:left w:type="dxa" w:w="260"/>
              <w:bottom w:type="dxa" w:w="200"/>
              <w:right w:type="dxa" w:w="260"/>
            </w:tcMar>
          </w:tcPr>
          <w:p>
            <w:pPr>
              <w:spacing w:after="90" w:before="40"/>
            </w:pPr>
            <w:r>
              <w:rPr>
                <w:rFonts w:ascii="Calibri" w:cs="Calibri" w:eastAsia="Calibri" w:hAnsi="Calibri"/>
                <w:b/>
                <w:bCs/>
                <w:caps/>
                <w:color w:val="15324B"/>
                <w:sz w:val="19"/>
                <w:szCs w:val="19"/>
              </w:rPr>
              <w:t xml:space="preserve">The idea in one paragraph</w:t>
            </w:r>
          </w:p>
          <w:p>
            <w:pPr>
              <w:spacing w:after="110" w:line="288"/>
            </w:pPr>
            <w:r>
              <w:rPr>
                <w:rFonts w:ascii="Calibri" w:cs="Calibri" w:eastAsia="Calibri" w:hAnsi="Calibri"/>
                <w:color w:val="2B3138"/>
                <w:sz w:val="20"/>
                <w:szCs w:val="20"/>
              </w:rPr>
              <w:t xml:space="preserve">Most back pain is not caused by a weak back. It is caused by a protective reaction. When the lower back senses instability, fatigue or stress, the muscles around it lock up, and that is what produces the stiffness, the spasm and the pain.</w:t>
            </w:r>
          </w:p>
          <w:p>
            <w:pPr>
              <w:spacing w:after="110" w:line="288"/>
            </w:pPr>
            <w:r>
              <w:rPr>
                <w:rFonts w:ascii="Calibri" w:cs="Calibri" w:eastAsia="Calibri" w:hAnsi="Calibri"/>
                <w:color w:val="2B3138"/>
                <w:sz w:val="20"/>
                <w:szCs w:val="20"/>
              </w:rPr>
              <w:t xml:space="preserve">Which means stretching it, or aggressively strengthening it, makes it worse. The brain reads force on a joint it is already guarding as danger, and it tightens further. That is why the YouTube routine hurt. That is why the massage helped for an afternoon and not for a week.</w:t>
            </w:r>
          </w:p>
          <w:p>
            <w:pPr>
              <w:spacing w:after="40" w:line="288"/>
            </w:pPr>
            <w:r>
              <w:rPr>
                <w:rFonts w:ascii="Calibri" w:cs="Calibri" w:eastAsia="Calibri" w:hAnsi="Calibri"/>
                <w:b/>
                <w:bCs/>
                <w:color w:val="15324B"/>
                <w:sz w:val="20"/>
                <w:szCs w:val="20"/>
              </w:rPr>
              <w:t xml:space="preserve">The Inner Brace Method reverses that cycle in three steps, in an order that cannot be skipped.</w:t>
            </w:r>
          </w:p>
        </w:tc>
      </w:tr>
    </w:tbl>
    <w:p>
      <w:pPr>
        <w:spacing w:after="120"/>
      </w:pPr>
      <w:r>
        <w:t xml:space="preserve"/>
      </w:r>
    </w:p>
    <w:p>
      <w:pPr>
        <w:pStyle w:val="Heading3"/>
        <w:spacing w:after="90" w:before="220"/>
      </w:pPr>
      <w:r>
        <w:rPr>
          <w:rFonts w:ascii="Calibri" w:cs="Calibri" w:eastAsia="Calibri" w:hAnsi="Calibri"/>
          <w:b/>
          <w:bCs/>
          <w:color w:val="A8703C"/>
          <w:sz w:val="22"/>
          <w:szCs w:val="22"/>
        </w:rPr>
        <w:t xml:space="preserve">1.  Unload.  Take the weight off, so the body stops defending.</w:t>
      </w:r>
    </w:p>
    <w:p>
      <w:pPr>
        <w:spacing w:after="140" w:line="288"/>
        <w:jc w:val="left"/>
      </w:pPr>
      <w:r>
        <w:rPr>
          <w:rFonts w:ascii="Calibri" w:cs="Calibri" w:eastAsia="Calibri" w:hAnsi="Calibri"/>
          <w:color w:val="2B3138"/>
          <w:sz w:val="21"/>
          <w:szCs w:val="21"/>
        </w:rPr>
        <w:t xml:space="preserve">Props first. Blocks, blankets, walls and straps, used to take the load off overloaded discs and joints. Nothing is forced and nothing is held under strain. This is not a gentle warm-up, it is doing a specific job: it signals to the nervous system that the area is safe, which is the only thing that will persuade it to switch the spasm off. Breath work sits here for the same reason. A body braced against pain will not release while it is still bracing.</w:t>
      </w:r>
    </w:p>
    <w:p>
      <w:pPr>
        <w:pStyle w:val="Heading3"/>
        <w:spacing w:after="90" w:before="220"/>
      </w:pPr>
      <w:r>
        <w:rPr>
          <w:rFonts w:ascii="Calibri" w:cs="Calibri" w:eastAsia="Calibri" w:hAnsi="Calibri"/>
          <w:b/>
          <w:bCs/>
          <w:color w:val="A8703C"/>
          <w:sz w:val="22"/>
          <w:szCs w:val="22"/>
        </w:rPr>
        <w:t xml:space="preserve">2.  Brace.  Wake the brace you already have.</w:t>
      </w:r>
    </w:p>
    <w:p>
      <w:pPr>
        <w:spacing w:after="140" w:line="288"/>
        <w:jc w:val="left"/>
      </w:pPr>
      <w:r>
        <w:rPr>
          <w:rFonts w:ascii="Calibri" w:cs="Calibri" w:eastAsia="Calibri" w:hAnsi="Calibri"/>
          <w:color w:val="2B3138"/>
          <w:sz w:val="21"/>
          <w:szCs w:val="21"/>
        </w:rPr>
        <w:t xml:space="preserve">Once the guarding settles, the deep stabilisers come back online: the transverse abdominis, the multifidus and the pelvic floor. These are the body's own internal back brace, and in almost everyone with long-standing pain they have quietly stopped doing their job, which is why the load kept landing on the painful part in the first place. This phase is the core of the method and it is where the change stops being temporary.</w:t>
      </w:r>
    </w:p>
    <w:p>
      <w:pPr>
        <w:pStyle w:val="Heading3"/>
        <w:spacing w:after="90" w:before="220"/>
      </w:pPr>
      <w:r>
        <w:rPr>
          <w:rFonts w:ascii="Calibri" w:cs="Calibri" w:eastAsia="Calibri" w:hAnsi="Calibri"/>
          <w:b/>
          <w:bCs/>
          <w:color w:val="A8703C"/>
          <w:sz w:val="22"/>
          <w:szCs w:val="22"/>
        </w:rPr>
        <w:t xml:space="preserve">3.  Move.  Put it back into real life.</w:t>
      </w:r>
    </w:p>
    <w:p>
      <w:pPr>
        <w:spacing w:after="140" w:line="288"/>
        <w:jc w:val="left"/>
      </w:pPr>
      <w:r>
        <w:rPr>
          <w:rFonts w:ascii="Calibri" w:cs="Calibri" w:eastAsia="Calibri" w:hAnsi="Calibri"/>
          <w:color w:val="2B3138"/>
          <w:sz w:val="21"/>
          <w:szCs w:val="21"/>
        </w:rPr>
        <w:t xml:space="preserve">Training the hips and shoulders to move independently while the spine stays supported and neutral. Standing work, progressive loading, and the ordinary movements that had become a problem. This is the phase where someone stops thinking about their back before they bend down, and it is the reason the programme runs for months rather than weeks.</w:t>
      </w:r>
    </w:p>
    <w:p>
      <w:pPr>
        <w:spacing w:after="80"/>
      </w:pPr>
      <w:r>
        <w:t xml:space="preserve"/>
      </w:r>
    </w:p>
    <w:p>
      <w:pPr>
        <w:spacing w:after="140" w:line="288"/>
        <w:jc w:val="left"/>
      </w:pPr>
      <w:r>
        <w:rPr>
          <w:rFonts w:ascii="Calibri" w:cs="Calibri" w:eastAsia="Calibri" w:hAnsi="Calibri"/>
          <w:b/>
          <w:bCs/>
          <w:color w:val="15324B"/>
          <w:sz w:val="21"/>
          <w:szCs w:val="21"/>
        </w:rPr>
        <w:t xml:space="preserve">The same three steps apply to a neck and to a knee.</w:t>
      </w:r>
      <w:r>
        <w:rPr>
          <w:rFonts w:ascii="Calibri" w:cs="Calibri" w:eastAsia="Calibri" w:hAnsi="Calibri"/>
          <w:color w:val="2B3138"/>
          <w:sz w:val="21"/>
          <w:szCs w:val="21"/>
        </w:rPr>
        <w:t xml:space="preserve"> For a neck, the unloading comes off the cervical spine and the bracing work moves to the mid-back and shoulder girdle. For a knee, the load comes off the joint and the bracing work goes into the thighs, glutes and calves. Same sequence, different structures, which is exactly why one live session can serve all three in the same room.</w:t>
      </w:r>
    </w:p>
    <w:p>
      <w:pPr>
        <w:pStyle w:val="Heading2"/>
        <w:spacing w:after="130" w:before="300"/>
      </w:pPr>
      <w:r>
        <w:rPr>
          <w:rFonts w:ascii="Georgia" w:cs="Georgia" w:eastAsia="Georgia" w:hAnsi="Georgia"/>
          <w:b/>
          <w:bCs/>
          <w:color w:val="15324B"/>
          <w:sz w:val="25"/>
          <w:szCs w:val="25"/>
        </w:rPr>
        <w:t xml:space="preserve">What the phases feel like</w:t>
      </w:r>
    </w:p>
    <w:p>
      <w:pPr>
        <w:spacing w:after="60"/>
      </w:pPr>
      <w:r>
        <w:t xml:space="preserve"/>
      </w:r>
    </w:p>
    <w:tbl>
      <w:tblPr>
        <w:tblW w:type="dxa" w:w="9638"/>
        <w:tblBorders>
          <w:top w:val="single" w:color="D3D8DD" w:sz="4"/>
          <w:left w:val="single" w:color="D3D8DD" w:sz="4"/>
          <w:bottom w:val="single" w:color="D3D8DD" w:sz="4"/>
          <w:right w:val="single" w:color="D3D8DD" w:sz="4"/>
          <w:insideH w:val="single" w:color="D3D8DD" w:sz="4"/>
          <w:insideV w:val="single" w:color="D3D8DD" w:sz="4"/>
        </w:tblBorders>
      </w:tblPr>
      <w:tblGrid>
        <w:gridCol w:w="1500"/>
        <w:gridCol w:w="4269"/>
        <w:gridCol w:w="3869"/>
      </w:tblGrid>
      <w:tr>
        <w:trPr>
          <w:tblHeader/>
        </w:trPr>
        <w:tc>
          <w:tcPr>
            <w:tcW w:type="dxa" w:w="15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Phase</w:t>
            </w:r>
          </w:p>
        </w:tc>
        <w:tc>
          <w:tcPr>
            <w:tcW w:type="dxa" w:w="4269"/>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What happens</w:t>
            </w:r>
          </w:p>
        </w:tc>
        <w:tc>
          <w:tcPr>
            <w:tcW w:type="dxa" w:w="3869"/>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What the person feels</w:t>
            </w:r>
          </w:p>
        </w:tc>
      </w:tr>
      <w:tr>
        <w:tc>
          <w:tcPr>
            <w:tcW w:type="dxa" w:w="15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Unload</w:t>
            </w:r>
          </w:p>
        </w:tc>
        <w:tc>
          <w:tcPr>
            <w:tcW w:type="dxa" w:w="4269"/>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Supported decompression and gentle mobility with props. Twists, light backbends and hip opening, done without strain. Breath work to bring the nervous system down.</w:t>
            </w:r>
          </w:p>
        </w:tc>
        <w:tc>
          <w:tcPr>
            <w:tcW w:type="dxa" w:w="3869"/>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The first thing they notice is that nothing hurt. Then, a few hours later, something feels looser than it did. Not fixed. Looser. This is what breaks the fear of movement.</w:t>
            </w:r>
          </w:p>
        </w:tc>
      </w:tr>
      <w:tr>
        <w:tc>
          <w:tcPr>
            <w:tcW w:type="dxa" w:w="15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Brace</w:t>
            </w:r>
          </w:p>
        </w:tc>
        <w:tc>
          <w:tcPr>
            <w:tcW w:type="dxa" w:w="4269"/>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Waking the deep stabilisers. Core and pelvic floor activation, mid-back and shoulder work for the neck, thigh and calf work for the knee. Alignment-led, with wall and prop support so the joint stays protected while the muscle around it works.</w:t>
            </w:r>
          </w:p>
        </w:tc>
        <w:tc>
          <w:tcPr>
            <w:tcW w:type="dxa" w:w="3869"/>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Effort in places they did not expect. A sense that something is switching on. Around the third or fourth session, the first real change, usually in morning stiffness or in one specific movement.</w:t>
            </w:r>
          </w:p>
        </w:tc>
      </w:tr>
      <w:tr>
        <w:tc>
          <w:tcPr>
            <w:tcW w:type="dxa" w:w="15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Move</w:t>
            </w:r>
          </w:p>
        </w:tc>
        <w:tc>
          <w:tcPr>
            <w:tcW w:type="dxa" w:w="4269"/>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Standing postures, progressive loading, and independent movement of hips and shoulders over a supported spine. Strength built on a body that is finally ready for it.</w:t>
            </w:r>
          </w:p>
        </w:tc>
        <w:tc>
          <w:tcPr>
            <w:tcW w:type="dxa" w:w="3869"/>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Confidence. They start doing the thing they had stopped doing. Getting off the floor. Reaching up. Taking the stairs without planning it first.</w:t>
            </w:r>
          </w:p>
        </w:tc>
      </w:tr>
    </w:tbl>
    <w:p>
      <w:pPr>
        <w:pStyle w:val="Heading2"/>
        <w:spacing w:after="130" w:before="300"/>
      </w:pPr>
      <w:r>
        <w:rPr>
          <w:rFonts w:ascii="Georgia" w:cs="Georgia" w:eastAsia="Georgia" w:hAnsi="Georgia"/>
          <w:b/>
          <w:bCs/>
          <w:color w:val="15324B"/>
          <w:sz w:val="25"/>
          <w:szCs w:val="25"/>
        </w:rPr>
        <w:t xml:space="preserve">The arc, from day one to month six</w:t>
      </w:r>
    </w:p>
    <w:p>
      <w:pPr>
        <w:spacing w:after="60"/>
      </w:pPr>
      <w:r>
        <w:t xml:space="preserve"/>
      </w:r>
    </w:p>
    <w:tbl>
      <w:tblPr>
        <w:tblW w:type="dxa" w:w="9638"/>
        <w:tblBorders>
          <w:top w:val="single" w:color="D3D8DD" w:sz="4"/>
          <w:left w:val="single" w:color="D3D8DD" w:sz="4"/>
          <w:bottom w:val="single" w:color="D3D8DD" w:sz="4"/>
          <w:right w:val="single" w:color="D3D8DD" w:sz="4"/>
          <w:insideH w:val="single" w:color="D3D8DD" w:sz="4"/>
          <w:insideV w:val="single" w:color="D3D8DD" w:sz="4"/>
        </w:tblBorders>
      </w:tblPr>
      <w:tblGrid>
        <w:gridCol w:w="2400"/>
        <w:gridCol w:w="2400"/>
        <w:gridCol w:w="4838"/>
      </w:tblGrid>
      <w:tr>
        <w:trPr>
          <w:tblHeader/>
        </w:trPr>
        <w:tc>
          <w:tcPr>
            <w:tcW w:type="dxa" w:w="24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When</w:t>
            </w:r>
          </w:p>
        </w:tc>
        <w:tc>
          <w:tcPr>
            <w:tcW w:type="dxa" w:w="24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Phase</w:t>
            </w:r>
          </w:p>
        </w:tc>
        <w:tc>
          <w:tcPr>
            <w:tcW w:type="dxa" w:w="4838"/>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What the person feels</w:t>
            </w:r>
          </w:p>
        </w:tc>
      </w:tr>
      <w:tr>
        <w:tc>
          <w:tcPr>
            <w:tcW w:type="dxa" w:w="24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Challenge day 1</w:t>
            </w:r>
          </w:p>
        </w:tc>
        <w:tc>
          <w:tcPr>
            <w:tcW w:type="dxa" w:w="24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Unload</w:t>
            </w:r>
          </w:p>
        </w:tc>
        <w:tc>
          <w:tcPr>
            <w:tcW w:type="dxa" w:w="48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Relief that it did not hurt. Mild looseness a few hours later. Pain scored out of ten before the session.</w:t>
            </w:r>
          </w:p>
        </w:tc>
      </w:tr>
      <w:tr>
        <w:tc>
          <w:tcPr>
            <w:tcW w:type="dxa" w:w="24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Challenge days 2 and 3</w:t>
            </w:r>
          </w:p>
        </w:tc>
        <w:tc>
          <w:tcPr>
            <w:tcW w:type="dxa" w:w="24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Unload into Brace</w:t>
            </w:r>
          </w:p>
        </w:tc>
        <w:tc>
          <w:tcPr>
            <w:tcW w:type="dxa" w:w="48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Effort somewhere unexpected. Around the third session, the first genuine shift for most people.</w:t>
            </w:r>
          </w:p>
        </w:tc>
      </w:tr>
      <w:tr>
        <w:tc>
          <w:tcPr>
            <w:tcW w:type="dxa" w:w="24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Challenge day 4</w:t>
            </w:r>
          </w:p>
        </w:tc>
        <w:tc>
          <w:tcPr>
            <w:tcW w:type="dxa" w:w="24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Brace into Move</w:t>
            </w:r>
          </w:p>
        </w:tc>
        <w:tc>
          <w:tcPr>
            <w:tcW w:type="dxa" w:w="48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Their pain re-scored against Monday. This is the belief moment the day five pitch is built on.</w:t>
            </w:r>
          </w:p>
        </w:tc>
      </w:tr>
      <w:tr>
        <w:tc>
          <w:tcPr>
            <w:tcW w:type="dxa" w:w="24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Programme weeks 1 to 3</w:t>
            </w:r>
          </w:p>
        </w:tc>
        <w:tc>
          <w:tcPr>
            <w:tcW w:type="dxa" w:w="24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Brace</w:t>
            </w:r>
          </w:p>
        </w:tc>
        <w:tc>
          <w:tcPr>
            <w:tcW w:type="dxa" w:w="48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Morning stiffness reduces meaningfully. The back case reached this at six to eight sessions.</w:t>
            </w:r>
          </w:p>
        </w:tc>
      </w:tr>
      <w:tr>
        <w:tc>
          <w:tcPr>
            <w:tcW w:type="dxa" w:w="24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Programme weeks 4 to 8</w:t>
            </w:r>
          </w:p>
        </w:tc>
        <w:tc>
          <w:tcPr>
            <w:tcW w:type="dxa" w:w="24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Brace into Move</w:t>
            </w:r>
          </w:p>
        </w:tc>
        <w:tc>
          <w:tcPr>
            <w:tcW w:type="dxa" w:w="48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Noticeably lighter through hips, hamstrings and shoulders at four weeks. A full working day seated without pain at eight.</w:t>
            </w:r>
          </w:p>
        </w:tc>
      </w:tr>
      <w:tr>
        <w:tc>
          <w:tcPr>
            <w:tcW w:type="dxa" w:w="24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Programme weeks 8 to 12</w:t>
            </w:r>
          </w:p>
        </w:tc>
        <w:tc>
          <w:tcPr>
            <w:tcW w:type="dxa" w:w="24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Move</w:t>
            </w:r>
          </w:p>
        </w:tc>
        <w:tc>
          <w:tcPr>
            <w:tcW w:type="dxa" w:w="48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Returning to things they had stopped doing. Full comfortable mobility across the major joints at twelve weeks.</w:t>
            </w:r>
          </w:p>
        </w:tc>
      </w:tr>
      <w:tr>
        <w:tc>
          <w:tcPr>
            <w:tcW w:type="dxa" w:w="24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Programme weeks 12 to 26</w:t>
            </w:r>
          </w:p>
        </w:tc>
        <w:tc>
          <w:tcPr>
            <w:tcW w:type="dxa" w:w="24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Move and maintain</w:t>
            </w:r>
          </w:p>
        </w:tc>
        <w:tc>
          <w:tcPr>
            <w:tcW w:type="dxa" w:w="48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The toolkit. Knee cases consolidate here. The daily practice becomes something they run themselves, which is the point of a six-month term.</w:t>
            </w:r>
          </w:p>
        </w:tc>
      </w:tr>
    </w:tbl>
    <w:p>
      <w:pPr>
        <w:pStyle w:val="Heading2"/>
        <w:spacing w:after="130" w:before="300"/>
      </w:pPr>
      <w:r>
        <w:rPr>
          <w:rFonts w:ascii="Georgia" w:cs="Georgia" w:eastAsia="Georgia" w:hAnsi="Georgia"/>
          <w:b/>
          <w:bCs/>
          <w:color w:val="15324B"/>
          <w:sz w:val="25"/>
          <w:szCs w:val="25"/>
        </w:rPr>
        <w:t xml:space="preserve">Six things that make this different</w:t>
      </w:r>
    </w:p>
    <w:p>
      <w:pPr>
        <w:spacing w:after="40"/>
      </w:pPr>
      <w:r>
        <w:t xml:space="preserve"/>
      </w:r>
    </w:p>
    <w:p>
      <w:pPr>
        <w:pStyle w:val="ListParagraph"/>
        <w:numPr>
          <w:ilvl w:val="0"/>
          <w:numId w:val="1"/>
        </w:numPr>
        <w:spacing w:after="70" w:line="276"/>
      </w:pPr>
      <w:r>
        <w:rPr>
          <w:rFonts w:ascii="Calibri" w:cs="Calibri" w:eastAsia="Calibri" w:hAnsi="Calibri"/>
          <w:b/>
          <w:bCs/>
          <w:color w:val="15324B"/>
          <w:sz w:val="21"/>
          <w:szCs w:val="21"/>
        </w:rPr>
        <w:t xml:space="preserve">It treats the pain as a protective reaction, not a weakness.</w:t>
      </w:r>
      <w:r>
        <w:rPr>
          <w:rFonts w:ascii="Calibri" w:cs="Calibri" w:eastAsia="Calibri" w:hAnsi="Calibri"/>
          <w:color w:val="2B3138"/>
          <w:sz w:val="21"/>
          <w:szCs w:val="21"/>
        </w:rPr>
        <w:t xml:space="preserve"> That single reframe separates this from every stretch routine and every generic strengthening plan in the market.</w:t>
      </w:r>
    </w:p>
    <w:p>
      <w:pPr>
        <w:pStyle w:val="ListParagraph"/>
        <w:numPr>
          <w:ilvl w:val="0"/>
          <w:numId w:val="1"/>
        </w:numPr>
        <w:spacing w:after="70" w:line="276"/>
      </w:pPr>
      <w:r>
        <w:rPr>
          <w:rFonts w:ascii="Calibri" w:cs="Calibri" w:eastAsia="Calibri" w:hAnsi="Calibri"/>
          <w:b/>
          <w:bCs/>
          <w:color w:val="15324B"/>
          <w:sz w:val="21"/>
          <w:szCs w:val="21"/>
        </w:rPr>
        <w:t xml:space="preserve">The order cannot be skipped.</w:t>
      </w:r>
      <w:r>
        <w:rPr>
          <w:rFonts w:ascii="Calibri" w:cs="Calibri" w:eastAsia="Calibri" w:hAnsi="Calibri"/>
          <w:color w:val="2B3138"/>
          <w:sz w:val="21"/>
          <w:szCs w:val="21"/>
        </w:rPr>
        <w:t xml:space="preserve"> Unload before Brace, Brace before Move. Going straight to strengthening a guarding back is the most common mistake people make on their own, and it is why they get worse.</w:t>
      </w:r>
    </w:p>
    <w:p>
      <w:pPr>
        <w:pStyle w:val="ListParagraph"/>
        <w:numPr>
          <w:ilvl w:val="0"/>
          <w:numId w:val="1"/>
        </w:numPr>
        <w:spacing w:after="70" w:line="276"/>
      </w:pPr>
      <w:r>
        <w:rPr>
          <w:rFonts w:ascii="Calibri" w:cs="Calibri" w:eastAsia="Calibri" w:hAnsi="Calibri"/>
          <w:b/>
          <w:bCs/>
          <w:color w:val="15324B"/>
          <w:sz w:val="21"/>
          <w:szCs w:val="21"/>
        </w:rPr>
        <w:t xml:space="preserve">Props are a tool, not a beginner's crutch.</w:t>
      </w:r>
      <w:r>
        <w:rPr>
          <w:rFonts w:ascii="Calibri" w:cs="Calibri" w:eastAsia="Calibri" w:hAnsi="Calibri"/>
          <w:color w:val="2B3138"/>
          <w:sz w:val="21"/>
          <w:szCs w:val="21"/>
        </w:rPr>
        <w:t xml:space="preserve"> Walls, belts and blocks let a body that cannot yet do the shape get the benefit of it safely, and they are what tells the nervous system it is allowed to let go.</w:t>
      </w:r>
    </w:p>
    <w:p>
      <w:pPr>
        <w:pStyle w:val="ListParagraph"/>
        <w:numPr>
          <w:ilvl w:val="0"/>
          <w:numId w:val="1"/>
        </w:numPr>
        <w:spacing w:after="70" w:line="276"/>
      </w:pPr>
      <w:r>
        <w:rPr>
          <w:rFonts w:ascii="Calibri" w:cs="Calibri" w:eastAsia="Calibri" w:hAnsi="Calibri"/>
          <w:b/>
          <w:bCs/>
          <w:color w:val="15324B"/>
          <w:sz w:val="21"/>
          <w:szCs w:val="21"/>
        </w:rPr>
        <w:t xml:space="preserve">Anatomically trained, not just certified.</w:t>
      </w:r>
      <w:r>
        <w:rPr>
          <w:rFonts w:ascii="Calibri" w:cs="Calibri" w:eastAsia="Calibri" w:hAnsi="Calibri"/>
          <w:color w:val="2B3138"/>
          <w:sz w:val="21"/>
          <w:szCs w:val="21"/>
        </w:rPr>
        <w:t xml:space="preserve"> A postgraduate diploma in Yoga Education from Kaivalyadhama plus E-RYT 500, applied through adaptive sequencing rather than a fixed class plan.</w:t>
      </w:r>
    </w:p>
    <w:p>
      <w:pPr>
        <w:pStyle w:val="ListParagraph"/>
        <w:numPr>
          <w:ilvl w:val="0"/>
          <w:numId w:val="1"/>
        </w:numPr>
        <w:spacing w:after="70" w:line="276"/>
      </w:pPr>
      <w:r>
        <w:rPr>
          <w:rFonts w:ascii="Calibri" w:cs="Calibri" w:eastAsia="Calibri" w:hAnsi="Calibri"/>
          <w:b/>
          <w:bCs/>
          <w:color w:val="15324B"/>
          <w:sz w:val="21"/>
          <w:szCs w:val="21"/>
        </w:rPr>
        <w:t xml:space="preserve">Sixteen years and a real record.</w:t>
      </w:r>
      <w:r>
        <w:rPr>
          <w:rFonts w:ascii="Calibri" w:cs="Calibri" w:eastAsia="Calibri" w:hAnsi="Calibri"/>
          <w:color w:val="2B3138"/>
          <w:sz w:val="21"/>
          <w:szCs w:val="21"/>
        </w:rPr>
        <w:t xml:space="preserve"> Over 1,000 students taught, more than 500 people trained to teach, and 20-plus teacher trainings and workshops across India, Singapore, Bali, China, Vietnam and Indonesia.</w:t>
      </w:r>
    </w:p>
    <w:p>
      <w:pPr>
        <w:pStyle w:val="ListParagraph"/>
        <w:numPr>
          <w:ilvl w:val="0"/>
          <w:numId w:val="1"/>
        </w:numPr>
        <w:spacing w:after="70" w:line="276"/>
      </w:pPr>
      <w:r>
        <w:rPr>
          <w:rFonts w:ascii="Calibri" w:cs="Calibri" w:eastAsia="Calibri" w:hAnsi="Calibri"/>
          <w:b/>
          <w:bCs/>
          <w:color w:val="15324B"/>
          <w:sz w:val="21"/>
          <w:szCs w:val="21"/>
        </w:rPr>
        <w:t xml:space="preserve">Honest about time and about limits.</w:t>
      </w:r>
      <w:r>
        <w:rPr>
          <w:rFonts w:ascii="Calibri" w:cs="Calibri" w:eastAsia="Calibri" w:hAnsi="Calibri"/>
          <w:color w:val="2B3138"/>
          <w:sz w:val="21"/>
          <w:szCs w:val="21"/>
        </w:rPr>
        <w:t xml:space="preserve"> No instant-relief claim, ever. Most people feel the first real change around the third session. Load-related knee pain resolves and arthritic knee pain is managed, and both are said out loud. In a market oversold by every device advertisement it has ever seen, that honesty converts.</w:t>
      </w:r>
    </w:p>
    <w:p>
      <w:pPr>
        <w:pageBreakBefore/>
        <w:spacing w:after="20" w:before="0"/>
      </w:pPr>
      <w:r>
        <w:rPr>
          <w:rFonts w:ascii="Georgia" w:cs="Georgia" w:eastAsia="Georgia" w:hAnsi="Georgia"/>
          <w:b/>
          <w:bCs/>
          <w:color w:val="A8703C"/>
          <w:sz w:val="44"/>
          <w:szCs w:val="44"/>
        </w:rPr>
        <w:t xml:space="preserve">4.</w:t>
      </w:r>
    </w:p>
    <w:p>
      <w:pPr>
        <w:pStyle w:val="Heading1"/>
        <w:pBdr>
          <w:bottom w:val="single" w:color="A8703C" w:sz="10" w:space="10"/>
        </w:pBdr>
        <w:spacing w:after="200"/>
      </w:pPr>
      <w:r>
        <w:rPr>
          <w:rFonts w:ascii="Georgia" w:cs="Georgia" w:eastAsia="Georgia" w:hAnsi="Georgia"/>
          <w:b/>
          <w:bCs/>
          <w:color w:val="15324B"/>
          <w:sz w:val="34"/>
          <w:szCs w:val="34"/>
        </w:rPr>
        <w:t xml:space="preserve">THE OFFER</w:t>
      </w:r>
    </w:p>
    <w:p>
      <w:pPr>
        <w:pStyle w:val="Heading2"/>
        <w:spacing w:after="130" w:before="300"/>
      </w:pPr>
      <w:r>
        <w:rPr>
          <w:rFonts w:ascii="Georgia" w:cs="Georgia" w:eastAsia="Georgia" w:hAnsi="Georgia"/>
          <w:b/>
          <w:bCs/>
          <w:color w:val="15324B"/>
          <w:sz w:val="25"/>
          <w:szCs w:val="25"/>
        </w:rPr>
        <w:t xml:space="preserve">The dream outcome</w:t>
      </w:r>
    </w:p>
    <w:p>
      <w:pPr>
        <w:spacing w:after="40"/>
      </w:pPr>
      <w: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15324B" w:sz="24"/>
              <w:bottom w:val="none" w:color="FFFFFF" w:sz="0"/>
              <w:right w:val="none" w:color="FFFFFF" w:sz="0"/>
            </w:tcBorders>
            <w:shd w:fill="F2F4F6" w:color="auto" w:val="clear"/>
            <w:tcMar>
              <w:top w:type="dxa" w:w="200"/>
              <w:left w:type="dxa" w:w="260"/>
              <w:bottom w:type="dxa" w:w="200"/>
              <w:right w:type="dxa" w:w="260"/>
            </w:tcMar>
          </w:tcPr>
          <w:p>
            <w:pPr>
              <w:spacing w:after="40" w:line="288"/>
            </w:pPr>
            <w:r>
              <w:rPr>
                <w:rFonts w:ascii="Calibri" w:cs="Calibri" w:eastAsia="Calibri" w:hAnsi="Calibri"/>
                <w:b/>
                <w:bCs/>
                <w:color w:val="15324B"/>
                <w:sz w:val="20"/>
                <w:szCs w:val="20"/>
              </w:rPr>
              <w:t xml:space="preserve">Getting through a full working day without your back deciding how it goes. Sleeping through the night in whatever position you feel like. Picking something up off the floor without a plan for how you will get back up. And knowing how to keep it that way, on your own, a year from now.</w:t>
            </w:r>
          </w:p>
        </w:tc>
      </w:tr>
    </w:tbl>
    <w:p>
      <w:pPr>
        <w:spacing w:after="80"/>
      </w:pPr>
      <w:r>
        <w:t xml:space="preserve"/>
      </w:r>
    </w:p>
    <w:p>
      <w:pPr>
        <w:spacing w:after="140" w:line="288"/>
        <w:jc w:val="left"/>
      </w:pPr>
      <w:r>
        <w:rPr>
          <w:rFonts w:ascii="Calibri" w:cs="Calibri" w:eastAsia="Calibri" w:hAnsi="Calibri"/>
          <w:color w:val="2B3138"/>
          <w:sz w:val="21"/>
          <w:szCs w:val="21"/>
        </w:rPr>
        <w:t xml:space="preserve">Not flexibility. Not wellness. Not yoga. The specific return of ordinary things this person has quietly stopped doing, plus the ability to hold onto them without needing anyone.</w:t>
      </w:r>
    </w:p>
    <w:p>
      <w:pPr>
        <w:pStyle w:val="Heading2"/>
        <w:spacing w:after="130" w:before="300"/>
      </w:pPr>
      <w:r>
        <w:rPr>
          <w:rFonts w:ascii="Georgia" w:cs="Georgia" w:eastAsia="Georgia" w:hAnsi="Georgia"/>
          <w:b/>
          <w:bCs/>
          <w:color w:val="15324B"/>
          <w:sz w:val="25"/>
          <w:szCs w:val="25"/>
        </w:rPr>
        <w:t xml:space="preserve">The two things being sold</w:t>
      </w:r>
    </w:p>
    <w:p>
      <w:pPr>
        <w:spacing w:after="60"/>
      </w:pPr>
      <w:r>
        <w:t xml:space="preserve"/>
      </w:r>
    </w:p>
    <w:tbl>
      <w:tblPr>
        <w:tblW w:type="dxa" w:w="9638"/>
        <w:tblBorders>
          <w:top w:val="single" w:color="D3D8DD" w:sz="4"/>
          <w:left w:val="single" w:color="D3D8DD" w:sz="4"/>
          <w:bottom w:val="single" w:color="D3D8DD" w:sz="4"/>
          <w:right w:val="single" w:color="D3D8DD" w:sz="4"/>
          <w:insideH w:val="single" w:color="D3D8DD" w:sz="4"/>
          <w:insideV w:val="single" w:color="D3D8DD" w:sz="4"/>
        </w:tblBorders>
      </w:tblPr>
      <w:tblGrid>
        <w:gridCol w:w="1700"/>
        <w:gridCol w:w="4000"/>
        <w:gridCol w:w="3938"/>
      </w:tblGrid>
      <w:tr>
        <w:trPr>
          <w:tblHeader/>
        </w:trPr>
        <w:tc>
          <w:tcPr>
            <w:tcW w:type="dxa" w:w="17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
            </w:r>
          </w:p>
        </w:tc>
        <w:tc>
          <w:tcPr>
            <w:tcW w:type="dxa" w:w="40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The 5-Day Pain Reset</w:t>
            </w:r>
          </w:p>
        </w:tc>
        <w:tc>
          <w:tcPr>
            <w:tcW w:type="dxa" w:w="3938"/>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The 6-Month Programme</w:t>
            </w:r>
          </w:p>
        </w:tc>
      </w:tr>
      <w:tr>
        <w:tc>
          <w:tcPr>
            <w:tcW w:type="dxa" w:w="17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Price</w:t>
            </w:r>
          </w:p>
        </w:tc>
        <w:tc>
          <w:tcPr>
            <w:tcW w:type="dxa" w:w="40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£6</w:t>
            </w:r>
          </w:p>
        </w:tc>
        <w:tc>
          <w:tcPr>
            <w:tcW w:type="dxa" w:w="3938"/>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£175</w:t>
            </w:r>
          </w:p>
        </w:tc>
      </w:tr>
      <w:tr>
        <w:tc>
          <w:tcPr>
            <w:tcW w:type="dxa" w:w="17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What it is</w:t>
            </w:r>
          </w:p>
        </w:tc>
        <w:tc>
          <w:tcPr>
            <w:tcW w:type="dxa" w:w="40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Four live sessions with Atul on Zoom across days one to four, plus the day five session. Back, neck and knee served in the same room through level and prop variations.</w:t>
            </w:r>
          </w:p>
        </w:tc>
        <w:tc>
          <w:tcPr>
            <w:tcW w:type="dxa" w:w="39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Live group sessions with Atul and his team over six months, twice daily so people can choose a time that fits a working life. Real-time correction, progressive loading, and the full Unload, Brace and Move arc.</w:t>
            </w:r>
          </w:p>
        </w:tc>
      </w:tr>
      <w:tr>
        <w:tc>
          <w:tcPr>
            <w:tcW w:type="dxa" w:w="17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Its job</w:t>
            </w:r>
          </w:p>
        </w:tc>
        <w:tc>
          <w:tcPr>
            <w:tcW w:type="dxa" w:w="40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To prove that movement is safe and that the method works, using the participant's own pain score as the evidence. It is not designed to make money.</w:t>
            </w:r>
          </w:p>
        </w:tc>
        <w:tc>
          <w:tcPr>
            <w:tcW w:type="dxa" w:w="39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To transfer the toolkit. This is where the money is and where the actual result happens.</w:t>
            </w:r>
          </w:p>
        </w:tc>
      </w:tr>
      <w:tr>
        <w:tc>
          <w:tcPr>
            <w:tcW w:type="dxa" w:w="17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Session times</w:t>
            </w:r>
          </w:p>
        </w:tc>
        <w:tc>
          <w:tcPr>
            <w:tcW w:type="dxa" w:w="40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Two per day, one morning and one evening, running the same content so a person picks one.</w:t>
            </w:r>
          </w:p>
        </w:tc>
        <w:tc>
          <w:tcPr>
            <w:tcW w:type="dxa" w:w="39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Two per day, same structure, so attendance survives a changing work schedule.</w:t>
            </w:r>
          </w:p>
        </w:tc>
      </w:tr>
      <w:tr>
        <w:tc>
          <w:tcPr>
            <w:tcW w:type="dxa" w:w="17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Guarantee</w:t>
            </w:r>
          </w:p>
        </w:tc>
        <w:tc>
          <w:tcPr>
            <w:tcW w:type="dxa" w:w="40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Come to day one. If it is not for you, tell us by the end of that day and we refund the £6 in full. Stated openly on the landing page.</w:t>
            </w:r>
          </w:p>
        </w:tc>
        <w:tc>
          <w:tcPr>
            <w:tcW w:type="dxa" w:w="39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Do the first thirty days. Turn up and do the practice. If nothing has changed in how it feels by day thirty, tell us and we return the full amount.</w:t>
            </w:r>
          </w:p>
        </w:tc>
      </w:tr>
      <w:tr>
        <w:tc>
          <w:tcPr>
            <w:tcW w:type="dxa" w:w="17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How it is paid</w:t>
            </w:r>
          </w:p>
        </w:tc>
        <w:tc>
          <w:tcPr>
            <w:tcW w:type="dxa" w:w="40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Card, at registration.</w:t>
            </w:r>
          </w:p>
        </w:tc>
        <w:tc>
          <w:tcPr>
            <w:tcW w:type="dxa" w:w="39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£25 refundable deposit on day five to hold a place. The balance is settled on the prescription call.</w:t>
            </w:r>
          </w:p>
        </w:tc>
      </w:tr>
    </w:tbl>
    <w:p>
      <w:pPr>
        <w:pStyle w:val="Heading2"/>
        <w:spacing w:after="130" w:before="300"/>
      </w:pPr>
      <w:r>
        <w:rPr>
          <w:rFonts w:ascii="Georgia" w:cs="Georgia" w:eastAsia="Georgia" w:hAnsi="Georgia"/>
          <w:b/>
          <w:bCs/>
          <w:color w:val="15324B"/>
          <w:sz w:val="25"/>
          <w:szCs w:val="25"/>
        </w:rPr>
        <w:t xml:space="preserve">Who it is for</w:t>
      </w:r>
    </w:p>
    <w:p>
      <w:pPr>
        <w:pStyle w:val="ListParagraph"/>
        <w:numPr>
          <w:ilvl w:val="0"/>
          <w:numId w:val="1"/>
        </w:numPr>
        <w:spacing w:after="70" w:line="276"/>
      </w:pPr>
      <w:r>
        <w:rPr>
          <w:rFonts w:ascii="Calibri" w:cs="Calibri" w:eastAsia="Calibri" w:hAnsi="Calibri"/>
          <w:color w:val="2B3138"/>
          <w:sz w:val="21"/>
          <w:szCs w:val="21"/>
        </w:rPr>
        <w:t xml:space="preserve">Adults 35 to 60 with persistent back, neck or knee pain that has been going on for months rather than days</w:t>
      </w:r>
    </w:p>
    <w:p>
      <w:pPr>
        <w:pStyle w:val="ListParagraph"/>
        <w:numPr>
          <w:ilvl w:val="0"/>
          <w:numId w:val="1"/>
        </w:numPr>
        <w:spacing w:after="70" w:line="276"/>
      </w:pPr>
      <w:r>
        <w:rPr>
          <w:rFonts w:ascii="Calibri" w:cs="Calibri" w:eastAsia="Calibri" w:hAnsi="Calibri"/>
          <w:color w:val="2B3138"/>
          <w:sz w:val="21"/>
          <w:szCs w:val="21"/>
        </w:rPr>
        <w:t xml:space="preserve">Desk-based or sedentary working life, hybrid or fully remote</w:t>
      </w:r>
    </w:p>
    <w:p>
      <w:pPr>
        <w:pStyle w:val="ListParagraph"/>
        <w:numPr>
          <w:ilvl w:val="0"/>
          <w:numId w:val="1"/>
        </w:numPr>
        <w:spacing w:after="70" w:line="276"/>
      </w:pPr>
      <w:r>
        <w:rPr>
          <w:rFonts w:ascii="Calibri" w:cs="Calibri" w:eastAsia="Calibri" w:hAnsi="Calibri"/>
          <w:color w:val="2B3138"/>
          <w:sz w:val="21"/>
          <w:szCs w:val="21"/>
        </w:rPr>
        <w:t xml:space="preserve">Have already tried physiotherapy, painkillers, a better chair or a stretch routine, and the problem came back</w:t>
      </w:r>
    </w:p>
    <w:p>
      <w:pPr>
        <w:pStyle w:val="ListParagraph"/>
        <w:numPr>
          <w:ilvl w:val="0"/>
          <w:numId w:val="1"/>
        </w:numPr>
        <w:spacing w:after="70" w:line="276"/>
      </w:pPr>
      <w:r>
        <w:rPr>
          <w:rFonts w:ascii="Calibri" w:cs="Calibri" w:eastAsia="Calibri" w:hAnsi="Calibri"/>
          <w:color w:val="2B3138"/>
          <w:sz w:val="21"/>
          <w:szCs w:val="21"/>
        </w:rPr>
        <w:t xml:space="preserve">Willing to do twenty to thirty minutes most days and to stay consistent for months rather than weeks</w:t>
      </w:r>
    </w:p>
    <w:p>
      <w:pPr>
        <w:pStyle w:val="ListParagraph"/>
        <w:numPr>
          <w:ilvl w:val="0"/>
          <w:numId w:val="1"/>
        </w:numPr>
        <w:spacing w:after="70" w:line="276"/>
      </w:pPr>
      <w:r>
        <w:rPr>
          <w:rFonts w:ascii="Calibri" w:cs="Calibri" w:eastAsia="Calibri" w:hAnsi="Calibri"/>
          <w:color w:val="2B3138"/>
          <w:sz w:val="21"/>
          <w:szCs w:val="21"/>
        </w:rPr>
        <w:t xml:space="preserve">Want the toolkit to manage it themselves, rather than to keep paying someone else to manage it for them</w:t>
      </w:r>
    </w:p>
    <w:p>
      <w:pPr>
        <w:pStyle w:val="Heading2"/>
        <w:spacing w:after="130" w:before="300"/>
      </w:pPr>
      <w:r>
        <w:rPr>
          <w:rFonts w:ascii="Georgia" w:cs="Georgia" w:eastAsia="Georgia" w:hAnsi="Georgia"/>
          <w:b/>
          <w:bCs/>
          <w:color w:val="15324B"/>
          <w:sz w:val="25"/>
          <w:szCs w:val="25"/>
        </w:rPr>
        <w:t xml:space="preserve">Who it is not for</w:t>
      </w:r>
    </w:p>
    <w:p>
      <w:pPr>
        <w:pStyle w:val="ListParagraph"/>
        <w:numPr>
          <w:ilvl w:val="0"/>
          <w:numId w:val="1"/>
        </w:numPr>
        <w:spacing w:after="70" w:line="276"/>
      </w:pPr>
      <w:r>
        <w:rPr>
          <w:rFonts w:ascii="Calibri" w:cs="Calibri" w:eastAsia="Calibri" w:hAnsi="Calibri"/>
          <w:color w:val="2B3138"/>
          <w:sz w:val="21"/>
          <w:szCs w:val="21"/>
        </w:rPr>
        <w:t xml:space="preserve">Anyone in acute post-injury or post-surgical recovery who has not been cleared to move. Refer out honestly.</w:t>
      </w:r>
    </w:p>
    <w:p>
      <w:pPr>
        <w:pStyle w:val="ListParagraph"/>
        <w:numPr>
          <w:ilvl w:val="0"/>
          <w:numId w:val="1"/>
        </w:numPr>
        <w:spacing w:after="70" w:line="276"/>
      </w:pPr>
      <w:r>
        <w:rPr>
          <w:rFonts w:ascii="Calibri" w:cs="Calibri" w:eastAsia="Calibri" w:hAnsi="Calibri"/>
          <w:color w:val="2B3138"/>
          <w:sz w:val="21"/>
          <w:szCs w:val="21"/>
        </w:rPr>
        <w:t xml:space="preserve">Anyone with a diagnosed condition where movement is contraindicated by their clinician. Their doctor decides, not us.</w:t>
      </w:r>
    </w:p>
    <w:p>
      <w:pPr>
        <w:pStyle w:val="ListParagraph"/>
        <w:numPr>
          <w:ilvl w:val="0"/>
          <w:numId w:val="1"/>
        </w:numPr>
        <w:spacing w:after="70" w:line="276"/>
      </w:pPr>
      <w:r>
        <w:rPr>
          <w:rFonts w:ascii="Calibri" w:cs="Calibri" w:eastAsia="Calibri" w:hAnsi="Calibri"/>
          <w:color w:val="2B3138"/>
          <w:sz w:val="21"/>
          <w:szCs w:val="21"/>
        </w:rPr>
        <w:t xml:space="preserve">Anyone looking for relief this week. Say it plainly on the landing page and again on day one. Setting this expectation correctly is worth more in retention than it costs in registrations.</w:t>
      </w:r>
    </w:p>
    <w:p>
      <w:pPr>
        <w:pStyle w:val="ListParagraph"/>
        <w:numPr>
          <w:ilvl w:val="0"/>
          <w:numId w:val="1"/>
        </w:numPr>
        <w:spacing w:after="70" w:line="276"/>
      </w:pPr>
      <w:r>
        <w:rPr>
          <w:rFonts w:ascii="Calibri" w:cs="Calibri" w:eastAsia="Calibri" w:hAnsi="Calibri"/>
          <w:color w:val="2B3138"/>
          <w:sz w:val="21"/>
          <w:szCs w:val="21"/>
        </w:rPr>
        <w:t xml:space="preserve">Anyone who needs a fully personalised rehabilitation plan. That is what the one-to-one track exists for, and it is only ever discussed on the prescription call.</w:t>
      </w:r>
    </w:p>
    <w:p>
      <w:pPr>
        <w:spacing w:after="40"/>
      </w:pPr>
      <w:r>
        <w:t xml:space="preserve"/>
      </w:r>
    </w:p>
    <w:p>
      <w:pPr>
        <w:spacing w:after="140" w:line="288"/>
        <w:jc w:val="left"/>
      </w:pPr>
      <w:r>
        <w:rPr>
          <w:rFonts w:ascii="Calibri" w:cs="Calibri" w:eastAsia="Calibri" w:hAnsi="Calibri"/>
          <w:color w:val="2B3138"/>
          <w:sz w:val="21"/>
          <w:szCs w:val="21"/>
        </w:rPr>
        <w:t xml:space="preserve">Disqualifying properly is a trust asset in this market, and it is a compliance asset as well.</w:t>
      </w:r>
    </w:p>
    <w:p>
      <w:pPr>
        <w:pStyle w:val="Heading2"/>
        <w:spacing w:after="130" w:before="300"/>
      </w:pPr>
      <w:r>
        <w:rPr>
          <w:rFonts w:ascii="Georgia" w:cs="Georgia" w:eastAsia="Georgia" w:hAnsi="Georgia"/>
          <w:b/>
          <w:bCs/>
          <w:color w:val="15324B"/>
          <w:sz w:val="25"/>
          <w:szCs w:val="25"/>
        </w:rPr>
        <w:t xml:space="preserve">Why the recorded library is not in the offer</w:t>
      </w:r>
    </w:p>
    <w:p>
      <w:pPr>
        <w:spacing w:after="140" w:line="288"/>
        <w:jc w:val="left"/>
      </w:pPr>
      <w:r>
        <w:rPr>
          <w:rFonts w:ascii="Calibri" w:cs="Calibri" w:eastAsia="Calibri" w:hAnsi="Calibri"/>
          <w:color w:val="2B3138"/>
          <w:sz w:val="21"/>
          <w:szCs w:val="21"/>
        </w:rPr>
        <w:t xml:space="preserve">SuperMe already holds around 250 hours of recorded practice. It is deliberately not bundled into this programme, and the reason is clinical rather than commercial.</w:t>
      </w:r>
    </w:p>
    <w:p>
      <w:pPr>
        <w:spacing w:after="140" w:line="288"/>
        <w:jc w:val="left"/>
      </w:pPr>
      <w:r>
        <w:rPr>
          <w:rFonts w:ascii="Calibri" w:cs="Calibri" w:eastAsia="Calibri" w:hAnsi="Calibri"/>
          <w:color w:val="2B3138"/>
          <w:sz w:val="21"/>
          <w:szCs w:val="21"/>
        </w:rPr>
        <w:t xml:space="preserve">Recorded content is unsupervised by definition. Someone with an irritated lumbar spine or an arthritic knee following a general recorded class, with nobody watching how they move and nothing adapted to what their body is currently doing, is exactly the situation the method exists to prevent. Handing it over as a free bonus on day one would contradict the whole argument the advertising makes.</w:t>
      </w:r>
    </w:p>
    <w:p>
      <w:pPr>
        <w:spacing w:after="140" w:line="288"/>
        <w:jc w:val="left"/>
      </w:pPr>
      <w:r>
        <w:rPr>
          <w:rFonts w:ascii="Calibri" w:cs="Calibri" w:eastAsia="Calibri" w:hAnsi="Calibri"/>
          <w:color w:val="2B3138"/>
          <w:sz w:val="21"/>
          <w:szCs w:val="21"/>
        </w:rPr>
        <w:t xml:space="preserve">It has a place, and the place is later. Once someone has come through the live programme, knows what to do and what to avoid, and has the toolkit, recorded practice becomes a genuinely useful and much cheaper way to keep going. It sits as a continuation offer at the end of the six months, or as an option on the prescription call for someone whose budget or schedule will not support live attendance. Not as a bonus at the front.</w:t>
      </w:r>
    </w:p>
    <w:p>
      <w:pPr>
        <w:pStyle w:val="Heading2"/>
        <w:spacing w:after="130" w:before="300"/>
      </w:pPr>
      <w:r>
        <w:rPr>
          <w:rFonts w:ascii="Georgia" w:cs="Georgia" w:eastAsia="Georgia" w:hAnsi="Georgia"/>
          <w:b/>
          <w:bCs/>
          <w:color w:val="15324B"/>
          <w:sz w:val="25"/>
          <w:szCs w:val="25"/>
        </w:rPr>
        <w:t xml:space="preserve">The Grand Slam Offer read</w:t>
      </w:r>
    </w:p>
    <w:p>
      <w:pPr>
        <w:spacing w:after="60"/>
      </w:pPr>
      <w:r>
        <w:t xml:space="preserve"/>
      </w:r>
    </w:p>
    <w:tbl>
      <w:tblPr>
        <w:tblW w:type="dxa" w:w="9638"/>
        <w:tblBorders>
          <w:top w:val="single" w:color="D3D8DD" w:sz="4"/>
          <w:left w:val="single" w:color="D3D8DD" w:sz="4"/>
          <w:bottom w:val="single" w:color="D3D8DD" w:sz="4"/>
          <w:right w:val="single" w:color="D3D8DD" w:sz="4"/>
          <w:insideH w:val="single" w:color="D3D8DD" w:sz="4"/>
          <w:insideV w:val="single" w:color="D3D8DD" w:sz="4"/>
        </w:tblBorders>
      </w:tblPr>
      <w:tblGrid>
        <w:gridCol w:w="2200"/>
        <w:gridCol w:w="7438"/>
      </w:tblGrid>
      <w:tr>
        <w:trPr>
          <w:tblHeader/>
        </w:trPr>
        <w:tc>
          <w:tcPr>
            <w:tcW w:type="dxa" w:w="22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Element</w:t>
            </w:r>
          </w:p>
        </w:tc>
        <w:tc>
          <w:tcPr>
            <w:tcW w:type="dxa" w:w="7438"/>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Where it stands</w:t>
            </w:r>
          </w:p>
        </w:tc>
      </w:tr>
      <w:tr>
        <w:tc>
          <w:tcPr>
            <w:tcW w:type="dxa" w:w="22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Dream Outcome</w:t>
            </w:r>
          </w:p>
        </w:tc>
        <w:tc>
          <w:tcPr>
            <w:tcW w:type="dxa" w:w="7438"/>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Strong.</w:t>
            </w:r>
            <w:r>
              <w:rPr>
                <w:rFonts w:ascii="Calibri" w:cs="Calibri" w:eastAsia="Calibri" w:hAnsi="Calibri"/>
                <w:color w:val="2B3138"/>
                <w:sz w:val="19"/>
                <w:szCs w:val="19"/>
              </w:rPr>
              <w:t xml:space="preserve"> Ordinary movement returned, plus the ability to keep it. Restorative rather than aspirational, which is easier to sell and harder to dismiss.</w:t>
            </w:r>
          </w:p>
        </w:tc>
      </w:tr>
      <w:tr>
        <w:tc>
          <w:tcPr>
            <w:tcW w:type="dxa" w:w="22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Perceived Likelihood</w:t>
            </w:r>
          </w:p>
        </w:tc>
        <w:tc>
          <w:tcPr>
            <w:tcW w:type="dxa" w:w="74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The binding constraint, and the reason for every design decision in this document.</w:t>
            </w:r>
            <w:r>
              <w:rPr>
                <w:rFonts w:ascii="Calibri" w:cs="Calibri" w:eastAsia="Calibri" w:hAnsi="Calibri"/>
                <w:color w:val="2B3138"/>
                <w:sz w:val="19"/>
                <w:szCs w:val="19"/>
              </w:rPr>
              <w:t xml:space="preserve"> Addressed by the named mechanism, by the four-day belief ladder, by the participant's own pain score as evidence, by real case studies with real timelines, and by the honesty about limits.</w:t>
            </w:r>
          </w:p>
        </w:tc>
      </w:tr>
      <w:tr>
        <w:tc>
          <w:tcPr>
            <w:tcW w:type="dxa" w:w="22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Time Delay</w:t>
            </w:r>
          </w:p>
        </w:tc>
        <w:tc>
          <w:tcPr>
            <w:tcW w:type="dxa" w:w="7438"/>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Long and honest.</w:t>
            </w:r>
            <w:r>
              <w:rPr>
                <w:rFonts w:ascii="Calibri" w:cs="Calibri" w:eastAsia="Calibri" w:hAnsi="Calibri"/>
                <w:color w:val="2B3138"/>
                <w:sz w:val="19"/>
                <w:szCs w:val="19"/>
              </w:rPr>
              <w:t xml:space="preserve"> First real change around the third session. Morning stiffness meaningfully better at three weeks. A full working day at eight. It cannot be shortened without lying, so it is staged instead, with something observable inside the first four days.</w:t>
            </w:r>
          </w:p>
        </w:tc>
      </w:tr>
      <w:tr>
        <w:tc>
          <w:tcPr>
            <w:tcW w:type="dxa" w:w="22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Effort and Sacrifice</w:t>
            </w:r>
          </w:p>
        </w:tc>
        <w:tc>
          <w:tcPr>
            <w:tcW w:type="dxa" w:w="74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Strong.</w:t>
            </w:r>
            <w:r>
              <w:rPr>
                <w:rFonts w:ascii="Calibri" w:cs="Calibri" w:eastAsia="Calibri" w:hAnsi="Calibri"/>
                <w:color w:val="2B3138"/>
                <w:sz w:val="19"/>
                <w:szCs w:val="19"/>
              </w:rPr>
              <w:t xml:space="preserve"> Twenty to thirty minutes most days. No diet, no equipment beyond a mat and a couple of props, nothing to give up, and it is done at home. Two session times a day removes the scheduling excuse, which is the real sacrifice for this buyer.</w:t>
            </w:r>
          </w:p>
        </w:tc>
      </w:tr>
      <w:tr>
        <w:tc>
          <w:tcPr>
            <w:tcW w:type="dxa" w:w="22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Risk reversal</w:t>
            </w:r>
          </w:p>
        </w:tc>
        <w:tc>
          <w:tcPr>
            <w:tcW w:type="dxa" w:w="7438"/>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Covered at both ends.</w:t>
            </w:r>
            <w:r>
              <w:rPr>
                <w:rFonts w:ascii="Calibri" w:cs="Calibri" w:eastAsia="Calibri" w:hAnsi="Calibri"/>
                <w:color w:val="2B3138"/>
                <w:sz w:val="19"/>
                <w:szCs w:val="19"/>
              </w:rPr>
              <w:t xml:space="preserve"> £6 back if day one is not for them. Full refund at thirty days on the programme if nothing has changed and they did the work. For an offer constrained by belief, this is the highest-leverage lever available, and it costs little: the comparable Indian account sees refund redemption run under two per cent.</w:t>
            </w:r>
          </w:p>
        </w:tc>
      </w:tr>
      <w:tr>
        <w:tc>
          <w:tcPr>
            <w:tcW w:type="dxa" w:w="22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Scarcity</w:t>
            </w:r>
          </w:p>
        </w:tc>
        <w:tc>
          <w:tcPr>
            <w:tcW w:type="dxa" w:w="74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Real, not manufactured.</w:t>
            </w:r>
            <w:r>
              <w:rPr>
                <w:rFonts w:ascii="Calibri" w:cs="Calibri" w:eastAsia="Calibri" w:hAnsi="Calibri"/>
                <w:color w:val="2B3138"/>
                <w:sz w:val="19"/>
                <w:szCs w:val="19"/>
              </w:rPr>
              <w:t xml:space="preserve"> The cohort starts on a fixed date, group sizes are capped so correction is possible, and there is one lead coach. That is stated plainly. No countdown timers, no seat counters, no price rise that will not happen.</w:t>
            </w:r>
          </w:p>
        </w:tc>
      </w:tr>
      <w:tr>
        <w:tc>
          <w:tcPr>
            <w:tcW w:type="dxa" w:w="22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Naming</w:t>
            </w:r>
          </w:p>
        </w:tc>
        <w:tc>
          <w:tcPr>
            <w:tcW w:type="dxa" w:w="7438"/>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Done.</w:t>
            </w:r>
            <w:r>
              <w:rPr>
                <w:rFonts w:ascii="Calibri" w:cs="Calibri" w:eastAsia="Calibri" w:hAnsi="Calibri"/>
                <w:color w:val="2B3138"/>
                <w:sz w:val="19"/>
                <w:szCs w:val="19"/>
              </w:rPr>
              <w:t xml:space="preserve"> The 5-Day Pain Reset at the front. The Inner Brace Method underneath it, with Unload, Brace and Move as the phases.</w:t>
            </w:r>
          </w:p>
        </w:tc>
      </w:tr>
    </w:tbl>
    <w:p>
      <w:pPr>
        <w:pStyle w:val="Heading2"/>
        <w:spacing w:after="130" w:before="300"/>
      </w:pPr>
      <w:r>
        <w:rPr>
          <w:rFonts w:ascii="Georgia" w:cs="Georgia" w:eastAsia="Georgia" w:hAnsi="Georgia"/>
          <w:b/>
          <w:bCs/>
          <w:color w:val="15324B"/>
          <w:sz w:val="25"/>
          <w:szCs w:val="25"/>
        </w:rPr>
        <w:t xml:space="preserve">The proof ladder</w:t>
      </w:r>
    </w:p>
    <w:p>
      <w:pPr>
        <w:spacing w:after="140" w:line="288"/>
        <w:jc w:val="left"/>
      </w:pPr>
      <w:r>
        <w:rPr>
          <w:rFonts w:ascii="Calibri" w:cs="Calibri" w:eastAsia="Calibri" w:hAnsi="Calibri"/>
          <w:color w:val="2B3138"/>
          <w:sz w:val="21"/>
          <w:szCs w:val="21"/>
        </w:rPr>
        <w:t xml:space="preserve">Every rung comes from a real case file and nothing is rounded. This table does two jobs: it justifies a six-month term without any pressure, and it shows exactly where the proof still needs filling.</w:t>
      </w:r>
    </w:p>
    <w:p>
      <w:pPr>
        <w:spacing w:after="60"/>
      </w:pPr>
      <w:r>
        <w:t xml:space="preserve"/>
      </w:r>
    </w:p>
    <w:tbl>
      <w:tblPr>
        <w:tblW w:type="dxa" w:w="9638"/>
        <w:tblBorders>
          <w:top w:val="single" w:color="D3D8DD" w:sz="4"/>
          <w:left w:val="single" w:color="D3D8DD" w:sz="4"/>
          <w:bottom w:val="single" w:color="D3D8DD" w:sz="4"/>
          <w:right w:val="single" w:color="D3D8DD" w:sz="4"/>
          <w:insideH w:val="single" w:color="D3D8DD" w:sz="4"/>
          <w:insideV w:val="single" w:color="D3D8DD" w:sz="4"/>
        </w:tblBorders>
      </w:tblPr>
      <w:tblGrid>
        <w:gridCol w:w="1900"/>
        <w:gridCol w:w="3300"/>
        <w:gridCol w:w="1700"/>
        <w:gridCol w:w="2738"/>
      </w:tblGrid>
      <w:tr>
        <w:trPr>
          <w:tblHeader/>
        </w:trPr>
        <w:tc>
          <w:tcPr>
            <w:tcW w:type="dxa" w:w="19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When</w:t>
            </w:r>
          </w:p>
        </w:tc>
        <w:tc>
          <w:tcPr>
            <w:tcW w:type="dxa" w:w="33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Back</w:t>
            </w:r>
          </w:p>
        </w:tc>
        <w:tc>
          <w:tcPr>
            <w:tcW w:type="dxa" w:w="17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Neck</w:t>
            </w:r>
          </w:p>
        </w:tc>
        <w:tc>
          <w:tcPr>
            <w:tcW w:type="dxa" w:w="2738"/>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Knee</w:t>
            </w:r>
          </w:p>
        </w:tc>
      </w:tr>
      <w:tr>
        <w:tc>
          <w:tcPr>
            <w:tcW w:type="dxa" w:w="19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Sessions 1 to 2</w:t>
            </w:r>
          </w:p>
        </w:tc>
        <w:tc>
          <w:tcPr>
            <w:tcW w:type="dxa" w:w="33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Nothing hurts more. Something feels looser for a few hours.</w:t>
            </w:r>
          </w:p>
        </w:tc>
        <w:tc>
          <w:tcPr>
            <w:tcW w:type="dxa" w:w="17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As back</w:t>
            </w:r>
          </w:p>
        </w:tc>
        <w:tc>
          <w:tcPr>
            <w:tcW w:type="dxa" w:w="27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As back</w:t>
            </w:r>
          </w:p>
        </w:tc>
      </w:tr>
      <w:tr>
        <w:tc>
          <w:tcPr>
            <w:tcW w:type="dxa" w:w="19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Sessions 3 to 4</w:t>
            </w:r>
          </w:p>
        </w:tc>
        <w:tc>
          <w:tcPr>
            <w:tcW w:type="dxa" w:w="33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First real change, usually morning stiffness</w:t>
            </w:r>
          </w:p>
        </w:tc>
        <w:tc>
          <w:tcPr>
            <w:tcW w:type="dxa" w:w="17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First real change, usually rotation range</w:t>
            </w:r>
          </w:p>
        </w:tc>
        <w:tc>
          <w:tcPr>
            <w:tcW w:type="dxa" w:w="27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First real change, usually less ache at rest</w:t>
            </w:r>
          </w:p>
        </w:tc>
      </w:tr>
      <w:tr>
        <w:tc>
          <w:tcPr>
            <w:tcW w:type="dxa" w:w="19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3 weeks, 8 sessions</w:t>
            </w:r>
          </w:p>
        </w:tc>
        <w:tc>
          <w:tcPr>
            <w:tcW w:type="dxa" w:w="33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Significant reduction in morning stiffness</w:t>
            </w:r>
            <w:r>
              <w:rPr>
                <w:rFonts w:ascii="Calibri" w:cs="Calibri" w:eastAsia="Calibri" w:hAnsi="Calibri"/>
                <w:color w:val="2B3138"/>
                <w:sz w:val="19"/>
                <w:szCs w:val="19"/>
              </w:rPr>
              <w:t xml:space="preserve"> (male client, 42, software engineer)</w:t>
            </w:r>
          </w:p>
        </w:tc>
        <w:tc>
          <w:tcPr>
            <w:tcW w:type="dxa" w:w="17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Reduced headaches and restored neck and shoulder range</w:t>
            </w:r>
            <w:r>
              <w:rPr>
                <w:rFonts w:ascii="Calibri" w:cs="Calibri" w:eastAsia="Calibri" w:hAnsi="Calibri"/>
                <w:color w:val="2B3138"/>
                <w:sz w:val="19"/>
                <w:szCs w:val="19"/>
              </w:rPr>
              <w:t xml:space="preserve"> (female client, corporate professional)</w:t>
            </w:r>
          </w:p>
        </w:tc>
        <w:tc>
          <w:tcPr>
            <w:tcW w:type="dxa" w:w="27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Too early</w:t>
            </w:r>
          </w:p>
        </w:tc>
      </w:tr>
      <w:tr>
        <w:tc>
          <w:tcPr>
            <w:tcW w:type="dxa" w:w="19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4 weeks, 8 sessions</w:t>
            </w:r>
          </w:p>
        </w:tc>
        <w:tc>
          <w:tcPr>
            <w:tcW w:type="dxa" w:w="33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Noticeably lighter through hips, hamstrings and shoulders</w:t>
            </w:r>
            <w:r>
              <w:rPr>
                <w:rFonts w:ascii="Calibri" w:cs="Calibri" w:eastAsia="Calibri" w:hAnsi="Calibri"/>
                <w:color w:val="2B3138"/>
                <w:sz w:val="19"/>
                <w:szCs w:val="19"/>
              </w:rPr>
              <w:t xml:space="preserve"> (female client, 45, executive)</w:t>
            </w:r>
          </w:p>
        </w:tc>
        <w:tc>
          <w:tcPr>
            <w:tcW w:type="dxa" w:w="17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Continued easing</w:t>
            </w:r>
          </w:p>
        </w:tc>
        <w:tc>
          <w:tcPr>
            <w:tcW w:type="dxa" w:w="27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Too early</w:t>
            </w:r>
          </w:p>
        </w:tc>
      </w:tr>
      <w:tr>
        <w:tc>
          <w:tcPr>
            <w:tcW w:type="dxa" w:w="19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5 weeks, 12 sessions</w:t>
            </w:r>
          </w:p>
        </w:tc>
        <w:tc>
          <w:tcPr>
            <w:tcW w:type="dxa" w:w="33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Continued strengthening</w:t>
            </w:r>
          </w:p>
        </w:tc>
        <w:tc>
          <w:tcPr>
            <w:tcW w:type="dxa" w:w="17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Shoulders lighter, overhead movement restored</w:t>
            </w:r>
            <w:r>
              <w:rPr>
                <w:rFonts w:ascii="Calibri" w:cs="Calibri" w:eastAsia="Calibri" w:hAnsi="Calibri"/>
                <w:color w:val="2B3138"/>
                <w:sz w:val="19"/>
                <w:szCs w:val="19"/>
              </w:rPr>
              <w:t xml:space="preserve"> (male client, long-term weight training)</w:t>
            </w:r>
          </w:p>
        </w:tc>
        <w:tc>
          <w:tcPr>
            <w:tcW w:type="dxa" w:w="27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Load-related cases begin to shift</w:t>
            </w:r>
          </w:p>
        </w:tc>
      </w:tr>
      <w:tr>
        <w:tc>
          <w:tcPr>
            <w:tcW w:type="dxa" w:w="19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6 to 8 weeks</w:t>
            </w:r>
          </w:p>
        </w:tc>
        <w:tc>
          <w:tcPr>
            <w:tcW w:type="dxa" w:w="33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A complete working day, seated, without pain</w:t>
            </w:r>
            <w:r>
              <w:rPr>
                <w:rFonts w:ascii="Calibri" w:cs="Calibri" w:eastAsia="Calibri" w:hAnsi="Calibri"/>
                <w:color w:val="2B3138"/>
                <w:sz w:val="19"/>
                <w:szCs w:val="19"/>
              </w:rPr>
              <w:t xml:space="preserve"> (male client, 42). Visible strength and posture improvement at 15 sessions (client, 29)</w:t>
            </w:r>
          </w:p>
        </w:tc>
        <w:tc>
          <w:tcPr>
            <w:tcW w:type="dxa" w:w="17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Short daily practice now self-managed, with sustained energy through the working day</w:t>
            </w:r>
          </w:p>
        </w:tc>
        <w:tc>
          <w:tcPr>
            <w:tcW w:type="dxa" w:w="27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Continued strengthening</w:t>
            </w:r>
          </w:p>
        </w:tc>
      </w:tr>
      <w:tr>
        <w:tc>
          <w:tcPr>
            <w:tcW w:type="dxa" w:w="19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12 weeks</w:t>
            </w:r>
          </w:p>
        </w:tc>
        <w:tc>
          <w:tcPr>
            <w:tcW w:type="dxa" w:w="33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Full comfortable mobility across the major joints</w:t>
            </w:r>
            <w:r>
              <w:rPr>
                <w:rFonts w:ascii="Calibri" w:cs="Calibri" w:eastAsia="Calibri" w:hAnsi="Calibri"/>
                <w:color w:val="2B3138"/>
                <w:sz w:val="19"/>
                <w:szCs w:val="19"/>
              </w:rPr>
              <w:t xml:space="preserve"> (female client, 45)</w:t>
            </w:r>
          </w:p>
        </w:tc>
        <w:tc>
          <w:tcPr>
            <w:tcW w:type="dxa" w:w="17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Consolidation and self-management</w:t>
            </w:r>
          </w:p>
        </w:tc>
        <w:tc>
          <w:tcPr>
            <w:tcW w:type="dxa" w:w="2738"/>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First real decrease in pain on stairs</w:t>
            </w:r>
            <w:r>
              <w:rPr>
                <w:rFonts w:ascii="Calibri" w:cs="Calibri" w:eastAsia="Calibri" w:hAnsi="Calibri"/>
                <w:color w:val="2B3138"/>
                <w:sz w:val="19"/>
                <w:szCs w:val="19"/>
              </w:rPr>
              <w:t xml:space="preserve">, at 24 sessions (female client, 40)</w:t>
            </w:r>
          </w:p>
        </w:tc>
      </w:tr>
      <w:tr>
        <w:tc>
          <w:tcPr>
            <w:tcW w:type="dxa" w:w="19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18 to 26 weeks</w:t>
            </w:r>
          </w:p>
        </w:tc>
        <w:tc>
          <w:tcPr>
            <w:tcW w:type="dxa" w:w="33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Consolidation and self-management</w:t>
            </w:r>
          </w:p>
        </w:tc>
        <w:tc>
          <w:tcPr>
            <w:tcW w:type="dxa" w:w="17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Consolidation</w:t>
            </w:r>
          </w:p>
        </w:tc>
        <w:tc>
          <w:tcPr>
            <w:tcW w:type="dxa" w:w="27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Functional stability restored.</w:t>
            </w:r>
            <w:r>
              <w:rPr>
                <w:rFonts w:ascii="Calibri" w:cs="Calibri" w:eastAsia="Calibri" w:hAnsi="Calibri"/>
                <w:color w:val="2B3138"/>
                <w:sz w:val="19"/>
                <w:szCs w:val="19"/>
              </w:rPr>
              <w:t xml:space="preserve"> Squatting and floor work without pain (female client, 40)</w:t>
            </w:r>
          </w:p>
        </w:tc>
      </w:tr>
    </w:tbl>
    <w:p>
      <w:pPr>
        <w:pStyle w:val="Heading2"/>
        <w:spacing w:after="130" w:before="300"/>
      </w:pPr>
      <w:r>
        <w:rPr>
          <w:rFonts w:ascii="Georgia" w:cs="Georgia" w:eastAsia="Georgia" w:hAnsi="Georgia"/>
          <w:b/>
          <w:bCs/>
          <w:color w:val="15324B"/>
          <w:sz w:val="25"/>
          <w:szCs w:val="25"/>
        </w:rPr>
        <w:t xml:space="preserve">Proof inventory and how it gets built</w:t>
      </w:r>
    </w:p>
    <w:p>
      <w:pPr>
        <w:pStyle w:val="Heading3"/>
        <w:spacing w:after="90" w:before="220"/>
      </w:pPr>
      <w:r>
        <w:rPr>
          <w:rFonts w:ascii="Calibri" w:cs="Calibri" w:eastAsia="Calibri" w:hAnsi="Calibri"/>
          <w:b/>
          <w:bCs/>
          <w:color w:val="A8703C"/>
          <w:sz w:val="22"/>
          <w:szCs w:val="22"/>
        </w:rPr>
        <w:t xml:space="preserve">Hero.  The back case.  Male, 42, software engineer.</w:t>
      </w:r>
    </w:p>
    <w:p>
      <w:pPr>
        <w:spacing w:after="140" w:line="288"/>
        <w:jc w:val="left"/>
      </w:pPr>
      <w:r>
        <w:rPr>
          <w:rFonts w:ascii="Calibri" w:cs="Calibri" w:eastAsia="Calibri" w:hAnsi="Calibri"/>
          <w:color w:val="2B3138"/>
          <w:sz w:val="21"/>
          <w:szCs w:val="21"/>
        </w:rPr>
        <w:t xml:space="preserve">The most important asset in the file, because he is the buyer almost exactly. Nine-plus hours a day seated. Forward head tilt, compressed lumbar vertebrae, stiffness disrupting his sleep. Three weeks to reduced morning stiffness, eight weeks to a full working day seated without pain, and now a daily twenty-minute routine and weekend running. He is productised first, and he carries the primary ad angle, the landing page proof block and the day four proof segment.</w:t>
      </w:r>
    </w:p>
    <w:p>
      <w:pPr>
        <w:pStyle w:val="Heading3"/>
        <w:spacing w:after="90" w:before="220"/>
      </w:pPr>
      <w:r>
        <w:rPr>
          <w:rFonts w:ascii="Calibri" w:cs="Calibri" w:eastAsia="Calibri" w:hAnsi="Calibri"/>
          <w:b/>
          <w:bCs/>
          <w:color w:val="A8703C"/>
          <w:sz w:val="22"/>
          <w:szCs w:val="22"/>
        </w:rPr>
        <w:t xml:space="preserve">Strong secondary.  The mobility case.  Female, 45, corporate executive.</w:t>
      </w:r>
    </w:p>
    <w:p>
      <w:pPr>
        <w:spacing w:after="140" w:line="288"/>
        <w:jc w:val="left"/>
      </w:pPr>
      <w:r>
        <w:rPr>
          <w:rFonts w:ascii="Calibri" w:cs="Calibri" w:eastAsia="Calibri" w:hAnsi="Calibri"/>
          <w:color w:val="2B3138"/>
          <w:sz w:val="21"/>
          <w:szCs w:val="21"/>
        </w:rPr>
        <w:t xml:space="preserve">High-stress corporate work, no active stretching, hamstrings, hips and shoulders locked up. Four weeks to feeling lighter, twelve weeks to full mobility, and she now touches her toes with flat palms and uses breath work to manage work stress. Not a pain case, so not a primary ad angle, but excellent for the desk-body content pillar and it broadens the audience beyond acute pain.</w:t>
      </w:r>
    </w:p>
    <w:p>
      <w:pPr>
        <w:pStyle w:val="Heading3"/>
        <w:spacing w:after="90" w:before="220"/>
      </w:pPr>
      <w:r>
        <w:rPr>
          <w:rFonts w:ascii="Calibri" w:cs="Calibri" w:eastAsia="Calibri" w:hAnsi="Calibri"/>
          <w:b/>
          <w:bCs/>
          <w:color w:val="A8703C"/>
          <w:sz w:val="22"/>
          <w:szCs w:val="22"/>
        </w:rPr>
        <w:t xml:space="preserve">The knee case.  Female, 40.</w:t>
      </w:r>
    </w:p>
    <w:p>
      <w:pPr>
        <w:spacing w:after="140" w:line="288"/>
        <w:jc w:val="left"/>
      </w:pPr>
      <w:r>
        <w:rPr>
          <w:rFonts w:ascii="Calibri" w:cs="Calibri" w:eastAsia="Calibri" w:hAnsi="Calibri"/>
          <w:color w:val="2B3138"/>
          <w:sz w:val="21"/>
          <w:szCs w:val="21"/>
        </w:rPr>
        <w:t xml:space="preserve">Weak quadriceps, tight IT bands, poor weight distribution, stairs and floor sitting becoming difficult. Twelve weeks to first relief, eighteen to twenty to functional stability, and she now walks upstairs effortlessly and takes full group classes without modifications. Told with its real timeline, it is the clearest illustration of why the programme is six months.</w:t>
      </w:r>
    </w:p>
    <w:p>
      <w:pPr>
        <w:pStyle w:val="Heading3"/>
        <w:spacing w:after="90" w:before="220"/>
      </w:pPr>
      <w:r>
        <w:rPr>
          <w:rFonts w:ascii="Calibri" w:cs="Calibri" w:eastAsia="Calibri" w:hAnsi="Calibri"/>
          <w:b/>
          <w:bCs/>
          <w:color w:val="A8703C"/>
          <w:sz w:val="22"/>
          <w:szCs w:val="22"/>
        </w:rPr>
        <w:t xml:space="preserve">Hero for neck.  The corporate professional with the headaches.</w:t>
      </w:r>
    </w:p>
    <w:p>
      <w:pPr>
        <w:spacing w:after="140" w:line="288"/>
        <w:jc w:val="left"/>
      </w:pPr>
      <w:r>
        <w:rPr>
          <w:rFonts w:ascii="Calibri" w:cs="Calibri" w:eastAsia="Calibri" w:hAnsi="Calibri"/>
          <w:color w:val="2B3138"/>
          <w:sz w:val="21"/>
          <w:szCs w:val="21"/>
        </w:rPr>
        <w:t xml:space="preserve">As close a match for the neck buyer as the software engineer is for the back buyer. Long hours at a desk, chronic neck stiffness, tight shoulders, frequent headaches and restricted movement. Atul worked gentle neck rotation, Gomukhasana and supported Matsyasana with prop-assisted alignment, alongside Ujjayi and box breathing to bring the nervous system down before working the area. Noticeable relief within three weeks across eight sessions, with the headaches reducing and range returning. She now runs a short daily practice, has more energy through the working day, and brings colleagues into wellness sessions at her office.</w:t>
      </w:r>
    </w:p>
    <w:p>
      <w:pPr>
        <w:spacing w:after="140" w:line="288"/>
        <w:jc w:val="left"/>
      </w:pPr>
      <w:r>
        <w:rPr>
          <w:rFonts w:ascii="Calibri" w:cs="Calibri" w:eastAsia="Calibri" w:hAnsi="Calibri"/>
          <w:b/>
          <w:bCs/>
          <w:color w:val="15324B"/>
          <w:sz w:val="21"/>
          <w:szCs w:val="21"/>
        </w:rPr>
        <w:t xml:space="preserve">Two things make this the most valuable new asset in the file.</w:t>
      </w:r>
      <w:r>
        <w:rPr>
          <w:rFonts w:ascii="Calibri" w:cs="Calibri" w:eastAsia="Calibri" w:hAnsi="Calibri"/>
          <w:color w:val="2B3138"/>
          <w:sz w:val="21"/>
          <w:szCs w:val="21"/>
        </w:rPr>
        <w:t xml:space="preserve"> The headache result is the symptom this segment actually describes, which is what the ad angle is built on. And her becoming an advocate at work is a live illustration of the referral programme in Appendix B, unprompted.</w:t>
      </w:r>
    </w:p>
    <w:p>
      <w:pPr>
        <w:pStyle w:val="Heading3"/>
        <w:spacing w:after="90" w:before="220"/>
      </w:pPr>
      <w:r>
        <w:rPr>
          <w:rFonts w:ascii="Calibri" w:cs="Calibri" w:eastAsia="Calibri" w:hAnsi="Calibri"/>
          <w:b/>
          <w:bCs/>
          <w:color w:val="A8703C"/>
          <w:sz w:val="22"/>
          <w:szCs w:val="22"/>
        </w:rPr>
        <w:t xml:space="preserve">Supporting.  The shoulder and overhead movement case.</w:t>
      </w:r>
    </w:p>
    <w:p>
      <w:pPr>
        <w:spacing w:after="140" w:line="288"/>
        <w:jc w:val="left"/>
      </w:pPr>
      <w:r>
        <w:rPr>
          <w:rFonts w:ascii="Calibri" w:cs="Calibri" w:eastAsia="Calibri" w:hAnsi="Calibri"/>
          <w:color w:val="2B3138"/>
          <w:sz w:val="21"/>
          <w:szCs w:val="21"/>
        </w:rPr>
        <w:t xml:space="preserve">Persistent shoulder pain and stiffness after years of weight training, with overhead movement restricted and confidence lost. Balasana, supported shoulder work and posture correction, with Nadi Shodhana and changes to the daily habits that were feeding the strain. Significant improvement at five weeks across twelve sessions, with the shoulders lighter and previously impossible positions back within reach. He now practises regularly and has progressed well beyond where he started. Good supporting proof for the upper-back and shoulder angle, though he is a yoga trainee rather than a desk worker, so he does not carry a cold ad on his own.</w:t>
      </w:r>
    </w:p>
    <w:p>
      <w:pPr>
        <w:pStyle w:val="Heading3"/>
        <w:spacing w:after="90" w:before="220"/>
      </w:pPr>
      <w:r>
        <w:rPr>
          <w:rFonts w:ascii="Calibri" w:cs="Calibri" w:eastAsia="Calibri" w:hAnsi="Calibri"/>
          <w:b/>
          <w:bCs/>
          <w:color w:val="A8703C"/>
          <w:sz w:val="22"/>
          <w:szCs w:val="22"/>
        </w:rPr>
        <w:t xml:space="preserve">Still to come</w:t>
      </w:r>
    </w:p>
    <w:p>
      <w:pPr>
        <w:pStyle w:val="ListParagraph"/>
        <w:numPr>
          <w:ilvl w:val="0"/>
          <w:numId w:val="1"/>
        </w:numPr>
        <w:spacing w:after="70" w:line="276"/>
      </w:pPr>
      <w:r>
        <w:rPr>
          <w:rFonts w:ascii="Calibri" w:cs="Calibri" w:eastAsia="Calibri" w:hAnsi="Calibri"/>
          <w:b/>
          <w:bCs/>
          <w:color w:val="15324B"/>
          <w:sz w:val="21"/>
          <w:szCs w:val="21"/>
        </w:rPr>
        <w:t xml:space="preserve">Video testimonials, in production alongside the website build.</w:t>
      </w:r>
      <w:r>
        <w:rPr>
          <w:rFonts w:ascii="Calibri" w:cs="Calibri" w:eastAsia="Calibri" w:hAnsi="Calibri"/>
          <w:color w:val="2B3138"/>
          <w:sz w:val="21"/>
          <w:szCs w:val="21"/>
        </w:rPr>
        <w:t xml:space="preserve"> Written cases convert well below video on cold traffic, and video is the single biggest available lift on the landing page.</w:t>
      </w:r>
    </w:p>
    <w:p>
      <w:pPr>
        <w:pStyle w:val="ListParagraph"/>
        <w:numPr>
          <w:ilvl w:val="0"/>
          <w:numId w:val="1"/>
        </w:numPr>
        <w:spacing w:after="70" w:line="276"/>
      </w:pPr>
      <w:r>
        <w:rPr>
          <w:rFonts w:ascii="Calibri" w:cs="Calibri" w:eastAsia="Calibri" w:hAnsi="Calibri"/>
          <w:b/>
          <w:bCs/>
          <w:color w:val="15324B"/>
          <w:sz w:val="21"/>
          <w:szCs w:val="21"/>
        </w:rPr>
        <w:t xml:space="preserve">Before-and-after imagery.</w:t>
      </w:r>
      <w:r>
        <w:rPr>
          <w:rFonts w:ascii="Calibri" w:cs="Calibri" w:eastAsia="Calibri" w:hAnsi="Calibri"/>
          <w:color w:val="2B3138"/>
          <w:sz w:val="21"/>
          <w:szCs w:val="21"/>
        </w:rPr>
        <w:t xml:space="preserve"> Even a simple side-by-side of a forward fold or a seated posture carries weight against a sceptical audience.</w:t>
      </w:r>
    </w:p>
    <w:p>
      <w:pPr>
        <w:pStyle w:val="Heading3"/>
        <w:spacing w:after="90" w:before="220"/>
      </w:pPr>
      <w:r>
        <w:rPr>
          <w:rFonts w:ascii="Calibri" w:cs="Calibri" w:eastAsia="Calibri" w:hAnsi="Calibri"/>
          <w:b/>
          <w:bCs/>
          <w:color w:val="A8703C"/>
          <w:sz w:val="22"/>
          <w:szCs w:val="22"/>
        </w:rPr>
        <w:t xml:space="preserve">The proof engine: cycle one builds cycle two</w:t>
      </w:r>
    </w:p>
    <w:p>
      <w:pPr>
        <w:spacing w:after="140" w:line="288"/>
        <w:jc w:val="left"/>
      </w:pPr>
      <w:r>
        <w:rPr>
          <w:rFonts w:ascii="Calibri" w:cs="Calibri" w:eastAsia="Calibri" w:hAnsi="Calibri"/>
          <w:color w:val="2B3138"/>
          <w:sz w:val="21"/>
          <w:szCs w:val="21"/>
        </w:rPr>
        <w:t xml:space="preserve">The highest-leverage operational recommendation in this document, and it costs nothing. Proof capture is built into the challenge itself rather than chased afterwards.</w:t>
      </w:r>
    </w:p>
    <w:p>
      <w:pPr>
        <w:spacing w:after="40"/>
      </w:pPr>
      <w:r>
        <w:t xml:space="preserve"/>
      </w:r>
    </w:p>
    <w:p>
      <w:pPr>
        <w:pStyle w:val="ListParagraph"/>
        <w:numPr>
          <w:ilvl w:val="0"/>
          <w:numId w:val="1"/>
        </w:numPr>
        <w:spacing w:after="70" w:line="276"/>
      </w:pPr>
      <w:r>
        <w:rPr>
          <w:rFonts w:ascii="Calibri" w:cs="Calibri" w:eastAsia="Calibri" w:hAnsi="Calibri"/>
          <w:b/>
          <w:bCs/>
          <w:color w:val="15324B"/>
          <w:sz w:val="21"/>
          <w:szCs w:val="21"/>
        </w:rPr>
        <w:t xml:space="preserve">Consent at registration</w:t>
      </w:r>
      <w:r>
        <w:rPr>
          <w:rFonts w:ascii="Calibri" w:cs="Calibri" w:eastAsia="Calibri" w:hAnsi="Calibri"/>
          <w:color w:val="2B3138"/>
          <w:sz w:val="21"/>
          <w:szCs w:val="21"/>
        </w:rPr>
        <w:t xml:space="preserve">, as a checkbox on the form, not an awkward ask later.</w:t>
      </w:r>
    </w:p>
    <w:p>
      <w:pPr>
        <w:pStyle w:val="ListParagraph"/>
        <w:numPr>
          <w:ilvl w:val="0"/>
          <w:numId w:val="1"/>
        </w:numPr>
        <w:spacing w:after="70" w:line="276"/>
      </w:pPr>
      <w:r>
        <w:rPr>
          <w:rFonts w:ascii="Calibri" w:cs="Calibri" w:eastAsia="Calibri" w:hAnsi="Calibri"/>
          <w:b/>
          <w:bCs/>
          <w:color w:val="15324B"/>
          <w:sz w:val="21"/>
          <w:szCs w:val="21"/>
        </w:rPr>
        <w:t xml:space="preserve">A pain score out of ten</w:t>
      </w:r>
      <w:r>
        <w:rPr>
          <w:rFonts w:ascii="Calibri" w:cs="Calibri" w:eastAsia="Calibri" w:hAnsi="Calibri"/>
          <w:color w:val="2B3138"/>
          <w:sz w:val="21"/>
          <w:szCs w:val="21"/>
        </w:rPr>
        <w:t xml:space="preserve"> taken from every participant before the first session on day one, and taken again on day four. The number is theirs, which is what makes it persuasive.</w:t>
      </w:r>
    </w:p>
    <w:p>
      <w:pPr>
        <w:pStyle w:val="ListParagraph"/>
        <w:numPr>
          <w:ilvl w:val="0"/>
          <w:numId w:val="1"/>
        </w:numPr>
        <w:spacing w:after="70" w:line="276"/>
      </w:pPr>
      <w:r>
        <w:rPr>
          <w:rFonts w:ascii="Calibri" w:cs="Calibri" w:eastAsia="Calibri" w:hAnsi="Calibri"/>
          <w:b/>
          <w:bCs/>
          <w:color w:val="15324B"/>
          <w:sz w:val="21"/>
          <w:szCs w:val="21"/>
        </w:rPr>
        <w:t xml:space="preserve">Testimonial capture at week three, week eight and week twelve</w:t>
      </w:r>
      <w:r>
        <w:rPr>
          <w:rFonts w:ascii="Calibri" w:cs="Calibri" w:eastAsia="Calibri" w:hAnsi="Calibri"/>
          <w:color w:val="2B3138"/>
          <w:sz w:val="21"/>
          <w:szCs w:val="21"/>
        </w:rPr>
        <w:t xml:space="preserve"> built into the programme calendar as a scheduled touchpoint, so nobody has to chase.</w:t>
      </w:r>
    </w:p>
    <w:p>
      <w:pPr>
        <w:spacing w:after="60"/>
      </w:pPr>
      <w:r>
        <w:t xml:space="preserve"/>
      </w:r>
    </w:p>
    <w:p>
      <w:pPr>
        <w:spacing w:after="140" w:line="288"/>
        <w:jc w:val="left"/>
      </w:pPr>
      <w:r>
        <w:rPr>
          <w:rFonts w:ascii="Calibri" w:cs="Calibri" w:eastAsia="Calibri" w:hAnsi="Calibri"/>
          <w:color w:val="2B3138"/>
          <w:sz w:val="21"/>
          <w:szCs w:val="21"/>
        </w:rPr>
        <w:t xml:space="preserve">Two weeks after the first cohort, SuperMe holds British, time-stamped proof with real names, real numbers and real faces. That is the asset that brings cycle two's cost of acquisition down, and it is why the first cohort is worth running even at a small loss.</w:t>
      </w:r>
    </w:p>
    <w:p>
      <w:pPr>
        <w:pageBreakBefore/>
        <w:spacing w:after="20" w:before="0"/>
      </w:pPr>
      <w:r>
        <w:rPr>
          <w:rFonts w:ascii="Georgia" w:cs="Georgia" w:eastAsia="Georgia" w:hAnsi="Georgia"/>
          <w:b/>
          <w:bCs/>
          <w:color w:val="A8703C"/>
          <w:sz w:val="44"/>
          <w:szCs w:val="44"/>
        </w:rPr>
        <w:t xml:space="preserve">5.</w:t>
      </w:r>
    </w:p>
    <w:p>
      <w:pPr>
        <w:pStyle w:val="Heading1"/>
        <w:pBdr>
          <w:bottom w:val="single" w:color="A8703C" w:sz="10" w:space="10"/>
        </w:pBdr>
        <w:spacing w:after="200"/>
      </w:pPr>
      <w:r>
        <w:rPr>
          <w:rFonts w:ascii="Georgia" w:cs="Georgia" w:eastAsia="Georgia" w:hAnsi="Georgia"/>
          <w:b/>
          <w:bCs/>
          <w:color w:val="15324B"/>
          <w:sz w:val="34"/>
          <w:szCs w:val="34"/>
        </w:rPr>
        <w:t xml:space="preserve">PRICING &amp; THE CHALLENGE FUNNEL</w:t>
      </w:r>
    </w:p>
    <w:p>
      <w:pPr>
        <w:pStyle w:val="Heading2"/>
        <w:spacing w:after="130" w:before="300"/>
      </w:pPr>
      <w:r>
        <w:rPr>
          <w:rFonts w:ascii="Georgia" w:cs="Georgia" w:eastAsia="Georgia" w:hAnsi="Georgia"/>
          <w:b/>
          <w:bCs/>
          <w:color w:val="15324B"/>
          <w:sz w:val="25"/>
          <w:szCs w:val="25"/>
        </w:rPr>
        <w:t xml:space="preserve">The path, front to back</w:t>
      </w:r>
    </w:p>
    <w:p>
      <w:pPr>
        <w:spacing w:after="40"/>
      </w:pPr>
      <w: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15324B" w:sz="24"/>
              <w:bottom w:val="none" w:color="FFFFFF" w:sz="0"/>
              <w:right w:val="none" w:color="FFFFFF" w:sz="0"/>
            </w:tcBorders>
            <w:shd w:fill="F2F4F6" w:color="auto" w:val="clear"/>
            <w:tcMar>
              <w:top w:type="dxa" w:w="200"/>
              <w:left w:type="dxa" w:w="260"/>
              <w:bottom w:type="dxa" w:w="200"/>
              <w:right w:type="dxa" w:w="260"/>
            </w:tcMar>
          </w:tcPr>
          <w:p>
            <w:pPr>
              <w:spacing w:after="110" w:line="288"/>
            </w:pPr>
            <w:r>
              <w:rPr>
                <w:rFonts w:ascii="Calibri" w:cs="Calibri" w:eastAsia="Calibri" w:hAnsi="Calibri"/>
                <w:b/>
                <w:bCs/>
                <w:color w:val="15324B"/>
                <w:sz w:val="20"/>
                <w:szCs w:val="20"/>
              </w:rPr>
              <w:t xml:space="preserve">Meta ads</w:t>
            </w:r>
            <w:r>
              <w:rPr>
                <w:rFonts w:ascii="Calibri" w:cs="Calibri" w:eastAsia="Calibri" w:hAnsi="Calibri"/>
                <w:color w:val="2B3138"/>
                <w:sz w:val="20"/>
                <w:szCs w:val="20"/>
              </w:rPr>
              <w:t xml:space="preserve"> (United Kingdom, English, broad and higher-income campaigns in parallel)</w:t>
            </w:r>
          </w:p>
          <w:p>
            <w:pPr>
              <w:spacing w:after="110" w:line="288"/>
            </w:pPr>
            <w:r>
              <w:rPr>
                <w:rFonts w:ascii="Calibri" w:cs="Calibri" w:eastAsia="Calibri" w:hAnsi="Calibri"/>
                <w:color w:val="2B3138"/>
                <w:sz w:val="20"/>
                <w:szCs w:val="20"/>
              </w:rPr>
              <w:t xml:space="preserve">↓  </w:t>
            </w:r>
            <w:r>
              <w:rPr>
                <w:rFonts w:ascii="Calibri" w:cs="Calibri" w:eastAsia="Calibri" w:hAnsi="Calibri"/>
                <w:b/>
                <w:bCs/>
                <w:color w:val="15324B"/>
                <w:sz w:val="20"/>
                <w:szCs w:val="20"/>
              </w:rPr>
              <w:t xml:space="preserve">Landing page</w:t>
            </w:r>
            <w:r>
              <w:rPr>
                <w:rFonts w:ascii="Calibri" w:cs="Calibri" w:eastAsia="Calibri" w:hAnsi="Calibri"/>
                <w:color w:val="2B3138"/>
                <w:sz w:val="20"/>
                <w:szCs w:val="20"/>
              </w:rPr>
              <w:t xml:space="preserve">, honest about pace, day-one money-back stated openly</w:t>
            </w:r>
          </w:p>
          <w:p>
            <w:pPr>
              <w:spacing w:after="110" w:line="288"/>
            </w:pPr>
            <w:r>
              <w:rPr>
                <w:rFonts w:ascii="Calibri" w:cs="Calibri" w:eastAsia="Calibri" w:hAnsi="Calibri"/>
                <w:color w:val="2B3138"/>
                <w:sz w:val="20"/>
                <w:szCs w:val="20"/>
              </w:rPr>
              <w:t xml:space="preserve">↓  </w:t>
            </w:r>
            <w:r>
              <w:rPr>
                <w:rFonts w:ascii="Calibri" w:cs="Calibri" w:eastAsia="Calibri" w:hAnsi="Calibri"/>
                <w:b/>
                <w:bCs/>
                <w:color w:val="15324B"/>
                <w:sz w:val="20"/>
                <w:szCs w:val="20"/>
              </w:rPr>
              <w:t xml:space="preserve">£6 registration</w:t>
            </w:r>
            <w:r>
              <w:rPr>
                <w:rFonts w:ascii="Calibri" w:cs="Calibri" w:eastAsia="Calibri" w:hAnsi="Calibri"/>
                <w:color w:val="2B3138"/>
                <w:sz w:val="20"/>
                <w:szCs w:val="20"/>
              </w:rPr>
              <w:t xml:space="preserve">, plus the questions that tell us who has been in pain longest</w:t>
            </w:r>
          </w:p>
          <w:p>
            <w:pPr>
              <w:spacing w:after="110" w:line="288"/>
            </w:pPr>
            <w:r>
              <w:rPr>
                <w:rFonts w:ascii="Calibri" w:cs="Calibri" w:eastAsia="Calibri" w:hAnsi="Calibri"/>
                <w:color w:val="2B3138"/>
                <w:sz w:val="20"/>
                <w:szCs w:val="20"/>
              </w:rPr>
              <w:t xml:space="preserve">↓  </w:t>
            </w:r>
            <w:r>
              <w:rPr>
                <w:rFonts w:ascii="Calibri" w:cs="Calibri" w:eastAsia="Calibri" w:hAnsi="Calibri"/>
                <w:b/>
                <w:bCs/>
                <w:color w:val="15324B"/>
                <w:sz w:val="20"/>
                <w:szCs w:val="20"/>
              </w:rPr>
              <w:t xml:space="preserve">WhatsApp and email reminders</w:t>
            </w:r>
            <w:r>
              <w:rPr>
                <w:rFonts w:ascii="Calibri" w:cs="Calibri" w:eastAsia="Calibri" w:hAnsi="Calibri"/>
                <w:color w:val="2B3138"/>
                <w:sz w:val="20"/>
                <w:szCs w:val="20"/>
              </w:rPr>
              <w:t xml:space="preserve">, plus human calls to the highest-intent registrants</w:t>
            </w:r>
          </w:p>
          <w:p>
            <w:pPr>
              <w:spacing w:after="110" w:line="288"/>
            </w:pPr>
            <w:r>
              <w:rPr>
                <w:rFonts w:ascii="Calibri" w:cs="Calibri" w:eastAsia="Calibri" w:hAnsi="Calibri"/>
                <w:color w:val="2B3138"/>
                <w:sz w:val="20"/>
                <w:szCs w:val="20"/>
              </w:rPr>
              <w:t xml:space="preserve">↓  </w:t>
            </w:r>
            <w:r>
              <w:rPr>
                <w:rFonts w:ascii="Calibri" w:cs="Calibri" w:eastAsia="Calibri" w:hAnsi="Calibri"/>
                <w:b/>
                <w:bCs/>
                <w:color w:val="15324B"/>
                <w:sz w:val="20"/>
                <w:szCs w:val="20"/>
              </w:rPr>
              <w:t xml:space="preserve">Days one to four, live on Zoom.</w:t>
            </w:r>
            <w:r>
              <w:rPr>
                <w:rFonts w:ascii="Calibri" w:cs="Calibri" w:eastAsia="Calibri" w:hAnsi="Calibri"/>
                <w:color w:val="2B3138"/>
                <w:sz w:val="20"/>
                <w:szCs w:val="20"/>
              </w:rPr>
              <w:t xml:space="preserve"> Pain scored on day one, re-scored on day four</w:t>
            </w:r>
          </w:p>
          <w:p>
            <w:pPr>
              <w:spacing w:after="110" w:line="288"/>
            </w:pPr>
            <w:r>
              <w:rPr>
                <w:rFonts w:ascii="Calibri" w:cs="Calibri" w:eastAsia="Calibri" w:hAnsi="Calibri"/>
                <w:color w:val="2B3138"/>
                <w:sz w:val="20"/>
                <w:szCs w:val="20"/>
              </w:rPr>
              <w:t xml:space="preserve">↓  </w:t>
            </w:r>
            <w:r>
              <w:rPr>
                <w:rFonts w:ascii="Calibri" w:cs="Calibri" w:eastAsia="Calibri" w:hAnsi="Calibri"/>
                <w:b/>
                <w:bCs/>
                <w:color w:val="15324B"/>
                <w:sz w:val="20"/>
                <w:szCs w:val="20"/>
              </w:rPr>
              <w:t xml:space="preserve">Day five.</w:t>
            </w:r>
            <w:r>
              <w:rPr>
                <w:rFonts w:ascii="Calibri" w:cs="Calibri" w:eastAsia="Calibri" w:hAnsi="Calibri"/>
                <w:color w:val="2B3138"/>
                <w:sz w:val="20"/>
                <w:szCs w:val="20"/>
              </w:rPr>
              <w:t xml:space="preserve"> The continuation pitch. One programme, six months, £175</w:t>
            </w:r>
          </w:p>
          <w:p>
            <w:pPr>
              <w:spacing w:after="110" w:line="288"/>
            </w:pPr>
            <w:r>
              <w:rPr>
                <w:rFonts w:ascii="Calibri" w:cs="Calibri" w:eastAsia="Calibri" w:hAnsi="Calibri"/>
                <w:color w:val="2B3138"/>
                <w:sz w:val="20"/>
                <w:szCs w:val="20"/>
              </w:rPr>
              <w:t xml:space="preserve">↓  </w:t>
            </w:r>
            <w:r>
              <w:rPr>
                <w:rFonts w:ascii="Calibri" w:cs="Calibri" w:eastAsia="Calibri" w:hAnsi="Calibri"/>
                <w:b/>
                <w:bCs/>
                <w:color w:val="15324B"/>
                <w:sz w:val="20"/>
                <w:szCs w:val="20"/>
              </w:rPr>
              <w:t xml:space="preserve">£25 refundable deposit</w:t>
            </w:r>
            <w:r>
              <w:rPr>
                <w:rFonts w:ascii="Calibri" w:cs="Calibri" w:eastAsia="Calibri" w:hAnsi="Calibri"/>
                <w:color w:val="2B3138"/>
                <w:sz w:val="20"/>
                <w:szCs w:val="20"/>
              </w:rPr>
              <w:t xml:space="preserve"> to hold a place and book the call</w:t>
            </w:r>
          </w:p>
          <w:p>
            <w:pPr>
              <w:spacing w:after="110" w:line="288"/>
            </w:pPr>
            <w:r>
              <w:rPr>
                <w:rFonts w:ascii="Calibri" w:cs="Calibri" w:eastAsia="Calibri" w:hAnsi="Calibri"/>
                <w:color w:val="2B3138"/>
                <w:sz w:val="20"/>
                <w:szCs w:val="20"/>
              </w:rPr>
              <w:t xml:space="preserve">↓  </w:t>
            </w:r>
            <w:r>
              <w:rPr>
                <w:rFonts w:ascii="Calibri" w:cs="Calibri" w:eastAsia="Calibri" w:hAnsi="Calibri"/>
                <w:b/>
                <w:bCs/>
                <w:color w:val="15324B"/>
                <w:sz w:val="20"/>
                <w:szCs w:val="20"/>
              </w:rPr>
              <w:t xml:space="preserve">Prescription call</w:t>
            </w:r>
            <w:r>
              <w:rPr>
                <w:rFonts w:ascii="Calibri" w:cs="Calibri" w:eastAsia="Calibri" w:hAnsi="Calibri"/>
                <w:color w:val="2B3138"/>
                <w:sz w:val="20"/>
                <w:szCs w:val="20"/>
              </w:rPr>
              <w:t xml:space="preserve"> within 72 hours. Assessment, route recommended, balance settled</w:t>
            </w:r>
          </w:p>
          <w:p>
            <w:pPr>
              <w:spacing w:after="40" w:line="288"/>
            </w:pPr>
            <w:r>
              <w:rPr>
                <w:rFonts w:ascii="Calibri" w:cs="Calibri" w:eastAsia="Calibri" w:hAnsi="Calibri"/>
                <w:color w:val="2B3138"/>
                <w:sz w:val="20"/>
                <w:szCs w:val="20"/>
              </w:rPr>
              <w:t xml:space="preserve">↓  </w:t>
            </w:r>
            <w:r>
              <w:rPr>
                <w:rFonts w:ascii="Calibri" w:cs="Calibri" w:eastAsia="Calibri" w:hAnsi="Calibri"/>
                <w:b/>
                <w:bCs/>
                <w:color w:val="15324B"/>
                <w:sz w:val="20"/>
                <w:szCs w:val="20"/>
              </w:rPr>
              <w:t xml:space="preserve">The six-month programme.</w:t>
            </w:r>
            <w:r>
              <w:rPr>
                <w:rFonts w:ascii="Calibri" w:cs="Calibri" w:eastAsia="Calibri" w:hAnsi="Calibri"/>
                <w:color w:val="2B3138"/>
                <w:sz w:val="20"/>
                <w:szCs w:val="20"/>
              </w:rPr>
              <w:t xml:space="preserve"> Live group sessions, twice daily</w:t>
            </w:r>
          </w:p>
        </w:tc>
      </w:tr>
    </w:tbl>
    <w:p>
      <w:pPr>
        <w:spacing w:after="120"/>
      </w:pPr>
      <w:r>
        <w:t xml:space="preserve"/>
      </w:r>
    </w:p>
    <w:p>
      <w:pPr>
        <w:spacing w:after="140" w:line="288"/>
        <w:jc w:val="left"/>
      </w:pPr>
      <w:r>
        <w:rPr>
          <w:rFonts w:ascii="Calibri" w:cs="Calibri" w:eastAsia="Calibri" w:hAnsi="Calibri"/>
          <w:color w:val="2B3138"/>
          <w:sz w:val="21"/>
          <w:szCs w:val="21"/>
        </w:rPr>
        <w:t xml:space="preserve">There is no lead form, no direct-message queue and no manual first touch before the ticket. Two structural notes. First, </w:t>
      </w:r>
      <w:r>
        <w:rPr>
          <w:rFonts w:ascii="Calibri" w:cs="Calibri" w:eastAsia="Calibri" w:hAnsi="Calibri"/>
          <w:b/>
          <w:bCs/>
          <w:color w:val="15324B"/>
          <w:sz w:val="21"/>
          <w:szCs w:val="21"/>
        </w:rPr>
        <w:t xml:space="preserve">the close is split across two moments</w:t>
      </w:r>
      <w:r>
        <w:rPr>
          <w:rFonts w:ascii="Calibri" w:cs="Calibri" w:eastAsia="Calibri" w:hAnsi="Calibri"/>
          <w:color w:val="2B3138"/>
          <w:sz w:val="21"/>
          <w:szCs w:val="21"/>
        </w:rPr>
        <w:t xml:space="preserve">, the live day five pitch and a one-to-one call, which is the single biggest structural advantage this funnel has over a live-only close. Second, email runs alongside WhatsApp rather than behind it, because WhatsApp is not the default business channel in the United Kingdom the way it is in India.</w:t>
      </w:r>
    </w:p>
    <w:p>
      <w:pPr>
        <w:pStyle w:val="Heading2"/>
        <w:spacing w:after="130" w:before="300"/>
      </w:pPr>
      <w:r>
        <w:rPr>
          <w:rFonts w:ascii="Georgia" w:cs="Georgia" w:eastAsia="Georgia" w:hAnsi="Georgia"/>
          <w:b/>
          <w:bCs/>
          <w:color w:val="15324B"/>
          <w:sz w:val="25"/>
          <w:szCs w:val="25"/>
        </w:rPr>
        <w:t xml:space="preserve">The £6 ticket, and why it is £6</w:t>
      </w:r>
    </w:p>
    <w:p>
      <w:pPr>
        <w:spacing w:after="140" w:line="288"/>
        <w:jc w:val="left"/>
      </w:pPr>
      <w:r>
        <w:rPr>
          <w:rFonts w:ascii="Calibri" w:cs="Calibri" w:eastAsia="Calibri" w:hAnsi="Calibri"/>
          <w:color w:val="2B3138"/>
          <w:sz w:val="21"/>
          <w:szCs w:val="21"/>
        </w:rPr>
        <w:t xml:space="preserve">The Indian comparables sell a five-day challenge at roughly £4.60 and acquire a buyer at roughly £3.25 blended, which is genuine front-end profit. That cannot transfer directly. Indian cost per thousand impressions runs at about a tenth of the UK level, UK cost per click sits between £0.92 and £1.50 with a median near £1.11, and health is one of the more competitive verticals in the auction. </w:t>
      </w:r>
      <w:r>
        <w:rPr>
          <w:rFonts w:ascii="Calibri" w:cs="Calibri" w:eastAsia="Calibri" w:hAnsi="Calibri"/>
          <w:b/>
          <w:bCs/>
          <w:color w:val="15324B"/>
          <w:sz w:val="21"/>
          <w:szCs w:val="21"/>
        </w:rPr>
        <w:t xml:space="preserve">The media is six to nine times more expensive, so the honest target here is to recover most of the ad cost rather than to profit from it.</w:t>
      </w:r>
    </w:p>
    <w:p>
      <w:pPr>
        <w:spacing w:after="140" w:line="288"/>
        <w:jc w:val="left"/>
      </w:pPr>
      <w:r>
        <w:rPr>
          <w:rFonts w:ascii="Calibri" w:cs="Calibri" w:eastAsia="Calibri" w:hAnsi="Calibri"/>
          <w:color w:val="2B3138"/>
          <w:sz w:val="21"/>
          <w:szCs w:val="21"/>
        </w:rPr>
        <w:t xml:space="preserve">The price itself comes from watching what the UK market already treats as an impulse. Across a wide sample of lower-end direct-response offers running in the UK right now, the impulse band sits at £6 to £7. Below about £5 a purchase stops carrying enough weight to predict attendance. Above about £15 the buyer stops reacting and starts evaluating, which needs a different landing page and produces a materially worse cost per result at the same budget.</w:t>
      </w:r>
    </w:p>
    <w:p>
      <w:pPr>
        <w:spacing w:after="40"/>
      </w:pPr>
      <w:r>
        <w:t xml:space="preserve"/>
      </w:r>
    </w:p>
    <w:tbl>
      <w:tblPr>
        <w:tblW w:type="dxa" w:w="9638"/>
        <w:tblBorders>
          <w:top w:val="single" w:color="D3D8DD" w:sz="4"/>
          <w:left w:val="single" w:color="D3D8DD" w:sz="4"/>
          <w:bottom w:val="single" w:color="D3D8DD" w:sz="4"/>
          <w:right w:val="single" w:color="D3D8DD" w:sz="4"/>
          <w:insideH w:val="single" w:color="D3D8DD" w:sz="4"/>
          <w:insideV w:val="single" w:color="D3D8DD" w:sz="4"/>
        </w:tblBorders>
      </w:tblPr>
      <w:tblGrid>
        <w:gridCol w:w="5600"/>
        <w:gridCol w:w="4038"/>
      </w:tblGrid>
      <w:tr>
        <w:trPr>
          <w:tblHeader/>
        </w:trPr>
        <w:tc>
          <w:tcPr>
            <w:tcW w:type="dxa" w:w="56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Step</w:t>
            </w:r>
          </w:p>
        </w:tc>
        <w:tc>
          <w:tcPr>
            <w:tcW w:type="dxa" w:w="4038"/>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Working assumption</w:t>
            </w:r>
          </w:p>
        </w:tc>
      </w:tr>
      <w:tr>
        <w:tc>
          <w:tcPr>
            <w:tcW w:type="dxa" w:w="56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Cost per thousand impressions, UK, conversion-optimised, health-adjacent</w:t>
            </w:r>
          </w:p>
        </w:tc>
        <w:tc>
          <w:tcPr>
            <w:tcW w:type="dxa" w:w="40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£11 to £14</w:t>
            </w:r>
          </w:p>
        </w:tc>
      </w:tr>
      <w:tr>
        <w:tc>
          <w:tcPr>
            <w:tcW w:type="dxa" w:w="56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Link click-through rate, video and Reels weighted</w:t>
            </w:r>
          </w:p>
        </w:tc>
        <w:tc>
          <w:tcPr>
            <w:tcW w:type="dxa" w:w="40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1.5% to 2.5%</w:t>
            </w:r>
          </w:p>
        </w:tc>
      </w:tr>
      <w:tr>
        <w:tc>
          <w:tcPr>
            <w:tcW w:type="dxa" w:w="56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Cost per click</w:t>
            </w:r>
          </w:p>
        </w:tc>
        <w:tc>
          <w:tcPr>
            <w:tcW w:type="dxa" w:w="40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£0.90 to £1.20</w:t>
            </w:r>
          </w:p>
        </w:tc>
      </w:tr>
      <w:tr>
        <w:tc>
          <w:tcPr>
            <w:tcW w:type="dxa" w:w="56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Click to landing page view</w:t>
            </w:r>
          </w:p>
        </w:tc>
        <w:tc>
          <w:tcPr>
            <w:tcW w:type="dxa" w:w="40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75% to 85%</w:t>
            </w:r>
          </w:p>
        </w:tc>
      </w:tr>
      <w:tr>
        <w:tc>
          <w:tcPr>
            <w:tcW w:type="dxa" w:w="56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Cost per landing page view</w:t>
            </w:r>
          </w:p>
        </w:tc>
        <w:tc>
          <w:tcPr>
            <w:tcW w:type="dxa" w:w="4038"/>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£1.10 to £1.55</w:t>
            </w:r>
          </w:p>
        </w:tc>
      </w:tr>
      <w:tr>
        <w:tc>
          <w:tcPr>
            <w:tcW w:type="dxa" w:w="56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Landing page view to paid registration, at an impulse price</w:t>
            </w:r>
          </w:p>
        </w:tc>
        <w:tc>
          <w:tcPr>
            <w:tcW w:type="dxa" w:w="40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8% to 12%</w:t>
            </w:r>
          </w:p>
        </w:tc>
      </w:tr>
      <w:tr>
        <w:tc>
          <w:tcPr>
            <w:tcW w:type="dxa" w:w="56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Cost per registrant</w:t>
            </w:r>
          </w:p>
        </w:tc>
        <w:tc>
          <w:tcPr>
            <w:tcW w:type="dxa" w:w="4038"/>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£10 to £18.  Working figure £13, target £10.</w:t>
            </w:r>
          </w:p>
        </w:tc>
      </w:tr>
    </w:tbl>
    <w:p>
      <w:pPr>
        <w:spacing w:after="140"/>
      </w:pPr>
      <w: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A8703C" w:sz="24"/>
              <w:bottom w:val="none" w:color="FFFFFF" w:sz="0"/>
              <w:right w:val="none" w:color="FFFFFF" w:sz="0"/>
            </w:tcBorders>
            <w:shd w:fill="F2F4F6" w:color="auto" w:val="clear"/>
            <w:tcMar>
              <w:top w:type="dxa" w:w="200"/>
              <w:left w:type="dxa" w:w="260"/>
              <w:bottom w:type="dxa" w:w="200"/>
              <w:right w:type="dxa" w:w="260"/>
            </w:tcMar>
          </w:tcPr>
          <w:p>
            <w:pPr>
              <w:spacing w:after="90" w:before="40"/>
            </w:pPr>
            <w:r>
              <w:rPr>
                <w:rFonts w:ascii="Calibri" w:cs="Calibri" w:eastAsia="Calibri" w:hAnsi="Calibri"/>
                <w:b/>
                <w:bCs/>
                <w:caps/>
                <w:color w:val="A8703C"/>
                <w:sz w:val="19"/>
                <w:szCs w:val="19"/>
              </w:rPr>
              <w:t xml:space="preserve">The ceiling, agreed now rather than argued later</w:t>
            </w:r>
          </w:p>
          <w:p>
            <w:pPr>
              <w:spacing w:after="110" w:line="288"/>
            </w:pPr>
            <w:r>
              <w:rPr>
                <w:rFonts w:ascii="Calibri" w:cs="Calibri" w:eastAsia="Calibri" w:hAnsi="Calibri"/>
                <w:color w:val="2B3138"/>
                <w:sz w:val="20"/>
                <w:szCs w:val="20"/>
              </w:rPr>
              <w:t xml:space="preserve">If cost per registrant exceeds </w:t>
            </w:r>
            <w:r>
              <w:rPr>
                <w:rFonts w:ascii="Calibri" w:cs="Calibri" w:eastAsia="Calibri" w:hAnsi="Calibri"/>
                <w:b/>
                <w:bCs/>
                <w:color w:val="15324B"/>
                <w:sz w:val="20"/>
                <w:szCs w:val="20"/>
              </w:rPr>
              <w:t xml:space="preserve">£22</w:t>
            </w:r>
            <w:r>
              <w:rPr>
                <w:rFonts w:ascii="Calibri" w:cs="Calibri" w:eastAsia="Calibri" w:hAnsi="Calibri"/>
                <w:color w:val="2B3138"/>
                <w:sz w:val="20"/>
                <w:szCs w:val="20"/>
              </w:rPr>
              <w:t xml:space="preserve"> for three consecutive days, the price drops to £4.50 and we re-read within forty-eight hours.</w:t>
            </w:r>
          </w:p>
          <w:p>
            <w:pPr>
              <w:spacing w:after="110" w:line="288"/>
            </w:pPr>
            <w:r>
              <w:rPr>
                <w:rFonts w:ascii="Calibri" w:cs="Calibri" w:eastAsia="Calibri" w:hAnsi="Calibri"/>
                <w:color w:val="2B3138"/>
                <w:sz w:val="20"/>
                <w:szCs w:val="20"/>
              </w:rPr>
              <w:t xml:space="preserve">If cost per registrant sits below </w:t>
            </w:r>
            <w:r>
              <w:rPr>
                <w:rFonts w:ascii="Calibri" w:cs="Calibri" w:eastAsia="Calibri" w:hAnsi="Calibri"/>
                <w:b/>
                <w:bCs/>
                <w:color w:val="15324B"/>
                <w:sz w:val="20"/>
                <w:szCs w:val="20"/>
              </w:rPr>
              <w:t xml:space="preserve">£11</w:t>
            </w:r>
            <w:r>
              <w:rPr>
                <w:rFonts w:ascii="Calibri" w:cs="Calibri" w:eastAsia="Calibri" w:hAnsi="Calibri"/>
                <w:color w:val="2B3138"/>
                <w:sz w:val="20"/>
                <w:szCs w:val="20"/>
              </w:rPr>
              <w:t xml:space="preserve">, we test £9 in the following cycle.</w:t>
            </w:r>
          </w:p>
          <w:p>
            <w:pPr>
              <w:spacing w:after="40" w:line="288"/>
            </w:pPr>
            <w:r>
              <w:rPr>
                <w:rFonts w:ascii="Calibri" w:cs="Calibri" w:eastAsia="Calibri" w:hAnsi="Calibri"/>
                <w:color w:val="2B3138"/>
                <w:sz w:val="20"/>
                <w:szCs w:val="20"/>
              </w:rPr>
              <w:t xml:space="preserve">We do not split-test the price inside a single cycle. A three-cycle pilot cannot afford to fragment its conversion data across two price points.</w:t>
            </w:r>
          </w:p>
        </w:tc>
      </w:tr>
    </w:tbl>
    <w:p>
      <w:pPr>
        <w:spacing w:after="80"/>
      </w:pPr>
      <w: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A8703C" w:sz="24"/>
              <w:bottom w:val="none" w:color="FFFFFF" w:sz="0"/>
              <w:right w:val="none" w:color="FFFFFF" w:sz="0"/>
            </w:tcBorders>
            <w:shd w:fill="F2F4F6" w:color="auto" w:val="clear"/>
            <w:tcMar>
              <w:top w:type="dxa" w:w="200"/>
              <w:left w:type="dxa" w:w="260"/>
              <w:bottom w:type="dxa" w:w="200"/>
              <w:right w:type="dxa" w:w="260"/>
            </w:tcMar>
          </w:tcPr>
          <w:p>
            <w:pPr>
              <w:spacing w:after="90" w:before="40"/>
            </w:pPr>
            <w:r>
              <w:rPr>
                <w:rFonts w:ascii="Calibri" w:cs="Calibri" w:eastAsia="Calibri" w:hAnsi="Calibri"/>
                <w:b/>
                <w:bCs/>
                <w:caps/>
                <w:color w:val="A8703C"/>
                <w:sz w:val="19"/>
                <w:szCs w:val="19"/>
              </w:rPr>
              <w:t xml:space="preserve">Why not free</w:t>
            </w:r>
          </w:p>
          <w:p>
            <w:pPr>
              <w:spacing w:after="110" w:line="288"/>
            </w:pPr>
            <w:r>
              <w:rPr>
                <w:rFonts w:ascii="Calibri" w:cs="Calibri" w:eastAsia="Calibri" w:hAnsi="Calibri"/>
                <w:color w:val="2B3138"/>
                <w:sz w:val="20"/>
                <w:szCs w:val="20"/>
              </w:rPr>
              <w:t xml:space="preserve">A free five-day challenge in the United Kingdom will fill with registrations and empty out by day two. Internal data on free events is unambiguous: five hundred registrations produced fewer than twenty-five attendees. Free entry against a high-effort commitment inverts the structure, so the people who register are the least likely to turn up. A card payment inverts it back.</w:t>
            </w:r>
          </w:p>
          <w:p>
            <w:pPr>
              <w:spacing w:after="40" w:line="288"/>
            </w:pPr>
            <w:r>
              <w:rPr>
                <w:rFonts w:ascii="Calibri" w:cs="Calibri" w:eastAsia="Calibri" w:hAnsi="Calibri"/>
                <w:color w:val="2B3138"/>
                <w:sz w:val="20"/>
                <w:szCs w:val="20"/>
              </w:rPr>
              <w:t xml:space="preserve">Critically, </w:t>
            </w:r>
            <w:r>
              <w:rPr>
                <w:rFonts w:ascii="Calibri" w:cs="Calibri" w:eastAsia="Calibri" w:hAnsi="Calibri"/>
                <w:b/>
                <w:bCs/>
                <w:color w:val="15324B"/>
                <w:sz w:val="20"/>
                <w:szCs w:val="20"/>
              </w:rPr>
              <w:t xml:space="preserve">the messaging does the qualifying, not the price.</w:t>
            </w:r>
            <w:r>
              <w:rPr>
                <w:rFonts w:ascii="Calibri" w:cs="Calibri" w:eastAsia="Calibri" w:hAnsi="Calibri"/>
                <w:color w:val="2B3138"/>
                <w:sz w:val="20"/>
                <w:szCs w:val="20"/>
              </w:rPr>
              <w:t xml:space="preserve"> At £6 the ticket is a micro-commitment rather than a purchase. It will not screen for buying power and it is not asked to. The landing page copy decides who registers. The ticket decides who shows up.</w:t>
            </w:r>
          </w:p>
        </w:tc>
      </w:tr>
    </w:tbl>
    <w:p>
      <w:pPr>
        <w:pStyle w:val="Heading2"/>
        <w:spacing w:after="130" w:before="300"/>
      </w:pPr>
      <w:r>
        <w:rPr>
          <w:rFonts w:ascii="Georgia" w:cs="Georgia" w:eastAsia="Georgia" w:hAnsi="Georgia"/>
          <w:b/>
          <w:bCs/>
          <w:color w:val="15324B"/>
          <w:sz w:val="25"/>
          <w:szCs w:val="25"/>
        </w:rPr>
        <w:t xml:space="preserve">The four live days</w:t>
      </w:r>
    </w:p>
    <w:p>
      <w:pPr>
        <w:spacing w:after="140" w:line="288"/>
        <w:jc w:val="left"/>
      </w:pPr>
      <w:r>
        <w:rPr>
          <w:rFonts w:ascii="Calibri" w:cs="Calibri" w:eastAsia="Calibri" w:hAnsi="Calibri"/>
          <w:color w:val="2B3138"/>
          <w:sz w:val="21"/>
          <w:szCs w:val="21"/>
        </w:rPr>
        <w:t xml:space="preserve">Designed around one constraint. Yoga does not deliver instant relief, so belief cannot be bought on day one. It is built across four days and then evidenced on day four with the participant's own number. Each day opens by naming where they were yesterday, what happens today and where they are going tomorrow, so the five days read as one journey rather than five classes.</w:t>
      </w:r>
    </w:p>
    <w:p>
      <w:pPr>
        <w:spacing w:after="60"/>
      </w:pPr>
      <w:r>
        <w:t xml:space="preserve"/>
      </w:r>
    </w:p>
    <w:tbl>
      <w:tblPr>
        <w:tblW w:type="dxa" w:w="9638"/>
        <w:tblBorders>
          <w:top w:val="single" w:color="D3D8DD" w:sz="4"/>
          <w:left w:val="single" w:color="D3D8DD" w:sz="4"/>
          <w:bottom w:val="single" w:color="D3D8DD" w:sz="4"/>
          <w:right w:val="single" w:color="D3D8DD" w:sz="4"/>
          <w:insideH w:val="single" w:color="D3D8DD" w:sz="4"/>
          <w:insideV w:val="single" w:color="D3D8DD" w:sz="4"/>
        </w:tblBorders>
      </w:tblPr>
      <w:tblGrid>
        <w:gridCol w:w="700"/>
        <w:gridCol w:w="1500"/>
        <w:gridCol w:w="4238"/>
        <w:gridCol w:w="3200"/>
      </w:tblGrid>
      <w:tr>
        <w:trPr>
          <w:tblHeader/>
        </w:trPr>
        <w:tc>
          <w:tcPr>
            <w:tcW w:type="dxa" w:w="7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Day</w:t>
            </w:r>
          </w:p>
        </w:tc>
        <w:tc>
          <w:tcPr>
            <w:tcW w:type="dxa" w:w="15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Theme</w:t>
            </w:r>
          </w:p>
        </w:tc>
        <w:tc>
          <w:tcPr>
            <w:tcW w:type="dxa" w:w="4238"/>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What happens</w:t>
            </w:r>
          </w:p>
        </w:tc>
        <w:tc>
          <w:tcPr>
            <w:tcW w:type="dxa" w:w="32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What they should feel</w:t>
            </w:r>
          </w:p>
        </w:tc>
      </w:tr>
      <w:tr>
        <w:tc>
          <w:tcPr>
            <w:tcW w:type="dxa" w:w="7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1</w:t>
            </w:r>
          </w:p>
        </w:tc>
        <w:tc>
          <w:tcPr>
            <w:tcW w:type="dxa" w:w="15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Twist and Open.</w:t>
            </w:r>
          </w:p>
          <w:p>
            <w:pPr>
              <w:spacing w:after="40" w:before="60" w:line="264"/>
              <w:jc w:val="left"/>
            </w:pPr>
            <w:r>
              <w:rPr>
                <w:rFonts w:ascii="Calibri" w:cs="Calibri" w:eastAsia="Calibri" w:hAnsi="Calibri"/>
                <w:color w:val="2B3138"/>
                <w:sz w:val="19"/>
                <w:szCs w:val="19"/>
              </w:rPr>
              <w:t xml:space="preserve">Unload.</w:t>
            </w:r>
          </w:p>
        </w:tc>
        <w:tc>
          <w:tcPr>
            <w:tcW w:type="dxa" w:w="42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Atul names the belief out loud in the first three minutes: your back is not weak, it is defending itself, and rest is what let the support switch off. Every participant scores their pain out of ten before anything else. Then gentle spinal twists, light backbends and hip opening, fully supported with props, nothing forced. Closes with the honest statement of pace and what happens tomorrow.</w:t>
            </w:r>
          </w:p>
        </w:tc>
        <w:tc>
          <w:tcPr>
            <w:tcW w:type="dxa" w:w="32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"That did not hurt. And a few hours later, something felt looser." That is the day one win. Nothing bigger is promised and nothing bigger is needed.</w:t>
            </w:r>
          </w:p>
        </w:tc>
      </w:tr>
      <w:tr>
        <w:tc>
          <w:tcPr>
            <w:tcW w:type="dxa" w:w="7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2</w:t>
            </w:r>
          </w:p>
        </w:tc>
        <w:tc>
          <w:tcPr>
            <w:tcW w:type="dxa" w:w="15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Breathe and Release.</w:t>
            </w:r>
          </w:p>
          <w:p>
            <w:pPr>
              <w:spacing w:after="40" w:before="60" w:line="264"/>
              <w:jc w:val="left"/>
            </w:pPr>
            <w:r>
              <w:rPr>
                <w:rFonts w:ascii="Calibri" w:cs="Calibri" w:eastAsia="Calibri" w:hAnsi="Calibri"/>
                <w:color w:val="2B3138"/>
                <w:sz w:val="19"/>
                <w:szCs w:val="19"/>
              </w:rPr>
              <w:t xml:space="preserve">Unload into Brace.</w:t>
            </w:r>
          </w:p>
        </w:tc>
        <w:tc>
          <w:tcPr>
            <w:tcW w:type="dxa" w:w="42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Breath work to bring the nervous system down, then the first deep stabiliser activation. The transverse abdominis, the multifidus and the pelvic floor, introduced as the brace they already have and have stopped using. Mid-back and shoulder variations for the neck group, thigh and calf work for the knee group, inside the same session.</w:t>
            </w:r>
          </w:p>
        </w:tc>
        <w:tc>
          <w:tcPr>
            <w:tcW w:type="dxa" w:w="32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Surprise. They came for a stretch class and worked muscles they did not expect. The mechanism starts to make physical sense rather than logical sense.</w:t>
            </w:r>
          </w:p>
        </w:tc>
      </w:tr>
      <w:tr>
        <w:tc>
          <w:tcPr>
            <w:tcW w:type="dxa" w:w="7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3</w:t>
            </w:r>
          </w:p>
        </w:tc>
        <w:tc>
          <w:tcPr>
            <w:tcW w:type="dxa" w:w="15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Strengthen and Support.</w:t>
            </w:r>
          </w:p>
          <w:p>
            <w:pPr>
              <w:spacing w:after="40" w:before="60" w:line="264"/>
              <w:jc w:val="left"/>
            </w:pPr>
            <w:r>
              <w:rPr>
                <w:rFonts w:ascii="Calibri" w:cs="Calibri" w:eastAsia="Calibri" w:hAnsi="Calibri"/>
                <w:color w:val="2B3138"/>
                <w:sz w:val="19"/>
                <w:szCs w:val="19"/>
              </w:rPr>
              <w:t xml:space="preserve">Brace.</w:t>
            </w:r>
          </w:p>
        </w:tc>
        <w:tc>
          <w:tcPr>
            <w:tcW w:type="dxa" w:w="42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The core of the method. Building strength in the spinal muscles and the deep core so the spine has something holding it. Controlled movement, mindful breathing, safe alignment. Atul asks the room directly what they noticed this morning, and the answers become social proof in real time.</w:t>
            </w:r>
          </w:p>
        </w:tc>
        <w:tc>
          <w:tcPr>
            <w:tcW w:type="dxa" w:w="32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The first genuine change, which is where the coach's own experience says most people land. Usually morning stiffness, or a movement that was difficult on Monday and was not this morning.</w:t>
            </w:r>
          </w:p>
        </w:tc>
      </w:tr>
      <w:tr>
        <w:tc>
          <w:tcPr>
            <w:tcW w:type="dxa" w:w="7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4</w:t>
            </w:r>
          </w:p>
        </w:tc>
        <w:tc>
          <w:tcPr>
            <w:tcW w:type="dxa" w:w="15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Stand Tall.</w:t>
            </w:r>
          </w:p>
          <w:p>
            <w:pPr>
              <w:spacing w:after="40" w:before="60" w:line="264"/>
              <w:jc w:val="left"/>
            </w:pPr>
            <w:r>
              <w:rPr>
                <w:rFonts w:ascii="Calibri" w:cs="Calibri" w:eastAsia="Calibri" w:hAnsi="Calibri"/>
                <w:color w:val="2B3138"/>
                <w:sz w:val="19"/>
                <w:szCs w:val="19"/>
              </w:rPr>
              <w:t xml:space="preserve">Brace into Move.</w:t>
            </w:r>
          </w:p>
        </w:tc>
        <w:tc>
          <w:tcPr>
            <w:tcW w:type="dxa" w:w="42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Standing postures to open the hips, strengthen the legs and free the lumbar spine, integrated with everything from days one to three. Then the pain score is taken again, against Monday's number, in front of everyone. Atul names the gap honestly: four days moved something, and the case files say three weeks is where morning stiffness properly changes and eight weeks is where a full working day comes back.</w:t>
            </w:r>
          </w:p>
        </w:tc>
        <w:tc>
          <w:tcPr>
            <w:tcW w:type="dxa" w:w="32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Their own evidence, in their own number. Plus a clear understanding that this is the beginning of something counted in months rather than the end of something counted in days.</w:t>
            </w:r>
          </w:p>
        </w:tc>
      </w:tr>
      <w:tr>
        <w:tc>
          <w:tcPr>
            <w:tcW w:type="dxa" w:w="7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5</w:t>
            </w:r>
          </w:p>
        </w:tc>
        <w:tc>
          <w:tcPr>
            <w:tcW w:type="dxa" w:w="15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The continuation.</w:t>
            </w:r>
          </w:p>
        </w:tc>
        <w:tc>
          <w:tcPr>
            <w:tcW w:type="dxa" w:w="42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The pitch. Detailed below.</w:t>
            </w:r>
          </w:p>
        </w:tc>
        <w:tc>
          <w:tcPr>
            <w:tcW w:type="dxa" w:w="32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 decision to carry on with something that has already started working, rather than a decision to buy something new.</w:t>
            </w:r>
          </w:p>
        </w:tc>
      </w:tr>
    </w:tbl>
    <w:p>
      <w:pPr>
        <w:spacing w:after="140"/>
      </w:pPr>
      <w:r>
        <w:t xml:space="preserve"/>
      </w:r>
    </w:p>
    <w:p>
      <w:pPr>
        <w:spacing w:after="140" w:line="288"/>
        <w:jc w:val="left"/>
      </w:pPr>
      <w:r>
        <w:rPr>
          <w:rFonts w:ascii="Calibri" w:cs="Calibri" w:eastAsia="Calibri" w:hAnsi="Calibri"/>
          <w:b/>
          <w:bCs/>
          <w:color w:val="15324B"/>
          <w:sz w:val="21"/>
          <w:szCs w:val="21"/>
        </w:rPr>
        <w:t xml:space="preserve">Two operational rules protect the format.</w:t>
      </w:r>
      <w:r>
        <w:rPr>
          <w:rFonts w:ascii="Calibri" w:cs="Calibri" w:eastAsia="Calibri" w:hAnsi="Calibri"/>
          <w:color w:val="2B3138"/>
          <w:sz w:val="21"/>
          <w:szCs w:val="21"/>
        </w:rPr>
        <w:t xml:space="preserve"> Replays expire after twenty-four hours, because the felt shift happens live with correction and questions, and an indefinite replay turns the challenge into a content library and collapses day five. And every session runs twice, morning and evening, with the same content, so a person picks one rather than splitting the cohort across two different curricula.</w:t>
      </w:r>
    </w:p>
    <w:p>
      <w:pPr>
        <w:pStyle w:val="Heading2"/>
        <w:spacing w:after="130" w:before="300"/>
      </w:pPr>
      <w:r>
        <w:rPr>
          <w:rFonts w:ascii="Georgia" w:cs="Georgia" w:eastAsia="Georgia" w:hAnsi="Georgia"/>
          <w:b/>
          <w:bCs/>
          <w:color w:val="15324B"/>
          <w:sz w:val="25"/>
          <w:szCs w:val="25"/>
        </w:rPr>
        <w:t xml:space="preserve">Day five and the prescription call</w:t>
      </w:r>
    </w:p>
    <w:p>
      <w:pPr>
        <w:spacing w:after="140" w:line="288"/>
        <w:jc w:val="left"/>
      </w:pPr>
      <w:r>
        <w:rPr>
          <w:rFonts w:ascii="Calibri" w:cs="Calibri" w:eastAsia="Calibri" w:hAnsi="Calibri"/>
          <w:color w:val="2B3138"/>
          <w:sz w:val="21"/>
          <w:szCs w:val="21"/>
        </w:rPr>
        <w:t xml:space="preserve">Day five is not a new sale. It opens by saying what is true: this was the start of something, not the whole of it. Four days moved a number that had not moved in eighteen months. The next six months is where the toolkit actually gets built.</w:t>
      </w:r>
    </w:p>
    <w:p>
      <w:pPr>
        <w:spacing w:after="60"/>
      </w:pPr>
      <w:r>
        <w:t xml:space="preserve"/>
      </w:r>
    </w:p>
    <w:tbl>
      <w:tblPr>
        <w:tblW w:type="dxa" w:w="9638"/>
        <w:tblBorders>
          <w:top w:val="single" w:color="D3D8DD" w:sz="4"/>
          <w:left w:val="single" w:color="D3D8DD" w:sz="4"/>
          <w:bottom w:val="single" w:color="D3D8DD" w:sz="4"/>
          <w:right w:val="single" w:color="D3D8DD" w:sz="4"/>
          <w:insideH w:val="single" w:color="D3D8DD" w:sz="4"/>
          <w:insideV w:val="single" w:color="D3D8DD" w:sz="4"/>
        </w:tblBorders>
      </w:tblPr>
      <w:tblGrid>
        <w:gridCol w:w="2400"/>
        <w:gridCol w:w="7238"/>
      </w:tblGrid>
      <w:tr>
        <w:trPr>
          <w:tblHeader/>
        </w:trPr>
        <w:tc>
          <w:tcPr>
            <w:tcW w:type="dxa" w:w="24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Element</w:t>
            </w:r>
          </w:p>
        </w:tc>
        <w:tc>
          <w:tcPr>
            <w:tcW w:type="dxa" w:w="7238"/>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Detail</w:t>
            </w:r>
          </w:p>
        </w:tc>
      </w:tr>
      <w:tr>
        <w:tc>
          <w:tcPr>
            <w:tcW w:type="dxa" w:w="24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The offer</w:t>
            </w:r>
          </w:p>
        </w:tc>
        <w:tc>
          <w:tcPr>
            <w:tcW w:type="dxa" w:w="72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One programme. Six months of live group sessions with Atul and his team, twice daily. </w:t>
            </w:r>
            <w:r>
              <w:rPr>
                <w:rFonts w:ascii="Calibri" w:cs="Calibri" w:eastAsia="Calibri" w:hAnsi="Calibri"/>
                <w:b/>
                <w:bCs/>
                <w:color w:val="15324B"/>
                <w:sz w:val="19"/>
                <w:szCs w:val="19"/>
              </w:rPr>
              <w:t xml:space="preserve">£175.</w:t>
            </w:r>
            <w:r>
              <w:rPr>
                <w:rFonts w:ascii="Calibri" w:cs="Calibri" w:eastAsia="Calibri" w:hAnsi="Calibri"/>
                <w:color w:val="2B3138"/>
                <w:sz w:val="19"/>
                <w:szCs w:val="19"/>
              </w:rPr>
              <w:t xml:space="preserve"> One price, one decision, no menu on the slide.</w:t>
            </w:r>
          </w:p>
        </w:tc>
      </w:tr>
      <w:tr>
        <w:tc>
          <w:tcPr>
            <w:tcW w:type="dxa" w:w="24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The close</w:t>
            </w:r>
          </w:p>
        </w:tc>
        <w:tc>
          <w:tcPr>
            <w:tcW w:type="dxa" w:w="72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 </w:t>
            </w:r>
            <w:r>
              <w:rPr>
                <w:rFonts w:ascii="Calibri" w:cs="Calibri" w:eastAsia="Calibri" w:hAnsi="Calibri"/>
                <w:b/>
                <w:bCs/>
                <w:color w:val="15324B"/>
                <w:sz w:val="19"/>
                <w:szCs w:val="19"/>
              </w:rPr>
              <w:t xml:space="preserve">£25 refundable deposit</w:t>
            </w:r>
            <w:r>
              <w:rPr>
                <w:rFonts w:ascii="Calibri" w:cs="Calibri" w:eastAsia="Calibri" w:hAnsi="Calibri"/>
                <w:color w:val="2B3138"/>
                <w:sz w:val="19"/>
                <w:szCs w:val="19"/>
              </w:rPr>
              <w:t xml:space="preserve"> to hold a place. Nobody is asked to put £175 on a card during a live session. They have already paid £6 to be in the room, so £25 is a real step up without being a second purchase decision made under pressure. It is credited in full against the programme fee.</w:t>
            </w:r>
          </w:p>
        </w:tc>
      </w:tr>
      <w:tr>
        <w:tc>
          <w:tcPr>
            <w:tcW w:type="dxa" w:w="24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The guarantee</w:t>
            </w:r>
          </w:p>
        </w:tc>
        <w:tc>
          <w:tcPr>
            <w:tcW w:type="dxa" w:w="72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Delivered after the price, not before. Thirty days, adherence-conditional. Turn up, do the practice, and if nothing has changed in how it feels by day thirty, the full amount comes back.</w:t>
            </w:r>
          </w:p>
        </w:tc>
      </w:tr>
      <w:tr>
        <w:tc>
          <w:tcPr>
            <w:tcW w:type="dxa" w:w="24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The prescription call</w:t>
            </w:r>
          </w:p>
        </w:tc>
        <w:tc>
          <w:tcPr>
            <w:tcW w:type="dxa" w:w="72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Within seventy-two hours, one to one, with a SuperMe coach Atul nominates, working to a TGO framework. Not a sales call. A coach assessing which of the two knees this person has, how long the pain has run, what has already been tried, and what their day one and day four numbers actually showed.</w:t>
            </w:r>
          </w:p>
        </w:tc>
      </w:tr>
      <w:tr>
        <w:tc>
          <w:tcPr>
            <w:tcW w:type="dxa" w:w="24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What only happens on the call</w:t>
            </w:r>
          </w:p>
        </w:tc>
        <w:tc>
          <w:tcPr>
            <w:tcW w:type="dxa" w:w="72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Three things. A one-to-one route for someone whose case genuinely needs personalised work or whose pain is too severe to start in a group. A shorter three-month track at £120 for a stated affordability objection, which is a smaller package rather than a discount on the same one. And recorded practice as an option for someone whose schedule cannot support live attendance.</w:t>
            </w:r>
          </w:p>
        </w:tc>
      </w:tr>
    </w:tbl>
    <w:p>
      <w:pPr>
        <w:spacing w:after="140"/>
      </w:pPr>
      <w:r>
        <w:t xml:space="preserve"/>
      </w:r>
    </w:p>
    <w:p>
      <w:pPr>
        <w:spacing w:after="140" w:line="288"/>
        <w:jc w:val="left"/>
      </w:pPr>
      <w:r>
        <w:rPr>
          <w:rFonts w:ascii="Calibri" w:cs="Calibri" w:eastAsia="Calibri" w:hAnsi="Calibri"/>
          <w:b/>
          <w:bCs/>
          <w:color w:val="15324B"/>
          <w:sz w:val="21"/>
          <w:szCs w:val="21"/>
        </w:rPr>
        <w:t xml:space="preserve">On discounting.</w:t>
      </w:r>
      <w:r>
        <w:rPr>
          <w:rFonts w:ascii="Calibri" w:cs="Calibri" w:eastAsia="Calibri" w:hAnsi="Calibri"/>
          <w:color w:val="2B3138"/>
          <w:sz w:val="21"/>
          <w:szCs w:val="21"/>
        </w:rPr>
        <w:t xml:space="preserve"> The six-month price does not move. If someone says £175 is too much, the answer is a shorter programme at a lower price, never the same programme at a lower price. Discounting the headline offer teaches every future buyer to wait for the discount, and it tells the person who already paid full price that they overpaid.</w:t>
      </w:r>
    </w:p>
    <w:p>
      <w:pPr>
        <w:pStyle w:val="Heading2"/>
        <w:spacing w:after="130" w:before="300"/>
      </w:pPr>
      <w:r>
        <w:rPr>
          <w:rFonts w:ascii="Georgia" w:cs="Georgia" w:eastAsia="Georgia" w:hAnsi="Georgia"/>
          <w:b/>
          <w:bCs/>
          <w:color w:val="15324B"/>
          <w:sz w:val="25"/>
          <w:szCs w:val="25"/>
        </w:rPr>
        <w:t xml:space="preserve">The two guarantees</w:t>
      </w:r>
    </w:p>
    <w:p>
      <w:pPr>
        <w:spacing w:after="40"/>
      </w:pPr>
      <w: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A8703C" w:sz="24"/>
              <w:bottom w:val="none" w:color="FFFFFF" w:sz="0"/>
              <w:right w:val="none" w:color="FFFFFF" w:sz="0"/>
            </w:tcBorders>
            <w:shd w:fill="F2F4F6" w:color="auto" w:val="clear"/>
            <w:tcMar>
              <w:top w:type="dxa" w:w="200"/>
              <w:left w:type="dxa" w:w="260"/>
              <w:bottom w:type="dxa" w:w="200"/>
              <w:right w:type="dxa" w:w="260"/>
            </w:tcMar>
          </w:tcPr>
          <w:p>
            <w:pPr>
              <w:spacing w:after="90" w:before="40"/>
            </w:pPr>
            <w:r>
              <w:rPr>
                <w:rFonts w:ascii="Calibri" w:cs="Calibri" w:eastAsia="Calibri" w:hAnsi="Calibri"/>
                <w:b/>
                <w:bCs/>
                <w:caps/>
                <w:color w:val="A8703C"/>
                <w:sz w:val="19"/>
                <w:szCs w:val="19"/>
              </w:rPr>
              <w:t xml:space="preserve">On the landing page, in full</w:t>
            </w:r>
          </w:p>
          <w:p>
            <w:pPr>
              <w:spacing w:after="110" w:line="288"/>
            </w:pPr>
            <w:r>
              <w:rPr>
                <w:rFonts w:ascii="Calibri" w:cs="Calibri" w:eastAsia="Calibri" w:hAnsi="Calibri"/>
                <w:b/>
                <w:bCs/>
                <w:color w:val="15324B"/>
                <w:sz w:val="20"/>
                <w:szCs w:val="20"/>
              </w:rPr>
              <w:t xml:space="preserve">Come to day one. If it is not for you, tell us by the end of that day and we will refund your £6.</w:t>
            </w:r>
          </w:p>
          <w:p>
            <w:pPr>
              <w:spacing w:after="40" w:line="288"/>
            </w:pPr>
            <w:r>
              <w:rPr>
                <w:rFonts w:ascii="Calibri" w:cs="Calibri" w:eastAsia="Calibri" w:hAnsi="Calibri"/>
                <w:color w:val="2B3138"/>
                <w:sz w:val="20"/>
                <w:szCs w:val="20"/>
              </w:rPr>
              <w:t xml:space="preserve">The specific version is stated openly on the page rather than as a vague money-back badge, for two reasons. It is more persuasive, because specificity reads as confidence and a badge reads as boilerplate. And it is cleaner, because a refund promise with a condition the buyer only discovers after paying is exactly the kind of thing UK consumer rules exist to catch.</w:t>
            </w:r>
          </w:p>
        </w:tc>
      </w:tr>
    </w:tbl>
    <w:p>
      <w:pPr>
        <w:spacing w:after="80"/>
      </w:pPr>
      <w: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A8703C" w:sz="24"/>
              <w:bottom w:val="none" w:color="FFFFFF" w:sz="0"/>
              <w:right w:val="none" w:color="FFFFFF" w:sz="0"/>
            </w:tcBorders>
            <w:shd w:fill="F2F4F6" w:color="auto" w:val="clear"/>
            <w:tcMar>
              <w:top w:type="dxa" w:w="200"/>
              <w:left w:type="dxa" w:w="260"/>
              <w:bottom w:type="dxa" w:w="200"/>
              <w:right w:type="dxa" w:w="260"/>
            </w:tcMar>
          </w:tcPr>
          <w:p>
            <w:pPr>
              <w:spacing w:after="90" w:before="40"/>
            </w:pPr>
            <w:r>
              <w:rPr>
                <w:rFonts w:ascii="Calibri" w:cs="Calibri" w:eastAsia="Calibri" w:hAnsi="Calibri"/>
                <w:b/>
                <w:bCs/>
                <w:caps/>
                <w:color w:val="A8703C"/>
                <w:sz w:val="19"/>
                <w:szCs w:val="19"/>
              </w:rPr>
              <w:t xml:space="preserve">On day five, after the price</w:t>
            </w:r>
          </w:p>
          <w:p>
            <w:pPr>
              <w:spacing w:after="110" w:line="288"/>
            </w:pPr>
            <w:r>
              <w:rPr>
                <w:rFonts w:ascii="Calibri" w:cs="Calibri" w:eastAsia="Calibri" w:hAnsi="Calibri"/>
                <w:b/>
                <w:bCs/>
                <w:color w:val="15324B"/>
                <w:sz w:val="20"/>
                <w:szCs w:val="20"/>
              </w:rPr>
              <w:t xml:space="preserve">Do the first thirty days. Turn up to the live sessions and do the practice. If nothing has changed in how your back, neck or knee feels by day thirty, tell us and we return the full amount.</w:t>
            </w:r>
          </w:p>
          <w:p>
            <w:pPr>
              <w:spacing w:after="110" w:line="288"/>
            </w:pPr>
            <w:r>
              <w:rPr>
                <w:rFonts w:ascii="Calibri" w:cs="Calibri" w:eastAsia="Calibri" w:hAnsi="Calibri"/>
                <w:color w:val="2B3138"/>
                <w:sz w:val="20"/>
                <w:szCs w:val="20"/>
              </w:rPr>
              <w:t xml:space="preserve">Thirty days is honest and coverable: the back case reached reduced morning stiffness at three weeks and the mobility case at four, so the window sits just past the point where the case files say something observable happens. Adherence-conditional protects the downside, and the condition is turning up, which is also the thing that makes the programme work.</w:t>
            </w:r>
          </w:p>
          <w:p>
            <w:pPr>
              <w:spacing w:after="40" w:line="288"/>
            </w:pPr>
            <w:r>
              <w:rPr>
                <w:rFonts w:ascii="Calibri" w:cs="Calibri" w:eastAsia="Calibri" w:hAnsi="Calibri"/>
                <w:color w:val="2B3138"/>
                <w:sz w:val="20"/>
                <w:szCs w:val="20"/>
              </w:rPr>
              <w:t xml:space="preserve">The wording is "changed in how it feels" rather than "pain gone", which keeps it honest for an arthritic knee without fracturing the offer into two different guarantees.</w:t>
            </w:r>
          </w:p>
        </w:tc>
      </w:tr>
    </w:tbl>
    <w:p>
      <w:pPr>
        <w:spacing w:after="80"/>
      </w:pPr>
      <w:r>
        <w:t xml:space="preserve"/>
      </w:r>
    </w:p>
    <w:p>
      <w:pPr>
        <w:spacing w:after="140" w:line="288"/>
        <w:jc w:val="left"/>
      </w:pPr>
      <w:r>
        <w:rPr>
          <w:rFonts w:ascii="Calibri" w:cs="Calibri" w:eastAsia="Calibri" w:hAnsi="Calibri"/>
          <w:color w:val="2B3138"/>
          <w:sz w:val="21"/>
          <w:szCs w:val="21"/>
        </w:rPr>
        <w:t xml:space="preserve">One build requirement: the guarantee wording on the landing page, on the checkout and on the terms page must match exactly. A mismatch between the three is a common and entirely avoidable liability.</w:t>
      </w:r>
    </w:p>
    <w:p>
      <w:pPr>
        <w:pStyle w:val="Heading2"/>
        <w:spacing w:after="130" w:before="300"/>
      </w:pPr>
      <w:r>
        <w:rPr>
          <w:rFonts w:ascii="Georgia" w:cs="Georgia" w:eastAsia="Georgia" w:hAnsi="Georgia"/>
          <w:b/>
          <w:bCs/>
          <w:color w:val="15324B"/>
          <w:sz w:val="25"/>
          <w:szCs w:val="25"/>
        </w:rPr>
        <w:t xml:space="preserve">Campaign architecture</w:t>
      </w:r>
    </w:p>
    <w:p>
      <w:pPr>
        <w:spacing w:after="140" w:line="288"/>
        <w:jc w:val="left"/>
      </w:pPr>
      <w:r>
        <w:rPr>
          <w:rFonts w:ascii="Calibri" w:cs="Calibri" w:eastAsia="Calibri" w:hAnsi="Calibri"/>
          <w:color w:val="2B3138"/>
          <w:sz w:val="21"/>
          <w:szCs w:val="21"/>
        </w:rPr>
        <w:t xml:space="preserve">Two campaigns from launch, running in parallel.</w:t>
      </w:r>
    </w:p>
    <w:p>
      <w:pPr>
        <w:spacing w:after="40"/>
      </w:pPr>
      <w:r>
        <w:t xml:space="preserve"/>
      </w:r>
    </w:p>
    <w:tbl>
      <w:tblPr>
        <w:tblW w:type="dxa" w:w="9638"/>
        <w:tblBorders>
          <w:top w:val="single" w:color="D3D8DD" w:sz="4"/>
          <w:left w:val="single" w:color="D3D8DD" w:sz="4"/>
          <w:bottom w:val="single" w:color="D3D8DD" w:sz="4"/>
          <w:right w:val="single" w:color="D3D8DD" w:sz="4"/>
          <w:insideH w:val="single" w:color="D3D8DD" w:sz="4"/>
          <w:insideV w:val="single" w:color="D3D8DD" w:sz="4"/>
        </w:tblBorders>
      </w:tblPr>
      <w:tblGrid>
        <w:gridCol w:w="2400"/>
        <w:gridCol w:w="3800"/>
        <w:gridCol w:w="3438"/>
      </w:tblGrid>
      <w:tr>
        <w:trPr>
          <w:tblHeader/>
        </w:trPr>
        <w:tc>
          <w:tcPr>
            <w:tcW w:type="dxa" w:w="24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Campaign</w:t>
            </w:r>
          </w:p>
        </w:tc>
        <w:tc>
          <w:tcPr>
            <w:tcW w:type="dxa" w:w="38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Build</w:t>
            </w:r>
          </w:p>
        </w:tc>
        <w:tc>
          <w:tcPr>
            <w:tcW w:type="dxa" w:w="3438"/>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Purpose</w:t>
            </w:r>
          </w:p>
        </w:tc>
      </w:tr>
      <w:tr>
        <w:tc>
          <w:tcPr>
            <w:tcW w:type="dxa" w:w="24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A. Broad</w:t>
            </w:r>
            <w:r>
              <w:rPr>
                <w:rFonts w:ascii="Calibri" w:cs="Calibri" w:eastAsia="Calibri" w:hAnsi="Calibri"/>
                <w:color w:val="2B3138"/>
                <w:sz w:val="19"/>
                <w:szCs w:val="19"/>
              </w:rPr>
              <w:t xml:space="preserve">  (60% of budget)</w:t>
            </w:r>
          </w:p>
        </w:tc>
        <w:tc>
          <w:tcPr>
            <w:tcW w:type="dxa" w:w="38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No interest targeting. Age 35 to 60, all genders, United Kingdom. Optimised for purchase on the £6 ticket. Advantage+ placements on, Reels-weighted.</w:t>
            </w:r>
          </w:p>
        </w:tc>
        <w:tc>
          <w:tcPr>
            <w:tcW w:type="dxa" w:w="34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Let Meta find the buyer from the creative, which is how the auction now works. A £6 conversion event generates enough volume to feed the algorithm properly, which a high-ticket event never would.</w:t>
            </w:r>
          </w:p>
        </w:tc>
      </w:tr>
      <w:tr>
        <w:tc>
          <w:tcPr>
            <w:tcW w:type="dxa" w:w="24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B. Higher-income areas</w:t>
            </w:r>
            <w:r>
              <w:rPr>
                <w:rFonts w:ascii="Calibri" w:cs="Calibri" w:eastAsia="Calibri" w:hAnsi="Calibri"/>
                <w:color w:val="2B3138"/>
                <w:sz w:val="19"/>
                <w:szCs w:val="19"/>
              </w:rPr>
              <w:t xml:space="preserve">  (40% of budget)</w:t>
            </w:r>
          </w:p>
        </w:tc>
        <w:tc>
          <w:tcPr>
            <w:tcW w:type="dxa" w:w="38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Same age and structure, weighted to higher-income postcodes across London and the South East, Manchester, Birmingham, Leeds, Bristol and Edinburgh and their commuter belts.</w:t>
            </w:r>
          </w:p>
        </w:tc>
        <w:tc>
          <w:tcPr>
            <w:tcW w:type="dxa" w:w="34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Tests whether concentrating on affording, desk-bound populations produces a better cost per registrant and a better day five conversion. Read against Campaign A weekly.</w:t>
            </w:r>
          </w:p>
        </w:tc>
      </w:tr>
    </w:tbl>
    <w:p>
      <w:pPr>
        <w:spacing w:after="140"/>
      </w:pPr>
      <w:r>
        <w:t xml:space="preserve"/>
      </w:r>
    </w:p>
    <w:p>
      <w:pPr>
        <w:pStyle w:val="ListParagraph"/>
        <w:numPr>
          <w:ilvl w:val="0"/>
          <w:numId w:val="1"/>
        </w:numPr>
        <w:spacing w:after="70" w:line="276"/>
      </w:pPr>
      <w:r>
        <w:rPr>
          <w:rFonts w:ascii="Calibri" w:cs="Calibri" w:eastAsia="Calibri" w:hAnsi="Calibri"/>
          <w:b/>
          <w:bCs/>
          <w:color w:val="15324B"/>
          <w:sz w:val="21"/>
          <w:szCs w:val="21"/>
        </w:rPr>
        <w:t xml:space="preserve">Placements.</w:t>
      </w:r>
      <w:r>
        <w:rPr>
          <w:rFonts w:ascii="Calibri" w:cs="Calibri" w:eastAsia="Calibri" w:hAnsi="Calibri"/>
          <w:color w:val="2B3138"/>
          <w:sz w:val="21"/>
          <w:szCs w:val="21"/>
        </w:rPr>
        <w:t xml:space="preserve"> Reels-weighted. UK Reels cost per thousand impressions runs meaningfully below feed and click-through rate outperforms it for cold prospecting. Creative is built vertical-first.</w:t>
      </w:r>
    </w:p>
    <w:p>
      <w:pPr>
        <w:pStyle w:val="ListParagraph"/>
        <w:numPr>
          <w:ilvl w:val="0"/>
          <w:numId w:val="1"/>
        </w:numPr>
        <w:spacing w:after="70" w:line="276"/>
      </w:pPr>
      <w:r>
        <w:rPr>
          <w:rFonts w:ascii="Calibri" w:cs="Calibri" w:eastAsia="Calibri" w:hAnsi="Calibri"/>
          <w:b/>
          <w:bCs/>
          <w:color w:val="15324B"/>
          <w:sz w:val="21"/>
          <w:szCs w:val="21"/>
        </w:rPr>
        <w:t xml:space="preserve">Creative volume.</w:t>
      </w:r>
      <w:r>
        <w:rPr>
          <w:rFonts w:ascii="Calibri" w:cs="Calibri" w:eastAsia="Calibri" w:hAnsi="Calibri"/>
          <w:color w:val="2B3138"/>
          <w:sz w:val="21"/>
          <w:szCs w:val="21"/>
        </w:rPr>
        <w:t xml:space="preserve"> Launch with six to eight distinct hooks, not two. Refresh every fourteen to twenty-one days. The most common failure mode on accounts of this shape is creative fatigue against an unmaintained landing page, and it has a named owner here.</w:t>
      </w:r>
    </w:p>
    <w:p>
      <w:pPr>
        <w:pStyle w:val="ListParagraph"/>
        <w:numPr>
          <w:ilvl w:val="0"/>
          <w:numId w:val="1"/>
        </w:numPr>
        <w:spacing w:after="70" w:line="276"/>
      </w:pPr>
      <w:r>
        <w:rPr>
          <w:rFonts w:ascii="Calibri" w:cs="Calibri" w:eastAsia="Calibri" w:hAnsi="Calibri"/>
          <w:b/>
          <w:bCs/>
          <w:color w:val="15324B"/>
          <w:sz w:val="21"/>
          <w:szCs w:val="21"/>
        </w:rPr>
        <w:t xml:space="preserve">Learning phase.</w:t>
      </w:r>
      <w:r>
        <w:rPr>
          <w:rFonts w:ascii="Calibri" w:cs="Calibri" w:eastAsia="Calibri" w:hAnsi="Calibri"/>
          <w:color w:val="2B3138"/>
          <w:sz w:val="21"/>
          <w:szCs w:val="21"/>
        </w:rPr>
        <w:t xml:space="preserve"> The first cycle exists partly to find the winning creative. Cost per registrant in the first week will be the worst it ever is, and that is expected rather than a problem.</w:t>
      </w:r>
    </w:p>
    <w:p>
      <w:pPr>
        <w:pStyle w:val="Heading2"/>
        <w:spacing w:after="130" w:before="300"/>
      </w:pPr>
      <w:r>
        <w:rPr>
          <w:rFonts w:ascii="Georgia" w:cs="Georgia" w:eastAsia="Georgia" w:hAnsi="Georgia"/>
          <w:b/>
          <w:bCs/>
          <w:color w:val="15324B"/>
          <w:sz w:val="25"/>
          <w:szCs w:val="25"/>
        </w:rPr>
        <w:t xml:space="preserve">The registration form, and what it is really for</w:t>
      </w:r>
    </w:p>
    <w:p>
      <w:pPr>
        <w:spacing w:after="140" w:line="288"/>
        <w:jc w:val="left"/>
      </w:pPr>
      <w:r>
        <w:rPr>
          <w:rFonts w:ascii="Calibri" w:cs="Calibri" w:eastAsia="Calibri" w:hAnsi="Calibri"/>
          <w:color w:val="2B3138"/>
          <w:sz w:val="21"/>
          <w:szCs w:val="21"/>
        </w:rPr>
        <w:t xml:space="preserve">Four questions at checkout, no more. Which pain. How long they have had it. What they have already tried. And the open one: </w:t>
      </w:r>
      <w:r>
        <w:rPr>
          <w:rFonts w:ascii="Calibri" w:cs="Calibri" w:eastAsia="Calibri" w:hAnsi="Calibri"/>
          <w:i/>
          <w:iCs/>
          <w:color w:val="2B3138"/>
          <w:sz w:val="21"/>
          <w:szCs w:val="21"/>
        </w:rPr>
        <w:t xml:space="preserve">in your own words, what has your back, neck or knee stopped you doing?</w:t>
      </w:r>
    </w:p>
    <w:p>
      <w:pPr>
        <w:spacing w:after="140" w:line="288"/>
        <w:jc w:val="left"/>
      </w:pPr>
      <w:r>
        <w:rPr>
          <w:rFonts w:ascii="Calibri" w:cs="Calibri" w:eastAsia="Calibri" w:hAnsi="Calibri"/>
          <w:color w:val="2B3138"/>
          <w:sz w:val="21"/>
          <w:szCs w:val="21"/>
        </w:rPr>
        <w:t xml:space="preserve">That form does three jobs at once. It gives the ad copy real British language to use in the next cycle. It tells the SuperMe team which registrants have been in pain longest, which is the list worth calling before day one. And it gives Atul a read on the room before he teaches into it.</w:t>
      </w:r>
    </w:p>
    <w:p>
      <w:pPr>
        <w:pStyle w:val="Heading2"/>
        <w:spacing w:after="130" w:before="300"/>
      </w:pPr>
      <w:r>
        <w:rPr>
          <w:rFonts w:ascii="Georgia" w:cs="Georgia" w:eastAsia="Georgia" w:hAnsi="Georgia"/>
          <w:b/>
          <w:bCs/>
          <w:color w:val="15324B"/>
          <w:sz w:val="25"/>
          <w:szCs w:val="25"/>
        </w:rPr>
        <w:t xml:space="preserve">Benchmarks and escalation triggers</w:t>
      </w:r>
    </w:p>
    <w:p>
      <w:pPr>
        <w:spacing w:after="60"/>
      </w:pPr>
      <w:r>
        <w:t xml:space="preserve"/>
      </w:r>
    </w:p>
    <w:tbl>
      <w:tblPr>
        <w:tblW w:type="dxa" w:w="9638"/>
        <w:tblBorders>
          <w:top w:val="single" w:color="D3D8DD" w:sz="4"/>
          <w:left w:val="single" w:color="D3D8DD" w:sz="4"/>
          <w:bottom w:val="single" w:color="D3D8DD" w:sz="4"/>
          <w:right w:val="single" w:color="D3D8DD" w:sz="4"/>
          <w:insideH w:val="single" w:color="D3D8DD" w:sz="4"/>
          <w:insideV w:val="single" w:color="D3D8DD" w:sz="4"/>
        </w:tblBorders>
      </w:tblPr>
      <w:tblGrid>
        <w:gridCol w:w="2800"/>
        <w:gridCol w:w="3400"/>
        <w:gridCol w:w="3438"/>
      </w:tblGrid>
      <w:tr>
        <w:trPr>
          <w:tblHeader/>
        </w:trPr>
        <w:tc>
          <w:tcPr>
            <w:tcW w:type="dxa" w:w="28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Metric</w:t>
            </w:r>
          </w:p>
        </w:tc>
        <w:tc>
          <w:tcPr>
            <w:tcW w:type="dxa" w:w="34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Healthy</w:t>
            </w:r>
          </w:p>
        </w:tc>
        <w:tc>
          <w:tcPr>
            <w:tcW w:type="dxa" w:w="3438"/>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Escalate</w:t>
            </w:r>
          </w:p>
        </w:tc>
      </w:tr>
      <w:tr>
        <w:tc>
          <w:tcPr>
            <w:tcW w:type="dxa" w:w="28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Cost per registrant</w:t>
            </w:r>
          </w:p>
        </w:tc>
        <w:tc>
          <w:tcPr>
            <w:tcW w:type="dxa" w:w="34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£10 to £16</w:t>
            </w:r>
          </w:p>
        </w:tc>
        <w:tc>
          <w:tcPr>
            <w:tcW w:type="dxa" w:w="34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Above £22 for three consecutive days</w:t>
            </w:r>
          </w:p>
        </w:tc>
      </w:tr>
      <w:tr>
        <w:tc>
          <w:tcPr>
            <w:tcW w:type="dxa" w:w="28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Link click-through rate</w:t>
            </w:r>
          </w:p>
        </w:tc>
        <w:tc>
          <w:tcPr>
            <w:tcW w:type="dxa" w:w="34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Above 1.5%</w:t>
            </w:r>
          </w:p>
        </w:tc>
        <w:tc>
          <w:tcPr>
            <w:tcW w:type="dxa" w:w="34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Below 1.2% sustained. This is the fatigue signal.</w:t>
            </w:r>
          </w:p>
        </w:tc>
      </w:tr>
      <w:tr>
        <w:tc>
          <w:tcPr>
            <w:tcW w:type="dxa" w:w="28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Cost per landing page view</w:t>
            </w:r>
          </w:p>
        </w:tc>
        <w:tc>
          <w:tcPr>
            <w:tcW w:type="dxa" w:w="34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Below £1.60</w:t>
            </w:r>
          </w:p>
        </w:tc>
        <w:tc>
          <w:tcPr>
            <w:tcW w:type="dxa" w:w="34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Above £2.40</w:t>
            </w:r>
          </w:p>
        </w:tc>
      </w:tr>
      <w:tr>
        <w:tc>
          <w:tcPr>
            <w:tcW w:type="dxa" w:w="28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Landing page view to purchase</w:t>
            </w:r>
          </w:p>
        </w:tc>
        <w:tc>
          <w:tcPr>
            <w:tcW w:type="dxa" w:w="34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Above 8%</w:t>
            </w:r>
          </w:p>
        </w:tc>
        <w:tc>
          <w:tcPr>
            <w:tcW w:type="dxa" w:w="34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Below 5%. This is a page or offer problem, not an ad problem.</w:t>
            </w:r>
          </w:p>
        </w:tc>
      </w:tr>
      <w:tr>
        <w:tc>
          <w:tcPr>
            <w:tcW w:type="dxa" w:w="28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Day one show-up</w:t>
            </w:r>
          </w:p>
        </w:tc>
        <w:tc>
          <w:tcPr>
            <w:tcW w:type="dxa" w:w="34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Above 45% of registrants</w:t>
            </w:r>
          </w:p>
        </w:tc>
        <w:tc>
          <w:tcPr>
            <w:tcW w:type="dxa" w:w="34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Below 30%</w:t>
            </w:r>
          </w:p>
        </w:tc>
      </w:tr>
      <w:tr>
        <w:tc>
          <w:tcPr>
            <w:tcW w:type="dxa" w:w="28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Day four attendance</w:t>
            </w:r>
          </w:p>
        </w:tc>
        <w:tc>
          <w:tcPr>
            <w:tcW w:type="dxa" w:w="34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Above 55% of day one attendees</w:t>
            </w:r>
          </w:p>
        </w:tc>
        <w:tc>
          <w:tcPr>
            <w:tcW w:type="dxa" w:w="34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Below 35%</w:t>
            </w:r>
          </w:p>
        </w:tc>
      </w:tr>
      <w:tr>
        <w:tc>
          <w:tcPr>
            <w:tcW w:type="dxa" w:w="28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Day five to deposit</w:t>
            </w:r>
          </w:p>
        </w:tc>
        <w:tc>
          <w:tcPr>
            <w:tcW w:type="dxa" w:w="34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Target 15% of attendees</w:t>
            </w:r>
          </w:p>
        </w:tc>
        <w:tc>
          <w:tcPr>
            <w:tcW w:type="dxa" w:w="34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Below 8%</w:t>
            </w:r>
          </w:p>
        </w:tc>
      </w:tr>
      <w:tr>
        <w:tc>
          <w:tcPr>
            <w:tcW w:type="dxa" w:w="28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Deposit to full payment</w:t>
            </w:r>
          </w:p>
        </w:tc>
        <w:tc>
          <w:tcPr>
            <w:tcW w:type="dxa" w:w="34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Target above 70%</w:t>
            </w:r>
          </w:p>
        </w:tc>
        <w:tc>
          <w:tcPr>
            <w:tcW w:type="dxa" w:w="34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Below 50%</w:t>
            </w:r>
          </w:p>
        </w:tc>
      </w:tr>
      <w:tr>
        <w:tc>
          <w:tcPr>
            <w:tcW w:type="dxa" w:w="28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Front-end refund rate</w:t>
            </w:r>
          </w:p>
        </w:tc>
        <w:tc>
          <w:tcPr>
            <w:tcW w:type="dxa" w:w="34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Below 3%</w:t>
            </w:r>
          </w:p>
        </w:tc>
        <w:tc>
          <w:tcPr>
            <w:tcW w:type="dxa" w:w="34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Above 5%</w:t>
            </w:r>
          </w:p>
        </w:tc>
      </w:tr>
    </w:tbl>
    <w:p>
      <w:pPr>
        <w:pageBreakBefore/>
        <w:spacing w:after="20" w:before="0"/>
      </w:pPr>
      <w:r>
        <w:rPr>
          <w:rFonts w:ascii="Georgia" w:cs="Georgia" w:eastAsia="Georgia" w:hAnsi="Georgia"/>
          <w:b/>
          <w:bCs/>
          <w:color w:val="A8703C"/>
          <w:sz w:val="44"/>
          <w:szCs w:val="44"/>
        </w:rPr>
        <w:t xml:space="preserve">6.</w:t>
      </w:r>
    </w:p>
    <w:p>
      <w:pPr>
        <w:pStyle w:val="Heading1"/>
        <w:pBdr>
          <w:bottom w:val="single" w:color="A8703C" w:sz="10" w:space="10"/>
        </w:pBdr>
        <w:spacing w:after="200"/>
      </w:pPr>
      <w:r>
        <w:rPr>
          <w:rFonts w:ascii="Georgia" w:cs="Georgia" w:eastAsia="Georgia" w:hAnsi="Georgia"/>
          <w:b/>
          <w:bCs/>
          <w:color w:val="15324B"/>
          <w:sz w:val="34"/>
          <w:szCs w:val="34"/>
        </w:rPr>
        <w:t xml:space="preserve">CONTENT STRATEGY</w:t>
      </w:r>
    </w:p>
    <w:p>
      <w:pPr>
        <w:spacing w:after="140" w:line="288"/>
        <w:jc w:val="left"/>
      </w:pPr>
      <w:r>
        <w:rPr>
          <w:rFonts w:ascii="Calibri" w:cs="Calibri" w:eastAsia="Calibri" w:hAnsi="Calibri"/>
          <w:color w:val="2B3138"/>
          <w:sz w:val="21"/>
          <w:szCs w:val="21"/>
        </w:rPr>
        <w:t xml:space="preserve">Content has one job in this pilot: feed the advertising. The budget and the timeline do not allow a slow organic build, so content is a creative laboratory and a proof factory rather than an acquisition channel in its own right. Anything that performs organically goes to the media buyer as a paid candidate the same week, subject to the pre-flight checklist in Section 7.</w:t>
      </w:r>
    </w:p>
    <w:p>
      <w:pPr>
        <w:pStyle w:val="Heading2"/>
        <w:spacing w:after="130" w:before="300"/>
      </w:pPr>
      <w:r>
        <w:rPr>
          <w:rFonts w:ascii="Georgia" w:cs="Georgia" w:eastAsia="Georgia" w:hAnsi="Georgia"/>
          <w:b/>
          <w:bCs/>
          <w:color w:val="15324B"/>
          <w:sz w:val="25"/>
          <w:szCs w:val="25"/>
        </w:rPr>
        <w:t xml:space="preserve">The principle</w:t>
      </w:r>
    </w:p>
    <w:p>
      <w:pPr>
        <w:spacing w:after="140" w:line="288"/>
        <w:jc w:val="left"/>
      </w:pPr>
      <w:r>
        <w:rPr>
          <w:rFonts w:ascii="Calibri" w:cs="Calibri" w:eastAsia="Calibri" w:hAnsi="Calibri"/>
          <w:color w:val="2B3138"/>
          <w:sz w:val="21"/>
          <w:szCs w:val="21"/>
        </w:rPr>
        <w:t xml:space="preserve">Lead with the moment, not the condition. Never open a piece with a question aimed at the viewer about their health, both because the platform penalises it and because this audience is tired of being asked. Open on a scene. Then the mechanism. Then the proof. The person recognises themselves without ever being told what they have.</w:t>
      </w:r>
    </w:p>
    <w:p>
      <w:pPr>
        <w:pStyle w:val="Heading2"/>
        <w:spacing w:after="130" w:before="300"/>
      </w:pPr>
      <w:r>
        <w:rPr>
          <w:rFonts w:ascii="Georgia" w:cs="Georgia" w:eastAsia="Georgia" w:hAnsi="Georgia"/>
          <w:b/>
          <w:bCs/>
          <w:color w:val="15324B"/>
          <w:sz w:val="25"/>
          <w:szCs w:val="25"/>
        </w:rPr>
        <w:t xml:space="preserve">The five pillars</w:t>
      </w:r>
    </w:p>
    <w:p>
      <w:pPr>
        <w:pStyle w:val="Heading3"/>
        <w:spacing w:after="90" w:before="220"/>
      </w:pPr>
      <w:r>
        <w:rPr>
          <w:rFonts w:ascii="Calibri" w:cs="Calibri" w:eastAsia="Calibri" w:hAnsi="Calibri"/>
          <w:b/>
          <w:bCs/>
          <w:color w:val="A8703C"/>
          <w:sz w:val="22"/>
          <w:szCs w:val="22"/>
        </w:rPr>
        <w:t xml:space="preserve">Pillar 1.  The desk body.  (Reach and pain)</w:t>
      </w:r>
    </w:p>
    <w:p>
      <w:pPr>
        <w:spacing w:after="140" w:line="288"/>
        <w:jc w:val="left"/>
      </w:pPr>
      <w:r>
        <w:rPr>
          <w:rFonts w:ascii="Calibri" w:cs="Calibri" w:eastAsia="Calibri" w:hAnsi="Calibri"/>
          <w:color w:val="2B3138"/>
          <w:sz w:val="21"/>
          <w:szCs w:val="21"/>
        </w:rPr>
        <w:t xml:space="preserve">The widest net. The specific physical experience of a body that sits for nine hours, told as observation and proof story rather than diagnosis. It catches all three sub-populations, because the desk is upstream of back, neck and knee alike.</w:t>
      </w:r>
    </w:p>
    <w:p>
      <w:pPr>
        <w:pStyle w:val="ListParagraph"/>
        <w:numPr>
          <w:ilvl w:val="0"/>
          <w:numId w:val="1"/>
        </w:numPr>
        <w:spacing w:after="70" w:line="276"/>
      </w:pPr>
      <w:r>
        <w:rPr>
          <w:rFonts w:ascii="Calibri" w:cs="Calibri" w:eastAsia="Calibri" w:hAnsi="Calibri"/>
          <w:color w:val="2B3138"/>
          <w:sz w:val="21"/>
          <w:szCs w:val="21"/>
        </w:rPr>
        <w:t xml:space="preserve">"A software engineer sat nine hours a day for four years. By the time he came to us he could not get through a morning without stiffness."</w:t>
      </w:r>
    </w:p>
    <w:p>
      <w:pPr>
        <w:pStyle w:val="ListParagraph"/>
        <w:numPr>
          <w:ilvl w:val="0"/>
          <w:numId w:val="1"/>
        </w:numPr>
        <w:spacing w:after="70" w:line="276"/>
      </w:pPr>
      <w:r>
        <w:rPr>
          <w:rFonts w:ascii="Calibri" w:cs="Calibri" w:eastAsia="Calibri" w:hAnsi="Calibri"/>
          <w:color w:val="2B3138"/>
          <w:sz w:val="21"/>
          <w:szCs w:val="21"/>
        </w:rPr>
        <w:t xml:space="preserve">"The first hour of the day is the tell. If it takes sixty minutes before you move properly, that is not age."</w:t>
      </w:r>
    </w:p>
    <w:p>
      <w:pPr>
        <w:pStyle w:val="ListParagraph"/>
        <w:numPr>
          <w:ilvl w:val="0"/>
          <w:numId w:val="1"/>
        </w:numPr>
        <w:spacing w:after="70" w:line="276"/>
      </w:pPr>
      <w:r>
        <w:rPr>
          <w:rFonts w:ascii="Calibri" w:cs="Calibri" w:eastAsia="Calibri" w:hAnsi="Calibri"/>
          <w:color w:val="2B3138"/>
          <w:sz w:val="21"/>
          <w:szCs w:val="21"/>
        </w:rPr>
        <w:t xml:space="preserve">"Reached for something on a top shelf and felt it lock. That is usually the moment people go looking."</w:t>
      </w:r>
    </w:p>
    <w:p>
      <w:pPr>
        <w:pStyle w:val="ListParagraph"/>
        <w:numPr>
          <w:ilvl w:val="0"/>
          <w:numId w:val="1"/>
        </w:numPr>
        <w:spacing w:after="70" w:line="276"/>
      </w:pPr>
      <w:r>
        <w:rPr>
          <w:rFonts w:ascii="Calibri" w:cs="Calibri" w:eastAsia="Calibri" w:hAnsi="Calibri"/>
          <w:color w:val="2B3138"/>
          <w:sz w:val="21"/>
          <w:szCs w:val="21"/>
        </w:rPr>
        <w:t xml:space="preserve">"Nobody at work knows. That is the strange part. You just quietly stop doing three or four things."</w:t>
      </w:r>
    </w:p>
    <w:p>
      <w:pPr>
        <w:pStyle w:val="ListParagraph"/>
        <w:numPr>
          <w:ilvl w:val="0"/>
          <w:numId w:val="1"/>
        </w:numPr>
        <w:spacing w:after="70" w:line="276"/>
      </w:pPr>
      <w:r>
        <w:rPr>
          <w:rFonts w:ascii="Calibri" w:cs="Calibri" w:eastAsia="Calibri" w:hAnsi="Calibri"/>
          <w:color w:val="2B3138"/>
          <w:sz w:val="21"/>
          <w:szCs w:val="21"/>
        </w:rPr>
        <w:t xml:space="preserve">"Standing desk. Better chair. Massage gun. All of it treats where it hurts. None of it touches why."</w:t>
      </w:r>
    </w:p>
    <w:p>
      <w:pPr>
        <w:pStyle w:val="Heading3"/>
        <w:spacing w:after="90" w:before="220"/>
      </w:pPr>
      <w:r>
        <w:rPr>
          <w:rFonts w:ascii="Calibri" w:cs="Calibri" w:eastAsia="Calibri" w:hAnsi="Calibri"/>
          <w:b/>
          <w:bCs/>
          <w:color w:val="A8703C"/>
          <w:sz w:val="22"/>
          <w:szCs w:val="22"/>
        </w:rPr>
        <w:t xml:space="preserve">Pillar 2.  The Inner Brace Method, explained.  (Authority and mechanism)</w:t>
      </w:r>
    </w:p>
    <w:p>
      <w:pPr>
        <w:spacing w:after="140" w:line="288"/>
        <w:jc w:val="left"/>
      </w:pPr>
      <w:r>
        <w:rPr>
          <w:rFonts w:ascii="Calibri" w:cs="Calibri" w:eastAsia="Calibri" w:hAnsi="Calibri"/>
          <w:color w:val="2B3138"/>
          <w:sz w:val="21"/>
          <w:szCs w:val="21"/>
        </w:rPr>
        <w:t xml:space="preserve">The pillar that makes the difference make sense, and the highest-value one for cold traffic. This is where a sceptical viewer stops thinking </w:t>
      </w:r>
      <w:r>
        <w:rPr>
          <w:rFonts w:ascii="Calibri" w:cs="Calibri" w:eastAsia="Calibri" w:hAnsi="Calibri"/>
          <w:i/>
          <w:iCs/>
          <w:color w:val="2B3138"/>
          <w:sz w:val="21"/>
          <w:szCs w:val="21"/>
        </w:rPr>
        <w:t xml:space="preserve">yoga</w:t>
      </w:r>
      <w:r>
        <w:rPr>
          <w:rFonts w:ascii="Calibri" w:cs="Calibri" w:eastAsia="Calibri" w:hAnsi="Calibri"/>
          <w:color w:val="2B3138"/>
          <w:sz w:val="21"/>
          <w:szCs w:val="21"/>
        </w:rPr>
        <w:t xml:space="preserve"> and starts thinking </w:t>
      </w:r>
      <w:r>
        <w:rPr>
          <w:rFonts w:ascii="Calibri" w:cs="Calibri" w:eastAsia="Calibri" w:hAnsi="Calibri"/>
          <w:i/>
          <w:iCs/>
          <w:color w:val="2B3138"/>
          <w:sz w:val="21"/>
          <w:szCs w:val="21"/>
        </w:rPr>
        <w:t xml:space="preserve">this person knows something my physio did not tell me</w:t>
      </w:r>
      <w:r>
        <w:rPr>
          <w:rFonts w:ascii="Calibri" w:cs="Calibri" w:eastAsia="Calibri" w:hAnsi="Calibri"/>
          <w:color w:val="2B3138"/>
          <w:sz w:val="21"/>
          <w:szCs w:val="21"/>
        </w:rPr>
        <w:t xml:space="preserve">.</w:t>
      </w:r>
    </w:p>
    <w:p>
      <w:pPr>
        <w:pStyle w:val="ListParagraph"/>
        <w:numPr>
          <w:ilvl w:val="0"/>
          <w:numId w:val="1"/>
        </w:numPr>
        <w:spacing w:after="70" w:line="276"/>
      </w:pPr>
      <w:r>
        <w:rPr>
          <w:rFonts w:ascii="Calibri" w:cs="Calibri" w:eastAsia="Calibri" w:hAnsi="Calibri"/>
          <w:color w:val="2B3138"/>
          <w:sz w:val="21"/>
          <w:szCs w:val="21"/>
        </w:rPr>
        <w:t xml:space="preserve">"Your back is not weak. It is defending itself. And you cannot stretch something that is defending itself."</w:t>
      </w:r>
    </w:p>
    <w:p>
      <w:pPr>
        <w:pStyle w:val="ListParagraph"/>
        <w:numPr>
          <w:ilvl w:val="0"/>
          <w:numId w:val="1"/>
        </w:numPr>
        <w:spacing w:after="70" w:line="276"/>
      </w:pPr>
      <w:r>
        <w:rPr>
          <w:rFonts w:ascii="Calibri" w:cs="Calibri" w:eastAsia="Calibri" w:hAnsi="Calibri"/>
          <w:color w:val="2B3138"/>
          <w:sz w:val="21"/>
          <w:szCs w:val="21"/>
        </w:rPr>
        <w:t xml:space="preserve">"Stop stretching the part that hurts. Here is what to work instead."</w:t>
      </w:r>
    </w:p>
    <w:p>
      <w:pPr>
        <w:pStyle w:val="ListParagraph"/>
        <w:numPr>
          <w:ilvl w:val="0"/>
          <w:numId w:val="1"/>
        </w:numPr>
        <w:spacing w:after="70" w:line="276"/>
      </w:pPr>
      <w:r>
        <w:rPr>
          <w:rFonts w:ascii="Calibri" w:cs="Calibri" w:eastAsia="Calibri" w:hAnsi="Calibri"/>
          <w:color w:val="2B3138"/>
          <w:sz w:val="21"/>
          <w:szCs w:val="21"/>
        </w:rPr>
        <w:t xml:space="preserve">"You already have a back brace. It is called the transverse abdominis, and yours switched off some time ago."</w:t>
      </w:r>
    </w:p>
    <w:p>
      <w:pPr>
        <w:pStyle w:val="ListParagraph"/>
        <w:numPr>
          <w:ilvl w:val="0"/>
          <w:numId w:val="1"/>
        </w:numPr>
        <w:spacing w:after="70" w:line="276"/>
      </w:pPr>
      <w:r>
        <w:rPr>
          <w:rFonts w:ascii="Calibri" w:cs="Calibri" w:eastAsia="Calibri" w:hAnsi="Calibri"/>
          <w:color w:val="2B3138"/>
          <w:sz w:val="21"/>
          <w:szCs w:val="21"/>
        </w:rPr>
        <w:t xml:space="preserve">"With a knee like that, I would not bend the knee at all for the first few weeks. I would build the muscles above and below it."</w:t>
      </w:r>
    </w:p>
    <w:p>
      <w:pPr>
        <w:pStyle w:val="ListParagraph"/>
        <w:numPr>
          <w:ilvl w:val="0"/>
          <w:numId w:val="1"/>
        </w:numPr>
        <w:spacing w:after="70" w:line="276"/>
      </w:pPr>
      <w:r>
        <w:rPr>
          <w:rFonts w:ascii="Calibri" w:cs="Calibri" w:eastAsia="Calibri" w:hAnsi="Calibri"/>
          <w:color w:val="2B3138"/>
          <w:sz w:val="21"/>
          <w:szCs w:val="21"/>
        </w:rPr>
        <w:t xml:space="preserve">"There is a reason it comes back four months after the physiotherapy ends. Nothing changed about where the load lands."</w:t>
      </w:r>
    </w:p>
    <w:p>
      <w:pPr>
        <w:pStyle w:val="ListParagraph"/>
        <w:numPr>
          <w:ilvl w:val="0"/>
          <w:numId w:val="1"/>
        </w:numPr>
        <w:spacing w:after="70" w:line="276"/>
      </w:pPr>
      <w:r>
        <w:rPr>
          <w:rFonts w:ascii="Calibri" w:cs="Calibri" w:eastAsia="Calibri" w:hAnsi="Calibri"/>
          <w:color w:val="2B3138"/>
          <w:sz w:val="21"/>
          <w:szCs w:val="21"/>
        </w:rPr>
        <w:t xml:space="preserve">"Props are not for beginners. They are how you tell your nervous system it is allowed to let go."</w:t>
      </w:r>
    </w:p>
    <w:p>
      <w:pPr>
        <w:pStyle w:val="Heading3"/>
        <w:spacing w:after="90" w:before="220"/>
      </w:pPr>
      <w:r>
        <w:rPr>
          <w:rFonts w:ascii="Calibri" w:cs="Calibri" w:eastAsia="Calibri" w:hAnsi="Calibri"/>
          <w:b/>
          <w:bCs/>
          <w:color w:val="A8703C"/>
          <w:sz w:val="22"/>
          <w:szCs w:val="22"/>
        </w:rPr>
        <w:t xml:space="preserve">Pillar 3.  Real arcs.  (Proof)</w:t>
      </w:r>
    </w:p>
    <w:p>
      <w:pPr>
        <w:spacing w:after="140" w:line="288"/>
        <w:jc w:val="left"/>
      </w:pPr>
      <w:r>
        <w:rPr>
          <w:rFonts w:ascii="Calibri" w:cs="Calibri" w:eastAsia="Calibri" w:hAnsi="Calibri"/>
          <w:color w:val="2B3138"/>
          <w:sz w:val="21"/>
          <w:szCs w:val="21"/>
        </w:rPr>
        <w:t xml:space="preserve">The belief pillar. Named clients, real timelines, no rounding. Thin today, and this is exactly the pillar that Atul's new case studies and cycle one's pain scores will fill.</w:t>
      </w:r>
    </w:p>
    <w:p>
      <w:pPr>
        <w:pStyle w:val="ListParagraph"/>
        <w:numPr>
          <w:ilvl w:val="0"/>
          <w:numId w:val="1"/>
        </w:numPr>
        <w:spacing w:after="70" w:line="276"/>
      </w:pPr>
      <w:r>
        <w:rPr>
          <w:rFonts w:ascii="Calibri" w:cs="Calibri" w:eastAsia="Calibri" w:hAnsi="Calibri"/>
          <w:color w:val="2B3138"/>
          <w:sz w:val="21"/>
          <w:szCs w:val="21"/>
        </w:rPr>
        <w:t xml:space="preserve">"Forty-two. Nine hours a day at a desk. Three weeks in, his mornings changed. Eight weeks in, he worked a full day without thinking about it. He runs at weekends now."</w:t>
      </w:r>
    </w:p>
    <w:p>
      <w:pPr>
        <w:pStyle w:val="ListParagraph"/>
        <w:numPr>
          <w:ilvl w:val="0"/>
          <w:numId w:val="1"/>
        </w:numPr>
        <w:spacing w:after="70" w:line="276"/>
      </w:pPr>
      <w:r>
        <w:rPr>
          <w:rFonts w:ascii="Calibri" w:cs="Calibri" w:eastAsia="Calibri" w:hAnsi="Calibri"/>
          <w:color w:val="2B3138"/>
          <w:sz w:val="21"/>
          <w:szCs w:val="21"/>
        </w:rPr>
        <w:t xml:space="preserve">"Forty-five. Could not touch her toes and could not reach overhead without it pulling. Twelve weeks later, flat palms on the floor."</w:t>
      </w:r>
    </w:p>
    <w:p>
      <w:pPr>
        <w:pStyle w:val="ListParagraph"/>
        <w:numPr>
          <w:ilvl w:val="0"/>
          <w:numId w:val="1"/>
        </w:numPr>
        <w:spacing w:after="70" w:line="276"/>
      </w:pPr>
      <w:r>
        <w:rPr>
          <w:rFonts w:ascii="Calibri" w:cs="Calibri" w:eastAsia="Calibri" w:hAnsi="Calibri"/>
          <w:color w:val="2B3138"/>
          <w:sz w:val="21"/>
          <w:szCs w:val="21"/>
        </w:rPr>
        <w:t xml:space="preserve">"She came in with headaches and a shoulder that would not settle. Three weeks in, the headaches had eased and she could turn her head properly again. Eight sessions."</w:t>
      </w:r>
    </w:p>
    <w:p>
      <w:pPr>
        <w:pStyle w:val="ListParagraph"/>
        <w:numPr>
          <w:ilvl w:val="0"/>
          <w:numId w:val="1"/>
        </w:numPr>
        <w:spacing w:after="70" w:line="276"/>
      </w:pPr>
      <w:r>
        <w:rPr>
          <w:rFonts w:ascii="Calibri" w:cs="Calibri" w:eastAsia="Calibri" w:hAnsi="Calibri"/>
          <w:color w:val="2B3138"/>
          <w:sz w:val="21"/>
          <w:szCs w:val="21"/>
        </w:rPr>
        <w:t xml:space="preserve">"Years of weight training, and he could not lift his arms overhead without it catching. Five weeks later he was back in positions he had written off."</w:t>
      </w:r>
    </w:p>
    <w:p>
      <w:pPr>
        <w:pStyle w:val="ListParagraph"/>
        <w:numPr>
          <w:ilvl w:val="0"/>
          <w:numId w:val="1"/>
        </w:numPr>
        <w:spacing w:after="70" w:line="276"/>
      </w:pPr>
      <w:r>
        <w:rPr>
          <w:rFonts w:ascii="Calibri" w:cs="Calibri" w:eastAsia="Calibri" w:hAnsi="Calibri"/>
          <w:color w:val="2B3138"/>
          <w:sz w:val="21"/>
          <w:szCs w:val="21"/>
        </w:rPr>
        <w:t xml:space="preserve">"Knees. Twelve weeks before the stairs got easier, about twenty before she could squat again. Knees are the slow one. Here is why."</w:t>
      </w:r>
    </w:p>
    <w:p>
      <w:pPr>
        <w:pStyle w:val="ListParagraph"/>
        <w:numPr>
          <w:ilvl w:val="0"/>
          <w:numId w:val="1"/>
        </w:numPr>
        <w:spacing w:after="70" w:line="276"/>
      </w:pPr>
      <w:r>
        <w:rPr>
          <w:rFonts w:ascii="Calibri" w:cs="Calibri" w:eastAsia="Calibri" w:hAnsi="Calibri"/>
          <w:color w:val="2B3138"/>
          <w:sz w:val="21"/>
          <w:szCs w:val="21"/>
        </w:rPr>
        <w:t xml:space="preserve">"Monday she said seven out of ten. Thursday she said four. Four days."</w:t>
      </w:r>
    </w:p>
    <w:p>
      <w:pPr>
        <w:pStyle w:val="Heading3"/>
        <w:spacing w:after="90" w:before="220"/>
      </w:pPr>
      <w:r>
        <w:rPr>
          <w:rFonts w:ascii="Calibri" w:cs="Calibri" w:eastAsia="Calibri" w:hAnsi="Calibri"/>
          <w:b/>
          <w:bCs/>
          <w:color w:val="A8703C"/>
          <w:sz w:val="22"/>
          <w:szCs w:val="22"/>
        </w:rPr>
        <w:t xml:space="preserve">Pillar 4.  The rest myth.  (Differentiator and belief flip)</w:t>
      </w:r>
    </w:p>
    <w:p>
      <w:pPr>
        <w:spacing w:after="140" w:line="288"/>
        <w:jc w:val="left"/>
      </w:pPr>
      <w:r>
        <w:rPr>
          <w:rFonts w:ascii="Calibri" w:cs="Calibri" w:eastAsia="Calibri" w:hAnsi="Calibri"/>
          <w:color w:val="2B3138"/>
          <w:sz w:val="21"/>
          <w:szCs w:val="21"/>
        </w:rPr>
        <w:t xml:space="preserve">Goes directly at the belief holding this audience in place. Rest is the intuitive answer and it is the wrong one. Most shareable of the five and the highest comment volume, which is useful signal.</w:t>
      </w:r>
    </w:p>
    <w:p>
      <w:pPr>
        <w:pStyle w:val="ListParagraph"/>
        <w:numPr>
          <w:ilvl w:val="0"/>
          <w:numId w:val="1"/>
        </w:numPr>
        <w:spacing w:after="70" w:line="276"/>
      </w:pPr>
      <w:r>
        <w:rPr>
          <w:rFonts w:ascii="Calibri" w:cs="Calibri" w:eastAsia="Calibri" w:hAnsi="Calibri"/>
          <w:color w:val="2B3138"/>
          <w:sz w:val="21"/>
          <w:szCs w:val="21"/>
        </w:rPr>
        <w:t xml:space="preserve">"Rest is the worst advice for most back pain, and it is the advice almost everyone gets."</w:t>
      </w:r>
    </w:p>
    <w:p>
      <w:pPr>
        <w:pStyle w:val="ListParagraph"/>
        <w:numPr>
          <w:ilvl w:val="0"/>
          <w:numId w:val="1"/>
        </w:numPr>
        <w:spacing w:after="70" w:line="276"/>
      </w:pPr>
      <w:r>
        <w:rPr>
          <w:rFonts w:ascii="Calibri" w:cs="Calibri" w:eastAsia="Calibri" w:hAnsi="Calibri"/>
          <w:color w:val="2B3138"/>
          <w:sz w:val="21"/>
          <w:szCs w:val="21"/>
        </w:rPr>
        <w:t xml:space="preserve">"Two weeks off your feet does not heal a back. It weakens the thing that was holding it up."</w:t>
      </w:r>
    </w:p>
    <w:p>
      <w:pPr>
        <w:pStyle w:val="ListParagraph"/>
        <w:numPr>
          <w:ilvl w:val="0"/>
          <w:numId w:val="1"/>
        </w:numPr>
        <w:spacing w:after="70" w:line="276"/>
      </w:pPr>
      <w:r>
        <w:rPr>
          <w:rFonts w:ascii="Calibri" w:cs="Calibri" w:eastAsia="Calibri" w:hAnsi="Calibri"/>
          <w:color w:val="2B3138"/>
          <w:sz w:val="21"/>
          <w:szCs w:val="21"/>
        </w:rPr>
        <w:t xml:space="preserve">"The fear of moving is doing more damage than the moving would."</w:t>
      </w:r>
    </w:p>
    <w:p>
      <w:pPr>
        <w:pStyle w:val="ListParagraph"/>
        <w:numPr>
          <w:ilvl w:val="0"/>
          <w:numId w:val="1"/>
        </w:numPr>
        <w:spacing w:after="70" w:line="276"/>
      </w:pPr>
      <w:r>
        <w:rPr>
          <w:rFonts w:ascii="Calibri" w:cs="Calibri" w:eastAsia="Calibri" w:hAnsi="Calibri"/>
          <w:color w:val="2B3138"/>
          <w:sz w:val="21"/>
          <w:szCs w:val="21"/>
        </w:rPr>
        <w:t xml:space="preserve">"A painkiller stops the message. It does not change what is sending it."</w:t>
      </w:r>
    </w:p>
    <w:p>
      <w:pPr>
        <w:pStyle w:val="Heading3"/>
        <w:spacing w:after="90" w:before="220"/>
      </w:pPr>
      <w:r>
        <w:rPr>
          <w:rFonts w:ascii="Calibri" w:cs="Calibri" w:eastAsia="Calibri" w:hAnsi="Calibri"/>
          <w:b/>
          <w:bCs/>
          <w:color w:val="A8703C"/>
          <w:sz w:val="22"/>
          <w:szCs w:val="22"/>
        </w:rPr>
        <w:t xml:space="preserve">Pillar 5.  The teacher.  (Trust)</w:t>
      </w:r>
    </w:p>
    <w:p>
      <w:pPr>
        <w:spacing w:after="140" w:line="288"/>
        <w:jc w:val="left"/>
      </w:pPr>
      <w:r>
        <w:rPr>
          <w:rFonts w:ascii="Calibri" w:cs="Calibri" w:eastAsia="Calibri" w:hAnsi="Calibri"/>
          <w:color w:val="2B3138"/>
          <w:sz w:val="21"/>
          <w:szCs w:val="21"/>
        </w:rPr>
        <w:t xml:space="preserve">Atul himself. Sixteen years, Kaivalyadhama, over a thousand students, teaching across five countries. Where the competing product is an application, the human is the differentiator, and this is what makes a live format worth turning up for.</w:t>
      </w:r>
    </w:p>
    <w:p>
      <w:pPr>
        <w:pStyle w:val="ListParagraph"/>
        <w:numPr>
          <w:ilvl w:val="0"/>
          <w:numId w:val="1"/>
        </w:numPr>
        <w:spacing w:after="70" w:line="276"/>
      </w:pPr>
      <w:r>
        <w:rPr>
          <w:rFonts w:ascii="Calibri" w:cs="Calibri" w:eastAsia="Calibri" w:hAnsi="Calibri"/>
          <w:color w:val="2B3138"/>
          <w:sz w:val="21"/>
          <w:szCs w:val="21"/>
        </w:rPr>
        <w:t xml:space="preserve">"Sixteen years of teaching. Over a thousand students. Five hundred people trained to teach."</w:t>
      </w:r>
    </w:p>
    <w:p>
      <w:pPr>
        <w:pStyle w:val="ListParagraph"/>
        <w:numPr>
          <w:ilvl w:val="0"/>
          <w:numId w:val="1"/>
        </w:numPr>
        <w:spacing w:after="70" w:line="276"/>
      </w:pPr>
      <w:r>
        <w:rPr>
          <w:rFonts w:ascii="Calibri" w:cs="Calibri" w:eastAsia="Calibri" w:hAnsi="Calibri"/>
          <w:color w:val="2B3138"/>
          <w:sz w:val="21"/>
          <w:szCs w:val="21"/>
        </w:rPr>
        <w:t xml:space="preserve">"He learned this at home in Uttar Pradesh before he studied it at Kaivalyadhama in 2011."</w:t>
      </w:r>
    </w:p>
    <w:p>
      <w:pPr>
        <w:pStyle w:val="ListParagraph"/>
        <w:numPr>
          <w:ilvl w:val="0"/>
          <w:numId w:val="1"/>
        </w:numPr>
        <w:spacing w:after="70" w:line="276"/>
      </w:pPr>
      <w:r>
        <w:rPr>
          <w:rFonts w:ascii="Calibri" w:cs="Calibri" w:eastAsia="Calibri" w:hAnsi="Calibri"/>
          <w:color w:val="2B3138"/>
          <w:sz w:val="21"/>
          <w:szCs w:val="21"/>
        </w:rPr>
        <w:t xml:space="preserve">"Why I use a wall and a belt with almost every new student, and what happens when people skip that."</w:t>
      </w:r>
    </w:p>
    <w:p>
      <w:pPr>
        <w:pStyle w:val="ListParagraph"/>
        <w:numPr>
          <w:ilvl w:val="0"/>
          <w:numId w:val="1"/>
        </w:numPr>
        <w:spacing w:after="70" w:line="276"/>
      </w:pPr>
      <w:r>
        <w:rPr>
          <w:rFonts w:ascii="Calibri" w:cs="Calibri" w:eastAsia="Calibri" w:hAnsi="Calibri"/>
          <w:color w:val="2B3138"/>
          <w:sz w:val="21"/>
          <w:szCs w:val="21"/>
        </w:rPr>
        <w:t xml:space="preserve">"There are two kinds of knee pain and they need two different answers. Most people are never told which one they have."</w:t>
      </w:r>
    </w:p>
    <w:p>
      <w:pPr>
        <w:pStyle w:val="Heading2"/>
        <w:spacing w:after="130" w:before="300"/>
      </w:pPr>
      <w:r>
        <w:rPr>
          <w:rFonts w:ascii="Georgia" w:cs="Georgia" w:eastAsia="Georgia" w:hAnsi="Georgia"/>
          <w:b/>
          <w:bCs/>
          <w:color w:val="15324B"/>
          <w:sz w:val="25"/>
          <w:szCs w:val="25"/>
        </w:rPr>
        <w:t xml:space="preserve">Cadence</w:t>
      </w:r>
    </w:p>
    <w:p>
      <w:pPr>
        <w:spacing w:after="60"/>
      </w:pPr>
      <w:r>
        <w:t xml:space="preserve"/>
      </w:r>
    </w:p>
    <w:tbl>
      <w:tblPr>
        <w:tblW w:type="dxa" w:w="9638"/>
        <w:tblBorders>
          <w:top w:val="single" w:color="D3D8DD" w:sz="4"/>
          <w:left w:val="single" w:color="D3D8DD" w:sz="4"/>
          <w:bottom w:val="single" w:color="D3D8DD" w:sz="4"/>
          <w:right w:val="single" w:color="D3D8DD" w:sz="4"/>
          <w:insideH w:val="single" w:color="D3D8DD" w:sz="4"/>
          <w:insideV w:val="single" w:color="D3D8DD" w:sz="4"/>
        </w:tblBorders>
      </w:tblPr>
      <w:tblGrid>
        <w:gridCol w:w="1928"/>
        <w:gridCol w:w="1928"/>
        <w:gridCol w:w="1928"/>
        <w:gridCol w:w="1928"/>
        <w:gridCol w:w="1926"/>
      </w:tblGrid>
      <w:tr>
        <w:trPr>
          <w:tblHeader/>
        </w:trPr>
        <w:tc>
          <w:tcPr>
            <w:tcW w:type="dxa" w:w="1928"/>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Pillar 1</w:t>
            </w:r>
          </w:p>
        </w:tc>
        <w:tc>
          <w:tcPr>
            <w:tcW w:type="dxa" w:w="1928"/>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Pillar 2</w:t>
            </w:r>
          </w:p>
        </w:tc>
        <w:tc>
          <w:tcPr>
            <w:tcW w:type="dxa" w:w="1928"/>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Pillar 3</w:t>
            </w:r>
          </w:p>
        </w:tc>
        <w:tc>
          <w:tcPr>
            <w:tcW w:type="dxa" w:w="1928"/>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Pillar 4</w:t>
            </w:r>
          </w:p>
        </w:tc>
        <w:tc>
          <w:tcPr>
            <w:tcW w:type="dxa" w:w="1926"/>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Pillar 5</w:t>
            </w:r>
          </w:p>
        </w:tc>
      </w:tr>
      <w:tr>
        <w:tc>
          <w:tcPr>
            <w:tcW w:type="dxa" w:w="192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2 to 3 reels per week</w:t>
            </w:r>
          </w:p>
        </w:tc>
        <w:tc>
          <w:tcPr>
            <w:tcW w:type="dxa" w:w="192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2 reels per week</w:t>
            </w:r>
          </w:p>
        </w:tc>
        <w:tc>
          <w:tcPr>
            <w:tcW w:type="dxa" w:w="192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1 reel per week, growing with cycle one</w:t>
            </w:r>
          </w:p>
        </w:tc>
        <w:tc>
          <w:tcPr>
            <w:tcW w:type="dxa" w:w="192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1 to 2 reels per week</w:t>
            </w:r>
          </w:p>
        </w:tc>
        <w:tc>
          <w:tcPr>
            <w:tcW w:type="dxa" w:w="1926"/>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1 post per week</w:t>
            </w:r>
          </w:p>
        </w:tc>
      </w:tr>
    </w:tbl>
    <w:p>
      <w:pPr>
        <w:spacing w:after="140"/>
      </w:pPr>
      <w:r>
        <w:t xml:space="preserve"/>
      </w:r>
    </w:p>
    <w:p>
      <w:pPr>
        <w:spacing w:after="140" w:line="288"/>
        <w:jc w:val="left"/>
      </w:pPr>
      <w:r>
        <w:rPr>
          <w:rFonts w:ascii="Calibri" w:cs="Calibri" w:eastAsia="Calibri" w:hAnsi="Calibri"/>
          <w:color w:val="2B3138"/>
          <w:sz w:val="21"/>
          <w:szCs w:val="21"/>
        </w:rPr>
        <w:t xml:space="preserve">Anything with meaningful organic traction goes to the media buyer as a paid candidate the same week.</w:t>
      </w:r>
    </w:p>
    <w:p>
      <w:pPr>
        <w:pStyle w:val="Heading2"/>
        <w:spacing w:after="130" w:before="300"/>
      </w:pPr>
      <w:r>
        <w:rPr>
          <w:rFonts w:ascii="Georgia" w:cs="Georgia" w:eastAsia="Georgia" w:hAnsi="Georgia"/>
          <w:b/>
          <w:bCs/>
          <w:color w:val="15324B"/>
          <w:sz w:val="25"/>
          <w:szCs w:val="25"/>
        </w:rPr>
        <w:t xml:space="preserve">Copy rules for every post and every ad</w:t>
      </w:r>
    </w:p>
    <w:p>
      <w:pPr>
        <w:pStyle w:val="ListParagraph"/>
        <w:numPr>
          <w:ilvl w:val="0"/>
          <w:numId w:val="1"/>
        </w:numPr>
        <w:spacing w:after="70" w:line="276"/>
      </w:pPr>
      <w:r>
        <w:rPr>
          <w:rFonts w:ascii="Calibri" w:cs="Calibri" w:eastAsia="Calibri" w:hAnsi="Calibri"/>
          <w:color w:val="2B3138"/>
          <w:sz w:val="21"/>
          <w:szCs w:val="21"/>
        </w:rPr>
        <w:t xml:space="preserve">Natural British English. Short and punchy over long and explanatory, because this market rewards it.</w:t>
      </w:r>
    </w:p>
    <w:p>
      <w:pPr>
        <w:pStyle w:val="ListParagraph"/>
        <w:numPr>
          <w:ilvl w:val="0"/>
          <w:numId w:val="1"/>
        </w:numPr>
        <w:spacing w:after="70" w:line="276"/>
      </w:pPr>
      <w:r>
        <w:rPr>
          <w:rFonts w:ascii="Calibri" w:cs="Calibri" w:eastAsia="Calibri" w:hAnsi="Calibri"/>
          <w:color w:val="2B3138"/>
          <w:sz w:val="21"/>
          <w:szCs w:val="21"/>
        </w:rPr>
        <w:t xml:space="preserve">The buyer's own words. </w:t>
      </w:r>
      <w:r>
        <w:rPr>
          <w:rFonts w:ascii="Calibri" w:cs="Calibri" w:eastAsia="Calibri" w:hAnsi="Calibri"/>
          <w:i/>
          <w:iCs/>
          <w:color w:val="2B3138"/>
          <w:sz w:val="21"/>
          <w:szCs w:val="21"/>
        </w:rPr>
        <w:t xml:space="preserve">Stiffness. It locks. Getting back up. It wakes me up.</w:t>
      </w:r>
      <w:r>
        <w:rPr>
          <w:rFonts w:ascii="Calibri" w:cs="Calibri" w:eastAsia="Calibri" w:hAnsi="Calibri"/>
          <w:color w:val="2B3138"/>
          <w:sz w:val="21"/>
          <w:szCs w:val="21"/>
        </w:rPr>
        <w:t xml:space="preserve"> Not </w:t>
      </w:r>
      <w:r>
        <w:rPr>
          <w:rFonts w:ascii="Calibri" w:cs="Calibri" w:eastAsia="Calibri" w:hAnsi="Calibri"/>
          <w:i/>
          <w:iCs/>
          <w:color w:val="2B3138"/>
          <w:sz w:val="21"/>
          <w:szCs w:val="21"/>
        </w:rPr>
        <w:t xml:space="preserve">discomfort</w:t>
      </w:r>
      <w:r>
        <w:rPr>
          <w:rFonts w:ascii="Calibri" w:cs="Calibri" w:eastAsia="Calibri" w:hAnsi="Calibri"/>
          <w:color w:val="2B3138"/>
          <w:sz w:val="21"/>
          <w:szCs w:val="21"/>
        </w:rPr>
        <w:t xml:space="preserve">, not </w:t>
      </w:r>
      <w:r>
        <w:rPr>
          <w:rFonts w:ascii="Calibri" w:cs="Calibri" w:eastAsia="Calibri" w:hAnsi="Calibri"/>
          <w:i/>
          <w:iCs/>
          <w:color w:val="2B3138"/>
          <w:sz w:val="21"/>
          <w:szCs w:val="21"/>
        </w:rPr>
        <w:t xml:space="preserve">wellness journey</w:t>
      </w:r>
      <w:r>
        <w:rPr>
          <w:rFonts w:ascii="Calibri" w:cs="Calibri" w:eastAsia="Calibri" w:hAnsi="Calibri"/>
          <w:color w:val="2B3138"/>
          <w:sz w:val="21"/>
          <w:szCs w:val="21"/>
        </w:rPr>
        <w:t xml:space="preserve">, not </w:t>
      </w:r>
      <w:r>
        <w:rPr>
          <w:rFonts w:ascii="Calibri" w:cs="Calibri" w:eastAsia="Calibri" w:hAnsi="Calibri"/>
          <w:i/>
          <w:iCs/>
          <w:color w:val="2B3138"/>
          <w:sz w:val="21"/>
          <w:szCs w:val="21"/>
        </w:rPr>
        <w:t xml:space="preserve">mobility issues</w:t>
      </w:r>
      <w:r>
        <w:rPr>
          <w:rFonts w:ascii="Calibri" w:cs="Calibri" w:eastAsia="Calibri" w:hAnsi="Calibri"/>
          <w:color w:val="2B3138"/>
          <w:sz w:val="21"/>
          <w:szCs w:val="21"/>
        </w:rPr>
        <w:t xml:space="preserve">.</w:t>
      </w:r>
    </w:p>
    <w:p>
      <w:pPr>
        <w:pStyle w:val="ListParagraph"/>
        <w:numPr>
          <w:ilvl w:val="0"/>
          <w:numId w:val="1"/>
        </w:numPr>
        <w:spacing w:after="70" w:line="276"/>
      </w:pPr>
      <w:r>
        <w:rPr>
          <w:rFonts w:ascii="Calibri" w:cs="Calibri" w:eastAsia="Calibri" w:hAnsi="Calibri"/>
          <w:color w:val="2B3138"/>
          <w:sz w:val="21"/>
          <w:szCs w:val="21"/>
        </w:rPr>
        <w:t xml:space="preserve">Proof-story framing. A named client did X, never </w:t>
      </w:r>
      <w:r>
        <w:rPr>
          <w:rFonts w:ascii="Calibri" w:cs="Calibri" w:eastAsia="Calibri" w:hAnsi="Calibri"/>
          <w:i/>
          <w:iCs/>
          <w:color w:val="2B3138"/>
          <w:sz w:val="21"/>
          <w:szCs w:val="21"/>
        </w:rPr>
        <w:t xml:space="preserve">you will</w:t>
      </w:r>
      <w:r>
        <w:rPr>
          <w:rFonts w:ascii="Calibri" w:cs="Calibri" w:eastAsia="Calibri" w:hAnsi="Calibri"/>
          <w:color w:val="2B3138"/>
          <w:sz w:val="21"/>
          <w:szCs w:val="21"/>
        </w:rPr>
        <w:t xml:space="preserve">.</w:t>
      </w:r>
    </w:p>
    <w:p>
      <w:pPr>
        <w:pStyle w:val="ListParagraph"/>
        <w:numPr>
          <w:ilvl w:val="0"/>
          <w:numId w:val="1"/>
        </w:numPr>
        <w:spacing w:after="70" w:line="276"/>
      </w:pPr>
      <w:r>
        <w:rPr>
          <w:rFonts w:ascii="Calibri" w:cs="Calibri" w:eastAsia="Calibri" w:hAnsi="Calibri"/>
          <w:color w:val="2B3138"/>
          <w:sz w:val="21"/>
          <w:szCs w:val="21"/>
        </w:rPr>
        <w:t xml:space="preserve">Sell relief from a specific pain. Yoga is the mechanism, never the headline.</w:t>
      </w:r>
    </w:p>
    <w:p>
      <w:pPr>
        <w:pStyle w:val="ListParagraph"/>
        <w:numPr>
          <w:ilvl w:val="0"/>
          <w:numId w:val="1"/>
        </w:numPr>
        <w:spacing w:after="70" w:line="276"/>
      </w:pPr>
      <w:r>
        <w:rPr>
          <w:rFonts w:ascii="Calibri" w:cs="Calibri" w:eastAsia="Calibri" w:hAnsi="Calibri"/>
          <w:color w:val="2B3138"/>
          <w:sz w:val="21"/>
          <w:szCs w:val="21"/>
        </w:rPr>
        <w:t xml:space="preserve">No em dashes, no AI-fingerprint phrasing, and every line has to sound like something a real person would say out loud.</w:t>
      </w:r>
    </w:p>
    <w:p>
      <w:pPr>
        <w:pageBreakBefore/>
        <w:spacing w:after="20" w:before="0"/>
      </w:pPr>
      <w:r>
        <w:rPr>
          <w:rFonts w:ascii="Georgia" w:cs="Georgia" w:eastAsia="Georgia" w:hAnsi="Georgia"/>
          <w:b/>
          <w:bCs/>
          <w:color w:val="A8703C"/>
          <w:sz w:val="44"/>
          <w:szCs w:val="44"/>
        </w:rPr>
        <w:t xml:space="preserve">7.</w:t>
      </w:r>
    </w:p>
    <w:p>
      <w:pPr>
        <w:pStyle w:val="Heading1"/>
        <w:pBdr>
          <w:bottom w:val="single" w:color="A8703C" w:sz="10" w:space="10"/>
        </w:pBdr>
        <w:spacing w:after="200"/>
      </w:pPr>
      <w:r>
        <w:rPr>
          <w:rFonts w:ascii="Georgia" w:cs="Georgia" w:eastAsia="Georgia" w:hAnsi="Georgia"/>
          <w:b/>
          <w:bCs/>
          <w:color w:val="15324B"/>
          <w:sz w:val="34"/>
          <w:szCs w:val="34"/>
        </w:rPr>
        <w:t xml:space="preserve">AD MESSAGING</w:t>
      </w:r>
    </w:p>
    <w:p>
      <w:pPr>
        <w:pStyle w:val="Heading2"/>
        <w:spacing w:after="130" w:before="300"/>
      </w:pPr>
      <w:r>
        <w:rPr>
          <w:rFonts w:ascii="Georgia" w:cs="Georgia" w:eastAsia="Georgia" w:hAnsi="Georgia"/>
          <w:b/>
          <w:bCs/>
          <w:color w:val="15324B"/>
          <w:sz w:val="25"/>
          <w:szCs w:val="25"/>
        </w:rPr>
        <w:t xml:space="preserve">The core principle</w:t>
      </w:r>
    </w:p>
    <w:p>
      <w:pPr>
        <w:spacing w:after="140" w:line="288"/>
        <w:jc w:val="left"/>
      </w:pPr>
      <w:r>
        <w:rPr>
          <w:rFonts w:ascii="Calibri" w:cs="Calibri" w:eastAsia="Calibri" w:hAnsi="Calibri"/>
          <w:color w:val="2B3138"/>
          <w:sz w:val="21"/>
          <w:szCs w:val="21"/>
        </w:rPr>
        <w:t xml:space="preserve">Lead with the thing this person is actually searching for at eleven at night, which is not yoga. It is their back. Their neck. The stairs. The morning.</w:t>
      </w:r>
    </w:p>
    <w:p>
      <w:pPr>
        <w:spacing w:after="140" w:line="288"/>
        <w:jc w:val="left"/>
      </w:pPr>
      <w:r>
        <w:rPr>
          <w:rFonts w:ascii="Calibri" w:cs="Calibri" w:eastAsia="Calibri" w:hAnsi="Calibri"/>
          <w:color w:val="2B3138"/>
          <w:sz w:val="21"/>
          <w:szCs w:val="21"/>
        </w:rPr>
        <w:t xml:space="preserve">Then reveal the mechanism, which is where SuperMe wins, because nobody else in this market is naming one. The clinics sell appointments. The device sellers sell objects. The applications sell libraries. The Inner Brace Method is a named, feelable idea that explains why the last four things they tried wore off, and it is the strongest single asset the advertising has.</w:t>
      </w:r>
    </w:p>
    <w:p>
      <w:pPr>
        <w:spacing w:after="140" w:line="288"/>
        <w:jc w:val="left"/>
      </w:pPr>
      <w:r>
        <w:rPr>
          <w:rFonts w:ascii="Calibri" w:cs="Calibri" w:eastAsia="Calibri" w:hAnsi="Calibri"/>
          <w:color w:val="2B3138"/>
          <w:sz w:val="21"/>
          <w:szCs w:val="21"/>
        </w:rPr>
        <w:t xml:space="preserve">Two disciplines make it durable. Never attribute a condition to the viewer in the second person, and never claim speed the case files do not support. Appendix A sets the full line.</w:t>
      </w:r>
    </w:p>
    <w:p>
      <w:pPr>
        <w:pStyle w:val="Heading2"/>
        <w:spacing w:after="130" w:before="300"/>
      </w:pPr>
      <w:r>
        <w:rPr>
          <w:rFonts w:ascii="Georgia" w:cs="Georgia" w:eastAsia="Georgia" w:hAnsi="Georgia"/>
          <w:b/>
          <w:bCs/>
          <w:color w:val="15324B"/>
          <w:sz w:val="25"/>
          <w:szCs w:val="25"/>
        </w:rPr>
        <w:t xml:space="preserve">What Atul can stand behind</w:t>
      </w:r>
    </w:p>
    <w:p>
      <w:pPr>
        <w:spacing w:after="140" w:line="288"/>
        <w:jc w:val="left"/>
      </w:pPr>
      <w:r>
        <w:rPr>
          <w:rFonts w:ascii="Calibri" w:cs="Calibri" w:eastAsia="Calibri" w:hAnsi="Calibri"/>
          <w:color w:val="2B3138"/>
          <w:sz w:val="21"/>
          <w:szCs w:val="21"/>
        </w:rPr>
        <w:t xml:space="preserve">Defensible, drawn from the case files, usable in copy with proof-story framing and a results-vary note.</w:t>
      </w:r>
    </w:p>
    <w:p>
      <w:pPr>
        <w:pStyle w:val="ListParagraph"/>
        <w:numPr>
          <w:ilvl w:val="0"/>
          <w:numId w:val="1"/>
        </w:numPr>
        <w:spacing w:after="70" w:line="276"/>
      </w:pPr>
      <w:r>
        <w:rPr>
          <w:rFonts w:ascii="Calibri" w:cs="Calibri" w:eastAsia="Calibri" w:hAnsi="Calibri"/>
          <w:color w:val="2B3138"/>
          <w:sz w:val="21"/>
          <w:szCs w:val="21"/>
        </w:rPr>
        <w:t xml:space="preserve">Reduced morning stiffness at around three weeks, at six to eight sessions (lower back)</w:t>
      </w:r>
    </w:p>
    <w:p>
      <w:pPr>
        <w:pStyle w:val="ListParagraph"/>
        <w:numPr>
          <w:ilvl w:val="0"/>
          <w:numId w:val="1"/>
        </w:numPr>
        <w:spacing w:after="70" w:line="276"/>
      </w:pPr>
      <w:r>
        <w:rPr>
          <w:rFonts w:ascii="Calibri" w:cs="Calibri" w:eastAsia="Calibri" w:hAnsi="Calibri"/>
          <w:color w:val="2B3138"/>
          <w:sz w:val="21"/>
          <w:szCs w:val="21"/>
        </w:rPr>
        <w:t xml:space="preserve">Reduced headaches and restored neck and shoulder range at around three weeks, at eight sessions (neck and upper back)</w:t>
      </w:r>
    </w:p>
    <w:p>
      <w:pPr>
        <w:pStyle w:val="ListParagraph"/>
        <w:numPr>
          <w:ilvl w:val="0"/>
          <w:numId w:val="1"/>
        </w:numPr>
        <w:spacing w:after="70" w:line="276"/>
      </w:pPr>
      <w:r>
        <w:rPr>
          <w:rFonts w:ascii="Calibri" w:cs="Calibri" w:eastAsia="Calibri" w:hAnsi="Calibri"/>
          <w:color w:val="2B3138"/>
          <w:sz w:val="21"/>
          <w:szCs w:val="21"/>
        </w:rPr>
        <w:t xml:space="preserve">Lighter shoulders and restored overhead movement at around five weeks, at twelve sessions (shoulder)</w:t>
      </w:r>
    </w:p>
    <w:p>
      <w:pPr>
        <w:pStyle w:val="ListParagraph"/>
        <w:numPr>
          <w:ilvl w:val="0"/>
          <w:numId w:val="1"/>
        </w:numPr>
        <w:spacing w:after="70" w:line="276"/>
      </w:pPr>
      <w:r>
        <w:rPr>
          <w:rFonts w:ascii="Calibri" w:cs="Calibri" w:eastAsia="Calibri" w:hAnsi="Calibri"/>
          <w:color w:val="2B3138"/>
          <w:sz w:val="21"/>
          <w:szCs w:val="21"/>
        </w:rPr>
        <w:t xml:space="preserve">A full working day seated without pain at around eight weeks (lower back)</w:t>
      </w:r>
    </w:p>
    <w:p>
      <w:pPr>
        <w:pStyle w:val="ListParagraph"/>
        <w:numPr>
          <w:ilvl w:val="0"/>
          <w:numId w:val="1"/>
        </w:numPr>
        <w:spacing w:after="70" w:line="276"/>
      </w:pPr>
      <w:r>
        <w:rPr>
          <w:rFonts w:ascii="Calibri" w:cs="Calibri" w:eastAsia="Calibri" w:hAnsi="Calibri"/>
          <w:color w:val="2B3138"/>
          <w:sz w:val="21"/>
          <w:szCs w:val="21"/>
        </w:rPr>
        <w:t xml:space="preserve">Noticeably improved mobility through hips, hamstrings and shoulders at four weeks, at eight sessions</w:t>
      </w:r>
    </w:p>
    <w:p>
      <w:pPr>
        <w:pStyle w:val="ListParagraph"/>
        <w:numPr>
          <w:ilvl w:val="0"/>
          <w:numId w:val="1"/>
        </w:numPr>
        <w:spacing w:after="70" w:line="276"/>
      </w:pPr>
      <w:r>
        <w:rPr>
          <w:rFonts w:ascii="Calibri" w:cs="Calibri" w:eastAsia="Calibri" w:hAnsi="Calibri"/>
          <w:color w:val="2B3138"/>
          <w:sz w:val="21"/>
          <w:szCs w:val="21"/>
        </w:rPr>
        <w:t xml:space="preserve">Full comfortable mobility across the major joints at twelve weeks</w:t>
      </w:r>
    </w:p>
    <w:p>
      <w:pPr>
        <w:pStyle w:val="ListParagraph"/>
        <w:numPr>
          <w:ilvl w:val="0"/>
          <w:numId w:val="1"/>
        </w:numPr>
        <w:spacing w:after="70" w:line="276"/>
      </w:pPr>
      <w:r>
        <w:rPr>
          <w:rFonts w:ascii="Calibri" w:cs="Calibri" w:eastAsia="Calibri" w:hAnsi="Calibri"/>
          <w:color w:val="2B3138"/>
          <w:sz w:val="21"/>
          <w:szCs w:val="21"/>
        </w:rPr>
        <w:t xml:space="preserve">Visible improvement in strength and posture at six weeks, at fifteen sessions</w:t>
      </w:r>
    </w:p>
    <w:p>
      <w:pPr>
        <w:pStyle w:val="ListParagraph"/>
        <w:numPr>
          <w:ilvl w:val="0"/>
          <w:numId w:val="1"/>
        </w:numPr>
        <w:spacing w:after="70" w:line="276"/>
      </w:pPr>
      <w:r>
        <w:rPr>
          <w:rFonts w:ascii="Calibri" w:cs="Calibri" w:eastAsia="Calibri" w:hAnsi="Calibri"/>
          <w:color w:val="2B3138"/>
          <w:sz w:val="21"/>
          <w:szCs w:val="21"/>
        </w:rPr>
        <w:t xml:space="preserve">First reduction in knee pain on stairs at around twelve weeks, functional stability at eighteen to twenty weeks</w:t>
      </w:r>
    </w:p>
    <w:p>
      <w:pPr>
        <w:pStyle w:val="ListParagraph"/>
        <w:numPr>
          <w:ilvl w:val="0"/>
          <w:numId w:val="1"/>
        </w:numPr>
        <w:spacing w:after="70" w:line="276"/>
      </w:pPr>
      <w:r>
        <w:rPr>
          <w:rFonts w:ascii="Calibri" w:cs="Calibri" w:eastAsia="Calibri" w:hAnsi="Calibri"/>
          <w:color w:val="2B3138"/>
          <w:sz w:val="21"/>
          <w:szCs w:val="21"/>
        </w:rPr>
        <w:t xml:space="preserve">Sixteen-plus years of teaching, E-RYT 500, PG Diploma in Yoga Education from Kaivalyadhama, over 1,000 students taught, 500-plus trained to teach, 20-plus teacher trainings across five countries</w:t>
      </w:r>
    </w:p>
    <w:p>
      <w:pPr>
        <w:spacing w:after="60"/>
      </w:pPr>
      <w:r>
        <w:t xml:space="preserve"/>
      </w:r>
    </w:p>
    <w:p>
      <w:pPr>
        <w:spacing w:after="140" w:line="288"/>
        <w:jc w:val="left"/>
      </w:pPr>
      <w:r>
        <w:rPr>
          <w:rFonts w:ascii="Calibri" w:cs="Calibri" w:eastAsia="Calibri" w:hAnsi="Calibri"/>
          <w:b/>
          <w:bCs/>
          <w:color w:val="15324B"/>
          <w:sz w:val="21"/>
          <w:szCs w:val="21"/>
        </w:rPr>
        <w:t xml:space="preserve">What cannot be claimed:</w:t>
      </w:r>
      <w:r>
        <w:rPr>
          <w:rFonts w:ascii="Calibri" w:cs="Calibri" w:eastAsia="Calibri" w:hAnsi="Calibri"/>
          <w:color w:val="2B3138"/>
          <w:sz w:val="21"/>
          <w:szCs w:val="21"/>
        </w:rPr>
        <w:t xml:space="preserve"> relief in the first session, cure, a permanent fix, anything suggesting this replaces medical care, any comparison against physiotherapy or medication, any outcome not traceable to a named case file, and any rounded-up number. </w:t>
      </w:r>
      <w:r>
        <w:rPr>
          <w:rFonts w:ascii="Calibri" w:cs="Calibri" w:eastAsia="Calibri" w:hAnsi="Calibri"/>
          <w:b/>
          <w:bCs/>
          <w:color w:val="15324B"/>
          <w:sz w:val="21"/>
          <w:szCs w:val="21"/>
        </w:rPr>
        <w:t xml:space="preserve">The phrase pain-free is not available to us in advertising</w:t>
      </w:r>
      <w:r>
        <w:rPr>
          <w:rFonts w:ascii="Calibri" w:cs="Calibri" w:eastAsia="Calibri" w:hAnsi="Calibri"/>
          <w:color w:val="2B3138"/>
          <w:sz w:val="21"/>
          <w:szCs w:val="21"/>
        </w:rPr>
        <w:t xml:space="preserve">, which is worth stating plainly because it is the most natural phrase in this category and the most tempting one to reach for.</w:t>
      </w:r>
    </w:p>
    <w:p>
      <w:pPr>
        <w:pStyle w:val="Heading2"/>
        <w:spacing w:after="130" w:before="300"/>
      </w:pPr>
      <w:r>
        <w:rPr>
          <w:rFonts w:ascii="Georgia" w:cs="Georgia" w:eastAsia="Georgia" w:hAnsi="Georgia"/>
          <w:b/>
          <w:bCs/>
          <w:color w:val="15324B"/>
          <w:sz w:val="25"/>
          <w:szCs w:val="25"/>
        </w:rPr>
        <w:t xml:space="preserve">Copy discipline architecture</w:t>
      </w:r>
    </w:p>
    <w:p>
      <w:pPr>
        <w:spacing w:after="60"/>
      </w:pPr>
      <w:r>
        <w:t xml:space="preserve"/>
      </w:r>
    </w:p>
    <w:tbl>
      <w:tblPr>
        <w:tblW w:type="dxa" w:w="9638"/>
        <w:tblBorders>
          <w:top w:val="single" w:color="D3D8DD" w:sz="4"/>
          <w:left w:val="single" w:color="D3D8DD" w:sz="4"/>
          <w:bottom w:val="single" w:color="D3D8DD" w:sz="4"/>
          <w:right w:val="single" w:color="D3D8DD" w:sz="4"/>
          <w:insideH w:val="single" w:color="D3D8DD" w:sz="4"/>
          <w:insideV w:val="single" w:color="D3D8DD" w:sz="4"/>
        </w:tblBorders>
      </w:tblPr>
      <w:tblGrid>
        <w:gridCol w:w="4819"/>
        <w:gridCol w:w="4819"/>
      </w:tblGrid>
      <w:tr>
        <w:trPr>
          <w:tblHeader/>
        </w:trPr>
        <w:tc>
          <w:tcPr>
            <w:tcW w:type="dxa" w:w="4819"/>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Runnable in ad copy</w:t>
            </w:r>
          </w:p>
        </w:tc>
        <w:tc>
          <w:tcPr>
            <w:tcW w:type="dxa" w:w="4819"/>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Not in ad copy</w:t>
            </w:r>
          </w:p>
        </w:tc>
      </w:tr>
      <w:tr>
        <w:tc>
          <w:tcPr>
            <w:tcW w:type="dxa" w:w="4819"/>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Third-person proof stories: "A software engineer, 42, sat nine hours a day and could not get through a morning without stiffness."</w:t>
            </w:r>
          </w:p>
        </w:tc>
        <w:tc>
          <w:tcPr>
            <w:tcW w:type="dxa" w:w="4819"/>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Second-person condition attribution: "You have back pain", "Does your back hurt", "Suffering from neck pain?"</w:t>
            </w:r>
          </w:p>
        </w:tc>
      </w:tr>
      <w:tr>
        <w:tc>
          <w:tcPr>
            <w:tcW w:type="dxa" w:w="4819"/>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Descriptions of moments and experience: morning stiffness, reaching for a top shelf, getting out of a car, the stairs</w:t>
            </w:r>
          </w:p>
        </w:tc>
        <w:tc>
          <w:tcPr>
            <w:tcW w:type="dxa" w:w="4819"/>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Named medical conditions pointed at the reader: sciatica, slipped disc, herniated disc, arthritis, degeneration</w:t>
            </w:r>
          </w:p>
        </w:tc>
      </w:tr>
      <w:tr>
        <w:tc>
          <w:tcPr>
            <w:tcW w:type="dxa" w:w="4819"/>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The outcome in ordinary life terms: a full working day, sleeping through, picking something up off the floor</w:t>
            </w:r>
          </w:p>
        </w:tc>
        <w:tc>
          <w:tcPr>
            <w:tcW w:type="dxa" w:w="4819"/>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Miracle and speed language: pain-free, instant relief, pain gone in one session, cure, permanent fix, guaranteed results</w:t>
            </w:r>
          </w:p>
        </w:tc>
      </w:tr>
      <w:tr>
        <w:tc>
          <w:tcPr>
            <w:tcW w:type="dxa" w:w="4819"/>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Softer verbs: ease, support, relieve tension, improve mobility, move more comfortably</w:t>
            </w:r>
          </w:p>
        </w:tc>
        <w:tc>
          <w:tcPr>
            <w:tcW w:type="dxa" w:w="4819"/>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Clinical verbs: treat, cure, heal, reverse, eliminate, fix</w:t>
            </w:r>
          </w:p>
        </w:tc>
      </w:tr>
      <w:tr>
        <w:tc>
          <w:tcPr>
            <w:tcW w:type="dxa" w:w="4819"/>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The mechanism: the Inner Brace Method, taking the load off, waking the deep stabilisers, alignment, breath work, progressive strengthening</w:t>
            </w:r>
          </w:p>
        </w:tc>
        <w:tc>
          <w:tcPr>
            <w:tcW w:type="dxa" w:w="4819"/>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Medical positioning: therapy for a named condition, or anything implying a substitute for medical care</w:t>
            </w:r>
          </w:p>
        </w:tc>
      </w:tr>
      <w:tr>
        <w:tc>
          <w:tcPr>
            <w:tcW w:type="dxa" w:w="4819"/>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Named case outcomes with their real timelines attached, plus a results-vary note</w:t>
            </w:r>
          </w:p>
        </w:tc>
        <w:tc>
          <w:tcPr>
            <w:tcW w:type="dxa" w:w="4819"/>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"Without medicines, surgery or physiotherapy" framing, which implies substitution for medical treatment</w:t>
            </w:r>
          </w:p>
        </w:tc>
      </w:tr>
      <w:tr>
        <w:tc>
          <w:tcPr>
            <w:tcW w:type="dxa" w:w="4819"/>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The challenge itself: five days, live, with the coach, £6, a real start date, and the day-one money-back promise</w:t>
            </w:r>
          </w:p>
        </w:tc>
        <w:tc>
          <w:tcPr>
            <w:tcW w:type="dxa" w:w="4819"/>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Countdown timers, seat counters, "price rises tomorrow", inflated value stacks, before-and-after body imagery</w:t>
            </w:r>
          </w:p>
        </w:tc>
      </w:tr>
      <w:tr>
        <w:tc>
          <w:tcPr>
            <w:tcW w:type="dxa" w:w="4819"/>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Atul's credentials, stated factually and precisely</w:t>
            </w:r>
          </w:p>
        </w:tc>
        <w:tc>
          <w:tcPr>
            <w:tcW w:type="dxa" w:w="4819"/>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Rounded or drifting numbers. Every statistic sourced and dated before it ships.</w:t>
            </w:r>
          </w:p>
        </w:tc>
      </w:tr>
    </w:tbl>
    <w:p>
      <w:pPr>
        <w:pStyle w:val="Heading2"/>
        <w:spacing w:after="130" w:before="300"/>
      </w:pPr>
      <w:r>
        <w:rPr>
          <w:rFonts w:ascii="Georgia" w:cs="Georgia" w:eastAsia="Georgia" w:hAnsi="Georgia"/>
          <w:b/>
          <w:bCs/>
          <w:color w:val="15324B"/>
          <w:sz w:val="25"/>
          <w:szCs w:val="25"/>
        </w:rPr>
        <w:t xml:space="preserve">The six ad angles, in priority order</w:t>
      </w:r>
    </w:p>
    <w:p>
      <w:pPr>
        <w:pStyle w:val="Heading3"/>
        <w:spacing w:after="90" w:before="220"/>
      </w:pPr>
      <w:r>
        <w:rPr>
          <w:rFonts w:ascii="Calibri" w:cs="Calibri" w:eastAsia="Calibri" w:hAnsi="Calibri"/>
          <w:b/>
          <w:bCs/>
          <w:color w:val="A8703C"/>
          <w:sz w:val="22"/>
          <w:szCs w:val="22"/>
        </w:rPr>
        <w:t xml:space="preserve">Angle 1.  The desk arc.  (Primary. Built on the back case.)</w:t>
      </w:r>
    </w:p>
    <w:p>
      <w:pPr>
        <w:spacing w:after="140" w:line="288"/>
        <w:jc w:val="left"/>
      </w:pPr>
      <w:r>
        <w:rPr>
          <w:rFonts w:ascii="Calibri" w:cs="Calibri" w:eastAsia="Calibri" w:hAnsi="Calibri"/>
          <w:color w:val="2B3138"/>
          <w:sz w:val="21"/>
          <w:szCs w:val="21"/>
        </w:rPr>
        <w:t xml:space="preserve">The load-bearing angle. It is a proof story, so it is compliant by construction. It is the exact buyer, so it self-selects hard. And it carries the honest timeline, which builds credibility in a category full of instant-fix promises.</w:t>
      </w:r>
    </w:p>
    <w:p>
      <w:pPr>
        <w:pStyle w:val="ListParagraph"/>
        <w:numPr>
          <w:ilvl w:val="0"/>
          <w:numId w:val="1"/>
        </w:numPr>
        <w:spacing w:after="70" w:line="276"/>
      </w:pPr>
      <w:r>
        <w:rPr>
          <w:rFonts w:ascii="Calibri" w:cs="Calibri" w:eastAsia="Calibri" w:hAnsi="Calibri"/>
          <w:b/>
          <w:bCs/>
          <w:color w:val="15324B"/>
          <w:sz w:val="21"/>
          <w:szCs w:val="21"/>
        </w:rPr>
        <w:t xml:space="preserve">Face to camera:</w:t>
      </w:r>
      <w:r>
        <w:rPr>
          <w:rFonts w:ascii="Calibri" w:cs="Calibri" w:eastAsia="Calibri" w:hAnsi="Calibri"/>
          <w:color w:val="2B3138"/>
          <w:sz w:val="21"/>
          <w:szCs w:val="21"/>
        </w:rPr>
        <w:t xml:space="preserve"> "A software engineer came to me at 42. Nine hours a day at a desk, four years of it. Forward head tilt, compressed lower back, stiff every morning and waking up in the night. Three weeks in, his mornings changed. Eight weeks in, he worked a full day without thinking about his back once. He runs at weekends now. We start five live days on the fifteenth."</w:t>
      </w:r>
    </w:p>
    <w:p>
      <w:pPr>
        <w:pStyle w:val="ListParagraph"/>
        <w:numPr>
          <w:ilvl w:val="0"/>
          <w:numId w:val="1"/>
        </w:numPr>
        <w:spacing w:after="70" w:line="276"/>
      </w:pPr>
      <w:r>
        <w:rPr>
          <w:rFonts w:ascii="Calibri" w:cs="Calibri" w:eastAsia="Calibri" w:hAnsi="Calibri"/>
          <w:b/>
          <w:bCs/>
          <w:color w:val="15324B"/>
          <w:sz w:val="21"/>
          <w:szCs w:val="21"/>
        </w:rPr>
        <w:t xml:space="preserve">Face to camera:</w:t>
      </w:r>
      <w:r>
        <w:rPr>
          <w:rFonts w:ascii="Calibri" w:cs="Calibri" w:eastAsia="Calibri" w:hAnsi="Calibri"/>
          <w:color w:val="2B3138"/>
          <w:sz w:val="21"/>
          <w:szCs w:val="21"/>
        </w:rPr>
        <w:t xml:space="preserve"> "He never told anyone at work. He just quietly stopped picking things up off the floor. That is how this usually goes. Here is what we actually did about it, and it is not what most people expect."</w:t>
      </w:r>
    </w:p>
    <w:p>
      <w:pPr>
        <w:pStyle w:val="ListParagraph"/>
        <w:numPr>
          <w:ilvl w:val="0"/>
          <w:numId w:val="1"/>
        </w:numPr>
        <w:spacing w:after="70" w:line="276"/>
      </w:pPr>
      <w:r>
        <w:rPr>
          <w:rFonts w:ascii="Calibri" w:cs="Calibri" w:eastAsia="Calibri" w:hAnsi="Calibri"/>
          <w:b/>
          <w:bCs/>
          <w:color w:val="15324B"/>
          <w:sz w:val="21"/>
          <w:szCs w:val="21"/>
        </w:rPr>
        <w:t xml:space="preserve">Text on screen, over a session clip:</w:t>
      </w:r>
      <w:r>
        <w:rPr>
          <w:rFonts w:ascii="Calibri" w:cs="Calibri" w:eastAsia="Calibri" w:hAnsi="Calibri"/>
          <w:color w:val="2B3138"/>
          <w:sz w:val="21"/>
          <w:szCs w:val="21"/>
        </w:rPr>
        <w:t xml:space="preserve"> "42. Nine hours a day seated. Three weeks to easier mornings. Eight weeks to a full working day."</w:t>
      </w:r>
    </w:p>
    <w:p>
      <w:pPr>
        <w:spacing w:after="140" w:line="288"/>
        <w:jc w:val="left"/>
      </w:pPr>
      <w:r>
        <w:rPr>
          <w:rFonts w:ascii="Calibri" w:cs="Calibri" w:eastAsia="Calibri" w:hAnsi="Calibri"/>
          <w:b/>
          <w:bCs/>
          <w:color w:val="15324B"/>
          <w:sz w:val="21"/>
          <w:szCs w:val="21"/>
        </w:rPr>
        <w:t xml:space="preserve">CTA: The 5-Day Pain Reset. Live with Atul. £6, and your money back if day one is not for you.</w:t>
      </w:r>
    </w:p>
    <w:p>
      <w:pPr>
        <w:pStyle w:val="Heading3"/>
        <w:spacing w:after="90" w:before="220"/>
      </w:pPr>
      <w:r>
        <w:rPr>
          <w:rFonts w:ascii="Calibri" w:cs="Calibri" w:eastAsia="Calibri" w:hAnsi="Calibri"/>
          <w:b/>
          <w:bCs/>
          <w:color w:val="A8703C"/>
          <w:sz w:val="22"/>
          <w:szCs w:val="22"/>
        </w:rPr>
        <w:t xml:space="preserve">Angle 2.  Stop stretching the part that hurts.  (Contrarian mechanism)</w:t>
      </w:r>
    </w:p>
    <w:p>
      <w:pPr>
        <w:spacing w:after="140" w:line="288"/>
        <w:jc w:val="left"/>
      </w:pPr>
      <w:r>
        <w:rPr>
          <w:rFonts w:ascii="Calibri" w:cs="Calibri" w:eastAsia="Calibri" w:hAnsi="Calibri"/>
          <w:color w:val="2B3138"/>
          <w:sz w:val="21"/>
          <w:szCs w:val="21"/>
        </w:rPr>
        <w:t xml:space="preserve">The mechanism angle delivered as a pattern interrupt. Highest scroll-stopping potential, strongest differentiation from everything else in the feed, and the direct answer to the </w:t>
      </w:r>
      <w:r>
        <w:rPr>
          <w:rFonts w:ascii="Calibri" w:cs="Calibri" w:eastAsia="Calibri" w:hAnsi="Calibri"/>
          <w:i/>
          <w:iCs/>
          <w:color w:val="2B3138"/>
          <w:sz w:val="21"/>
          <w:szCs w:val="21"/>
        </w:rPr>
        <w:t xml:space="preserve">I already tried yoga</w:t>
      </w:r>
      <w:r>
        <w:rPr>
          <w:rFonts w:ascii="Calibri" w:cs="Calibri" w:eastAsia="Calibri" w:hAnsi="Calibri"/>
          <w:color w:val="2B3138"/>
          <w:sz w:val="21"/>
          <w:szCs w:val="21"/>
        </w:rPr>
        <w:t xml:space="preserve"> objection. Completely safe under advertising rules because it attributes nothing to anyone.</w:t>
      </w:r>
    </w:p>
    <w:p>
      <w:pPr>
        <w:pStyle w:val="ListParagraph"/>
        <w:numPr>
          <w:ilvl w:val="0"/>
          <w:numId w:val="1"/>
        </w:numPr>
        <w:spacing w:after="70" w:line="276"/>
      </w:pPr>
      <w:r>
        <w:rPr>
          <w:rFonts w:ascii="Calibri" w:cs="Calibri" w:eastAsia="Calibri" w:hAnsi="Calibri"/>
          <w:b/>
          <w:bCs/>
          <w:color w:val="15324B"/>
          <w:sz w:val="21"/>
          <w:szCs w:val="21"/>
        </w:rPr>
        <w:t xml:space="preserve">Face to camera:</w:t>
      </w:r>
      <w:r>
        <w:rPr>
          <w:rFonts w:ascii="Calibri" w:cs="Calibri" w:eastAsia="Calibri" w:hAnsi="Calibri"/>
          <w:color w:val="2B3138"/>
          <w:sz w:val="21"/>
          <w:szCs w:val="21"/>
        </w:rPr>
        <w:t xml:space="preserve"> "Your back is not weak. It is defending itself. When it senses it is not stable, the muscles around it lock up, and that lock is the pain. So when you stretch it hard, your brain reads that as danger and tightens further. That is why the stretching made it worse."</w:t>
      </w:r>
    </w:p>
    <w:p>
      <w:pPr>
        <w:pStyle w:val="ListParagraph"/>
        <w:numPr>
          <w:ilvl w:val="0"/>
          <w:numId w:val="1"/>
        </w:numPr>
        <w:spacing w:after="70" w:line="276"/>
      </w:pPr>
      <w:r>
        <w:rPr>
          <w:rFonts w:ascii="Calibri" w:cs="Calibri" w:eastAsia="Calibri" w:hAnsi="Calibri"/>
          <w:b/>
          <w:bCs/>
          <w:color w:val="15324B"/>
          <w:sz w:val="21"/>
          <w:szCs w:val="21"/>
        </w:rPr>
        <w:t xml:space="preserve">Face to camera:</w:t>
      </w:r>
      <w:r>
        <w:rPr>
          <w:rFonts w:ascii="Calibri" w:cs="Calibri" w:eastAsia="Calibri" w:hAnsi="Calibri"/>
          <w:color w:val="2B3138"/>
          <w:sz w:val="21"/>
          <w:szCs w:val="21"/>
        </w:rPr>
        <w:t xml:space="preserve"> "Stop stretching the part that hurts. When someone comes to me with knees, I do not bend the knee for the first few weeks. I build the muscles above and below it and take the load off the joint. Then the knee stops complaining, and it stays that way."</w:t>
      </w:r>
    </w:p>
    <w:p>
      <w:pPr>
        <w:pStyle w:val="ListParagraph"/>
        <w:numPr>
          <w:ilvl w:val="0"/>
          <w:numId w:val="1"/>
        </w:numPr>
        <w:spacing w:after="70" w:line="276"/>
      </w:pPr>
      <w:r>
        <w:rPr>
          <w:rFonts w:ascii="Calibri" w:cs="Calibri" w:eastAsia="Calibri" w:hAnsi="Calibri"/>
          <w:b/>
          <w:bCs/>
          <w:color w:val="15324B"/>
          <w:sz w:val="21"/>
          <w:szCs w:val="21"/>
        </w:rPr>
        <w:t xml:space="preserve">Face to camera:</w:t>
      </w:r>
      <w:r>
        <w:rPr>
          <w:rFonts w:ascii="Calibri" w:cs="Calibri" w:eastAsia="Calibri" w:hAnsi="Calibri"/>
          <w:color w:val="2B3138"/>
          <w:sz w:val="21"/>
          <w:szCs w:val="21"/>
        </w:rPr>
        <w:t xml:space="preserve"> "There is a reason it comes back four months after the physiotherapy finishes. Nothing changed about where the load is landing. That is what we work on first."</w:t>
      </w:r>
    </w:p>
    <w:p>
      <w:pPr>
        <w:spacing w:after="140" w:line="288"/>
        <w:jc w:val="left"/>
      </w:pPr>
      <w:r>
        <w:rPr>
          <w:rFonts w:ascii="Calibri" w:cs="Calibri" w:eastAsia="Calibri" w:hAnsi="Calibri"/>
          <w:b/>
          <w:bCs/>
          <w:color w:val="15324B"/>
          <w:sz w:val="21"/>
          <w:szCs w:val="21"/>
        </w:rPr>
        <w:t xml:space="preserve">CTA: Five days, live. I will show you exactly what to work instead.</w:t>
      </w:r>
    </w:p>
    <w:p>
      <w:pPr>
        <w:pStyle w:val="Heading3"/>
        <w:spacing w:after="90" w:before="220"/>
      </w:pPr>
      <w:r>
        <w:rPr>
          <w:rFonts w:ascii="Calibri" w:cs="Calibri" w:eastAsia="Calibri" w:hAnsi="Calibri"/>
          <w:b/>
          <w:bCs/>
          <w:color w:val="A8703C"/>
          <w:sz w:val="22"/>
          <w:szCs w:val="22"/>
        </w:rPr>
        <w:t xml:space="preserve">Angle 3.  The headache nobody connects to their neck.  (Neck primary)</w:t>
      </w:r>
    </w:p>
    <w:p>
      <w:pPr>
        <w:spacing w:after="140" w:line="288"/>
        <w:jc w:val="left"/>
      </w:pPr>
      <w:r>
        <w:rPr>
          <w:rFonts w:ascii="Calibri" w:cs="Calibri" w:eastAsia="Calibri" w:hAnsi="Calibri"/>
          <w:color w:val="2B3138"/>
          <w:sz w:val="21"/>
          <w:szCs w:val="21"/>
        </w:rPr>
        <w:t xml:space="preserve">The neck segment does not search for neck pain. It searches for headaches, and for a shoulder that will not settle. This angle names the symptom they actually describe and then makes the connection for them, which is the moment of recognition that gets the click. It is now supported by a real case with a real timeline.</w:t>
      </w:r>
    </w:p>
    <w:p>
      <w:pPr>
        <w:pStyle w:val="ListParagraph"/>
        <w:numPr>
          <w:ilvl w:val="0"/>
          <w:numId w:val="1"/>
        </w:numPr>
        <w:spacing w:after="70" w:line="276"/>
      </w:pPr>
      <w:r>
        <w:rPr>
          <w:rFonts w:ascii="Calibri" w:cs="Calibri" w:eastAsia="Calibri" w:hAnsi="Calibri"/>
          <w:b/>
          <w:bCs/>
          <w:color w:val="15324B"/>
          <w:sz w:val="21"/>
          <w:szCs w:val="21"/>
        </w:rPr>
        <w:t xml:space="preserve">Face to camera:</w:t>
      </w:r>
      <w:r>
        <w:rPr>
          <w:rFonts w:ascii="Calibri" w:cs="Calibri" w:eastAsia="Calibri" w:hAnsi="Calibri"/>
          <w:color w:val="2B3138"/>
          <w:sz w:val="21"/>
          <w:szCs w:val="21"/>
        </w:rPr>
        <w:t xml:space="preserve"> "A corporate professional came to me with headaches. Every afternoon, starting at the base of the skull. She had been treating them as headaches for two years. They were not headaches. They were her neck and her shoulders, locked from a decade at a desk. Three weeks and eight sessions later, the headaches had eased and she could turn her head properly again."</w:t>
      </w:r>
    </w:p>
    <w:p>
      <w:pPr>
        <w:pStyle w:val="ListParagraph"/>
        <w:numPr>
          <w:ilvl w:val="0"/>
          <w:numId w:val="1"/>
        </w:numPr>
        <w:spacing w:after="70" w:line="276"/>
      </w:pPr>
      <w:r>
        <w:rPr>
          <w:rFonts w:ascii="Calibri" w:cs="Calibri" w:eastAsia="Calibri" w:hAnsi="Calibri"/>
          <w:b/>
          <w:bCs/>
          <w:color w:val="15324B"/>
          <w:sz w:val="21"/>
          <w:szCs w:val="21"/>
        </w:rPr>
        <w:t xml:space="preserve">Face to camera:</w:t>
      </w:r>
      <w:r>
        <w:rPr>
          <w:rFonts w:ascii="Calibri" w:cs="Calibri" w:eastAsia="Calibri" w:hAnsi="Calibri"/>
          <w:color w:val="2B3138"/>
          <w:sz w:val="21"/>
          <w:szCs w:val="21"/>
        </w:rPr>
        <w:t xml:space="preserve"> "Look at how you are holding your phone right now. Down there, chin towards your chest. That position puts several times more load through your neck than holding it at eye level. Now do that for four hours a day, for six years."</w:t>
      </w:r>
    </w:p>
    <w:p>
      <w:pPr>
        <w:pStyle w:val="ListParagraph"/>
        <w:numPr>
          <w:ilvl w:val="0"/>
          <w:numId w:val="1"/>
        </w:numPr>
        <w:spacing w:after="70" w:line="276"/>
      </w:pPr>
      <w:r>
        <w:rPr>
          <w:rFonts w:ascii="Calibri" w:cs="Calibri" w:eastAsia="Calibri" w:hAnsi="Calibri"/>
          <w:b/>
          <w:bCs/>
          <w:color w:val="15324B"/>
          <w:sz w:val="21"/>
          <w:szCs w:val="21"/>
        </w:rPr>
        <w:t xml:space="preserve">Text on screen, over a session clip:</w:t>
      </w:r>
      <w:r>
        <w:rPr>
          <w:rFonts w:ascii="Calibri" w:cs="Calibri" w:eastAsia="Calibri" w:hAnsi="Calibri"/>
          <w:color w:val="2B3138"/>
          <w:sz w:val="21"/>
          <w:szCs w:val="21"/>
        </w:rPr>
        <w:t xml:space="preserve"> "The headaches at four in the afternoon are usually not headaches."</w:t>
      </w:r>
    </w:p>
    <w:p>
      <w:pPr>
        <w:spacing w:after="140" w:line="288"/>
        <w:jc w:val="left"/>
      </w:pPr>
      <w:r>
        <w:rPr>
          <w:rFonts w:ascii="Calibri" w:cs="Calibri" w:eastAsia="Calibri" w:hAnsi="Calibri"/>
          <w:b/>
          <w:bCs/>
          <w:color w:val="15324B"/>
          <w:sz w:val="21"/>
          <w:szCs w:val="21"/>
        </w:rPr>
        <w:t xml:space="preserve">CTA: The 5-Day Pain Reset. Back, neck and shoulders, live with Atul. £6.</w:t>
      </w:r>
    </w:p>
    <w:p>
      <w:pPr>
        <w:pStyle w:val="Heading3"/>
        <w:spacing w:after="90" w:before="220"/>
      </w:pPr>
      <w:r>
        <w:rPr>
          <w:rFonts w:ascii="Calibri" w:cs="Calibri" w:eastAsia="Calibri" w:hAnsi="Calibri"/>
          <w:b/>
          <w:bCs/>
          <w:color w:val="A8703C"/>
          <w:sz w:val="22"/>
          <w:szCs w:val="22"/>
        </w:rPr>
        <w:t xml:space="preserve">Angle 4.  The rest myth.  (Belief flip)</w:t>
      </w:r>
    </w:p>
    <w:p>
      <w:pPr>
        <w:spacing w:after="140" w:line="288"/>
        <w:jc w:val="left"/>
      </w:pPr>
      <w:r>
        <w:rPr>
          <w:rFonts w:ascii="Calibri" w:cs="Calibri" w:eastAsia="Calibri" w:hAnsi="Calibri"/>
          <w:color w:val="2B3138"/>
          <w:sz w:val="21"/>
          <w:szCs w:val="21"/>
        </w:rPr>
        <w:t xml:space="preserve">Goes directly at the belief that keeps this audience stuck. High comment volume, which is useful signal, and it opens the door for the mechanism reveal in the copy underneath.</w:t>
      </w:r>
    </w:p>
    <w:p>
      <w:pPr>
        <w:pStyle w:val="ListParagraph"/>
        <w:numPr>
          <w:ilvl w:val="0"/>
          <w:numId w:val="1"/>
        </w:numPr>
        <w:spacing w:after="70" w:line="276"/>
      </w:pPr>
      <w:r>
        <w:rPr>
          <w:rFonts w:ascii="Calibri" w:cs="Calibri" w:eastAsia="Calibri" w:hAnsi="Calibri"/>
          <w:b/>
          <w:bCs/>
          <w:color w:val="15324B"/>
          <w:sz w:val="21"/>
          <w:szCs w:val="21"/>
        </w:rPr>
        <w:t xml:space="preserve">Face to camera:</w:t>
      </w:r>
      <w:r>
        <w:rPr>
          <w:rFonts w:ascii="Calibri" w:cs="Calibri" w:eastAsia="Calibri" w:hAnsi="Calibri"/>
          <w:color w:val="2B3138"/>
          <w:sz w:val="21"/>
          <w:szCs w:val="21"/>
        </w:rPr>
        <w:t xml:space="preserve"> "Rest is the most common advice for a sore back and it is usually the wrong one. Two weeks off your feet does not repair anything. It weakens the muscle that was holding the spine up, so more load goes to the part that already hurts. The way out is movement, in the right order, with support."</w:t>
      </w:r>
    </w:p>
    <w:p>
      <w:pPr>
        <w:pStyle w:val="ListParagraph"/>
        <w:numPr>
          <w:ilvl w:val="0"/>
          <w:numId w:val="1"/>
        </w:numPr>
        <w:spacing w:after="70" w:line="276"/>
      </w:pPr>
      <w:r>
        <w:rPr>
          <w:rFonts w:ascii="Calibri" w:cs="Calibri" w:eastAsia="Calibri" w:hAnsi="Calibri"/>
          <w:b/>
          <w:bCs/>
          <w:color w:val="15324B"/>
          <w:sz w:val="21"/>
          <w:szCs w:val="21"/>
        </w:rPr>
        <w:t xml:space="preserve">Face to camera:</w:t>
      </w:r>
      <w:r>
        <w:rPr>
          <w:rFonts w:ascii="Calibri" w:cs="Calibri" w:eastAsia="Calibri" w:hAnsi="Calibri"/>
          <w:color w:val="2B3138"/>
          <w:sz w:val="21"/>
          <w:szCs w:val="21"/>
        </w:rPr>
        <w:t xml:space="preserve"> "The fear of moving does more damage over a year than the moving would. I understand why the fear is there. Here is how we work around it on day one, so nothing gets forced."</w:t>
      </w:r>
    </w:p>
    <w:p>
      <w:pPr>
        <w:spacing w:after="140" w:line="288"/>
        <w:jc w:val="left"/>
      </w:pPr>
      <w:r>
        <w:rPr>
          <w:rFonts w:ascii="Calibri" w:cs="Calibri" w:eastAsia="Calibri" w:hAnsi="Calibri"/>
          <w:b/>
          <w:bCs/>
          <w:color w:val="15324B"/>
          <w:sz w:val="21"/>
          <w:szCs w:val="21"/>
        </w:rPr>
        <w:t xml:space="preserve">CTA: Five days, live, starting gently.</w:t>
      </w:r>
    </w:p>
    <w:p>
      <w:pPr>
        <w:pStyle w:val="Heading3"/>
        <w:spacing w:after="90" w:before="220"/>
      </w:pPr>
      <w:r>
        <w:rPr>
          <w:rFonts w:ascii="Calibri" w:cs="Calibri" w:eastAsia="Calibri" w:hAnsi="Calibri"/>
          <w:b/>
          <w:bCs/>
          <w:color w:val="A8703C"/>
          <w:sz w:val="22"/>
          <w:szCs w:val="22"/>
        </w:rPr>
        <w:t xml:space="preserve">Angle 5.  The five days, direct.  (Event-led)</w:t>
      </w:r>
    </w:p>
    <w:p>
      <w:pPr>
        <w:spacing w:after="140" w:line="288"/>
        <w:jc w:val="left"/>
      </w:pPr>
      <w:r>
        <w:rPr>
          <w:rFonts w:ascii="Calibri" w:cs="Calibri" w:eastAsia="Calibri" w:hAnsi="Calibri"/>
          <w:color w:val="2B3138"/>
          <w:sz w:val="21"/>
          <w:szCs w:val="21"/>
        </w:rPr>
        <w:t xml:space="preserve">The straight offer advertisement. Lower creative risk, essential for retargeting page visitors who did not register, and the workhorse in the final forty-eight hours before a cohort opens.</w:t>
      </w:r>
    </w:p>
    <w:p>
      <w:pPr>
        <w:pStyle w:val="ListParagraph"/>
        <w:numPr>
          <w:ilvl w:val="0"/>
          <w:numId w:val="1"/>
        </w:numPr>
        <w:spacing w:after="70" w:line="276"/>
      </w:pPr>
      <w:r>
        <w:rPr>
          <w:rFonts w:ascii="Calibri" w:cs="Calibri" w:eastAsia="Calibri" w:hAnsi="Calibri"/>
          <w:b/>
          <w:bCs/>
          <w:color w:val="15324B"/>
          <w:sz w:val="21"/>
          <w:szCs w:val="21"/>
        </w:rPr>
        <w:t xml:space="preserve">Face to camera:</w:t>
      </w:r>
      <w:r>
        <w:rPr>
          <w:rFonts w:ascii="Calibri" w:cs="Calibri" w:eastAsia="Calibri" w:hAnsi="Calibri"/>
          <w:color w:val="2B3138"/>
          <w:sz w:val="21"/>
          <w:szCs w:val="21"/>
        </w:rPr>
        <w:t xml:space="preserve"> "Five days. Four live sessions with me on Zoom, morning or evening, whichever fits. Back, neck or knee, all three in the same session, because the principle is the same. Six pounds to register, and if day one is not for you, tell me and you get it back. Starts the fifteenth."</w:t>
      </w:r>
    </w:p>
    <w:p>
      <w:pPr>
        <w:spacing w:after="140" w:line="288"/>
        <w:jc w:val="left"/>
      </w:pPr>
      <w:r>
        <w:rPr>
          <w:rFonts w:ascii="Calibri" w:cs="Calibri" w:eastAsia="Calibri" w:hAnsi="Calibri"/>
          <w:b/>
          <w:bCs/>
          <w:color w:val="15324B"/>
          <w:sz w:val="21"/>
          <w:szCs w:val="21"/>
        </w:rPr>
        <w:t xml:space="preserve">CTA: Hold your place.</w:t>
      </w:r>
    </w:p>
    <w:p>
      <w:pPr>
        <w:pStyle w:val="Heading3"/>
        <w:spacing w:after="90" w:before="220"/>
      </w:pPr>
      <w:r>
        <w:rPr>
          <w:rFonts w:ascii="Calibri" w:cs="Calibri" w:eastAsia="Calibri" w:hAnsi="Calibri"/>
          <w:b/>
          <w:bCs/>
          <w:color w:val="A8703C"/>
          <w:sz w:val="22"/>
          <w:szCs w:val="22"/>
        </w:rPr>
        <w:t xml:space="preserve">Angle 6.  The teacher, and the two knees.  (Authority and trust)</w:t>
      </w:r>
    </w:p>
    <w:p>
      <w:pPr>
        <w:spacing w:after="140" w:line="288"/>
        <w:jc w:val="left"/>
      </w:pPr>
      <w:r>
        <w:rPr>
          <w:rFonts w:ascii="Calibri" w:cs="Calibri" w:eastAsia="Calibri" w:hAnsi="Calibri"/>
          <w:color w:val="2B3138"/>
          <w:sz w:val="21"/>
          <w:szCs w:val="21"/>
        </w:rPr>
        <w:t xml:space="preserve">Lowest volume, highest trust. Best as a retargeting layer for people who have seen the primary angles and not converted, and as a support asset on the landing page. The two-knees piece is the strongest single trust asset available, because it is the only ad in the category admitting a limit.</w:t>
      </w:r>
    </w:p>
    <w:p>
      <w:pPr>
        <w:pStyle w:val="ListParagraph"/>
        <w:numPr>
          <w:ilvl w:val="0"/>
          <w:numId w:val="1"/>
        </w:numPr>
        <w:spacing w:after="70" w:line="276"/>
      </w:pPr>
      <w:r>
        <w:rPr>
          <w:rFonts w:ascii="Calibri" w:cs="Calibri" w:eastAsia="Calibri" w:hAnsi="Calibri"/>
          <w:b/>
          <w:bCs/>
          <w:color w:val="15324B"/>
          <w:sz w:val="21"/>
          <w:szCs w:val="21"/>
        </w:rPr>
        <w:t xml:space="preserve">Face to camera:</w:t>
      </w:r>
      <w:r>
        <w:rPr>
          <w:rFonts w:ascii="Calibri" w:cs="Calibri" w:eastAsia="Calibri" w:hAnsi="Calibri"/>
          <w:color w:val="2B3138"/>
          <w:sz w:val="21"/>
          <w:szCs w:val="21"/>
        </w:rPr>
        <w:t xml:space="preserve"> "There are two kinds of knee pain. One comes from carrying too much load through the joint, on stairs, on your feet, day after day. That one gets better when you take the load off and build the thighs and the calves. The other is arthritis, and I will not tell you that goes away. What I will tell you is that people who practise regularly stop noticing it day to day. Most people are never told which one they have."</w:t>
      </w:r>
    </w:p>
    <w:p>
      <w:pPr>
        <w:pStyle w:val="ListParagraph"/>
        <w:numPr>
          <w:ilvl w:val="0"/>
          <w:numId w:val="1"/>
        </w:numPr>
        <w:spacing w:after="70" w:line="276"/>
      </w:pPr>
      <w:r>
        <w:rPr>
          <w:rFonts w:ascii="Calibri" w:cs="Calibri" w:eastAsia="Calibri" w:hAnsi="Calibri"/>
          <w:b/>
          <w:bCs/>
          <w:color w:val="15324B"/>
          <w:sz w:val="21"/>
          <w:szCs w:val="21"/>
        </w:rPr>
        <w:t xml:space="preserve">Face to camera:</w:t>
      </w:r>
      <w:r>
        <w:rPr>
          <w:rFonts w:ascii="Calibri" w:cs="Calibri" w:eastAsia="Calibri" w:hAnsi="Calibri"/>
          <w:color w:val="2B3138"/>
          <w:sz w:val="21"/>
          <w:szCs w:val="21"/>
        </w:rPr>
        <w:t xml:space="preserve"> "Sixteen years of teaching. A postgraduate diploma from Kaivalyadhama in Lonavala, which I started in 2011. Over a thousand students, and about five hundred people I have trained to teach this themselves, across India, Singapore, Bali, China, Vietnam and Indonesia."</w:t>
      </w:r>
    </w:p>
    <w:p>
      <w:pPr>
        <w:spacing w:after="140" w:line="288"/>
        <w:jc w:val="left"/>
      </w:pPr>
      <w:r>
        <w:rPr>
          <w:rFonts w:ascii="Calibri" w:cs="Calibri" w:eastAsia="Calibri" w:hAnsi="Calibri"/>
          <w:b/>
          <w:bCs/>
          <w:color w:val="15324B"/>
          <w:sz w:val="21"/>
          <w:szCs w:val="21"/>
        </w:rPr>
        <w:t xml:space="preserve">CTA: Five days, live with me.</w:t>
      </w:r>
    </w:p>
    <w:p>
      <w:pPr>
        <w:pStyle w:val="Heading2"/>
        <w:spacing w:after="130" w:before="300"/>
      </w:pPr>
      <w:r>
        <w:rPr>
          <w:rFonts w:ascii="Georgia" w:cs="Georgia" w:eastAsia="Georgia" w:hAnsi="Georgia"/>
          <w:b/>
          <w:bCs/>
          <w:color w:val="15324B"/>
          <w:sz w:val="25"/>
          <w:szCs w:val="25"/>
        </w:rPr>
        <w:t xml:space="preserve">Creative format reference</w:t>
      </w:r>
    </w:p>
    <w:p>
      <w:pPr>
        <w:pStyle w:val="ListParagraph"/>
        <w:numPr>
          <w:ilvl w:val="0"/>
          <w:numId w:val="1"/>
        </w:numPr>
        <w:spacing w:after="70" w:line="276"/>
      </w:pPr>
      <w:r>
        <w:rPr>
          <w:rFonts w:ascii="Calibri" w:cs="Calibri" w:eastAsia="Calibri" w:hAnsi="Calibri"/>
          <w:b/>
          <w:bCs/>
          <w:color w:val="15324B"/>
          <w:sz w:val="21"/>
          <w:szCs w:val="21"/>
        </w:rPr>
        <w:t xml:space="preserve">Atul to camera, vertical, Reels-first.</w:t>
      </w:r>
      <w:r>
        <w:rPr>
          <w:rFonts w:ascii="Calibri" w:cs="Calibri" w:eastAsia="Calibri" w:hAnsi="Calibri"/>
          <w:color w:val="2B3138"/>
          <w:sz w:val="21"/>
          <w:szCs w:val="21"/>
        </w:rPr>
        <w:t xml:space="preserve"> The primary format. Calm, specific, with a mat visible or mid-demonstration. Production value is not the variable. Specificity is. A phone in a well-lit room outperforms a studio shoot with vague copy.</w:t>
      </w:r>
    </w:p>
    <w:p>
      <w:pPr>
        <w:pStyle w:val="ListParagraph"/>
        <w:numPr>
          <w:ilvl w:val="0"/>
          <w:numId w:val="1"/>
        </w:numPr>
        <w:spacing w:after="70" w:line="276"/>
      </w:pPr>
      <w:r>
        <w:rPr>
          <w:rFonts w:ascii="Calibri" w:cs="Calibri" w:eastAsia="Calibri" w:hAnsi="Calibri"/>
          <w:b/>
          <w:bCs/>
          <w:color w:val="15324B"/>
          <w:sz w:val="21"/>
          <w:szCs w:val="21"/>
        </w:rPr>
        <w:t xml:space="preserve">Session clips with text overlay.</w:t>
      </w:r>
      <w:r>
        <w:rPr>
          <w:rFonts w:ascii="Calibri" w:cs="Calibri" w:eastAsia="Calibri" w:hAnsi="Calibri"/>
          <w:color w:val="2B3138"/>
          <w:sz w:val="21"/>
          <w:szCs w:val="21"/>
        </w:rPr>
        <w:t xml:space="preserve"> Short cuts of an actual adjustment or a prop being used, with the hook as an overlay. Cheap to produce and the right way to test hook language at volume.</w:t>
      </w:r>
    </w:p>
    <w:p>
      <w:pPr>
        <w:pStyle w:val="ListParagraph"/>
        <w:numPr>
          <w:ilvl w:val="0"/>
          <w:numId w:val="1"/>
        </w:numPr>
        <w:spacing w:after="70" w:line="276"/>
      </w:pPr>
      <w:r>
        <w:rPr>
          <w:rFonts w:ascii="Calibri" w:cs="Calibri" w:eastAsia="Calibri" w:hAnsi="Calibri"/>
          <w:b/>
          <w:bCs/>
          <w:color w:val="15324B"/>
          <w:sz w:val="21"/>
          <w:szCs w:val="21"/>
        </w:rPr>
        <w:t xml:space="preserve">Score cards.</w:t>
      </w:r>
      <w:r>
        <w:rPr>
          <w:rFonts w:ascii="Calibri" w:cs="Calibri" w:eastAsia="Calibri" w:hAnsi="Calibri"/>
          <w:color w:val="2B3138"/>
          <w:sz w:val="21"/>
          <w:szCs w:val="21"/>
        </w:rPr>
        <w:t xml:space="preserve"> The strongest format from cycle two onward. Monday's number beside Thursday's, with a first name, an age and a city. Nothing converts a sceptical British audience like a real number from someone in their own country. Real, consented and dated.</w:t>
      </w:r>
    </w:p>
    <w:p>
      <w:pPr>
        <w:pStyle w:val="ListParagraph"/>
        <w:numPr>
          <w:ilvl w:val="0"/>
          <w:numId w:val="1"/>
        </w:numPr>
        <w:spacing w:after="70" w:line="276"/>
      </w:pPr>
      <w:r>
        <w:rPr>
          <w:rFonts w:ascii="Calibri" w:cs="Calibri" w:eastAsia="Calibri" w:hAnsi="Calibri"/>
          <w:b/>
          <w:bCs/>
          <w:color w:val="15324B"/>
          <w:sz w:val="21"/>
          <w:szCs w:val="21"/>
        </w:rPr>
        <w:t xml:space="preserve">Static text advertisements.</w:t>
      </w:r>
      <w:r>
        <w:rPr>
          <w:rFonts w:ascii="Calibri" w:cs="Calibri" w:eastAsia="Calibri" w:hAnsi="Calibri"/>
          <w:color w:val="2B3138"/>
          <w:sz w:val="21"/>
          <w:szCs w:val="21"/>
        </w:rPr>
        <w:t xml:space="preserve"> For cheap hook testing in week one, retired in favour of video once the angle is found.</w:t>
      </w:r>
    </w:p>
    <w:p>
      <w:pPr>
        <w:pStyle w:val="ListParagraph"/>
        <w:numPr>
          <w:ilvl w:val="0"/>
          <w:numId w:val="1"/>
        </w:numPr>
        <w:spacing w:after="70" w:line="276"/>
      </w:pPr>
      <w:r>
        <w:rPr>
          <w:rFonts w:ascii="Calibri" w:cs="Calibri" w:eastAsia="Calibri" w:hAnsi="Calibri"/>
          <w:b/>
          <w:bCs/>
          <w:color w:val="15324B"/>
          <w:sz w:val="21"/>
          <w:szCs w:val="21"/>
        </w:rPr>
        <w:t xml:space="preserve">Every advertisement routes to the landing page.</w:t>
      </w:r>
      <w:r>
        <w:rPr>
          <w:rFonts w:ascii="Calibri" w:cs="Calibri" w:eastAsia="Calibri" w:hAnsi="Calibri"/>
          <w:color w:val="2B3138"/>
          <w:sz w:val="21"/>
          <w:szCs w:val="21"/>
        </w:rPr>
        <w:t xml:space="preserve"> Never straight to checkout. The page does the belief work and sets the honest expectation about pace, and skipping it produces registrations that do not turn up.</w:t>
      </w:r>
    </w:p>
    <w:p>
      <w:pPr>
        <w:pStyle w:val="Heading2"/>
        <w:spacing w:after="130" w:before="300"/>
      </w:pPr>
      <w:r>
        <w:rPr>
          <w:rFonts w:ascii="Georgia" w:cs="Georgia" w:eastAsia="Georgia" w:hAnsi="Georgia"/>
          <w:b/>
          <w:bCs/>
          <w:color w:val="15324B"/>
          <w:sz w:val="25"/>
          <w:szCs w:val="25"/>
        </w:rPr>
        <w:t xml:space="preserve">Pre-flight checklist</w:t>
      </w:r>
    </w:p>
    <w:p>
      <w:pPr>
        <w:spacing w:after="140" w:line="288"/>
        <w:jc w:val="left"/>
      </w:pPr>
      <w:r>
        <w:rPr>
          <w:rFonts w:ascii="Calibri" w:cs="Calibri" w:eastAsia="Calibri" w:hAnsi="Calibri"/>
          <w:color w:val="2B3138"/>
          <w:sz w:val="21"/>
          <w:szCs w:val="21"/>
        </w:rPr>
        <w:t xml:space="preserve">Run before every advertisement ships. Any single </w:t>
      </w:r>
      <w:r>
        <w:rPr>
          <w:rFonts w:ascii="Calibri" w:cs="Calibri" w:eastAsia="Calibri" w:hAnsi="Calibri"/>
          <w:i/>
          <w:iCs/>
          <w:color w:val="2B3138"/>
          <w:sz w:val="21"/>
          <w:szCs w:val="21"/>
        </w:rPr>
        <w:t xml:space="preserve">no</w:t>
      </w:r>
      <w:r>
        <w:rPr>
          <w:rFonts w:ascii="Calibri" w:cs="Calibri" w:eastAsia="Calibri" w:hAnsi="Calibri"/>
          <w:color w:val="2B3138"/>
          <w:sz w:val="21"/>
          <w:szCs w:val="21"/>
        </w:rPr>
        <w:t xml:space="preserve"> means it reworks before it goes live.</w:t>
      </w:r>
    </w:p>
    <w:p>
      <w:pPr>
        <w:pStyle w:val="ListParagraph"/>
        <w:numPr>
          <w:ilvl w:val="0"/>
          <w:numId w:val="1"/>
        </w:numPr>
        <w:spacing w:after="70" w:line="276"/>
      </w:pPr>
      <w:r>
        <w:rPr>
          <w:rFonts w:ascii="Calibri" w:cs="Calibri" w:eastAsia="Calibri" w:hAnsi="Calibri"/>
          <w:color w:val="2B3138"/>
          <w:sz w:val="21"/>
          <w:szCs w:val="21"/>
        </w:rPr>
        <w:t xml:space="preserve">Does the copy avoid attributing a health condition to the viewer in the second person, across the headline, the primary text, the description and any on-screen text?</w:t>
      </w:r>
    </w:p>
    <w:p>
      <w:pPr>
        <w:pStyle w:val="ListParagraph"/>
        <w:numPr>
          <w:ilvl w:val="0"/>
          <w:numId w:val="1"/>
        </w:numPr>
        <w:spacing w:after="70" w:line="276"/>
      </w:pPr>
      <w:r>
        <w:rPr>
          <w:rFonts w:ascii="Calibri" w:cs="Calibri" w:eastAsia="Calibri" w:hAnsi="Calibri"/>
          <w:color w:val="2B3138"/>
          <w:sz w:val="21"/>
          <w:szCs w:val="21"/>
        </w:rPr>
        <w:t xml:space="preserve">Is every claim framed as a proof story about a named past client rather than a prediction about the reader, with a results-vary note wherever an outcome is named?</w:t>
      </w:r>
    </w:p>
    <w:p>
      <w:pPr>
        <w:pStyle w:val="ListParagraph"/>
        <w:numPr>
          <w:ilvl w:val="0"/>
          <w:numId w:val="1"/>
        </w:numPr>
        <w:spacing w:after="70" w:line="276"/>
      </w:pPr>
      <w:r>
        <w:rPr>
          <w:rFonts w:ascii="Calibri" w:cs="Calibri" w:eastAsia="Calibri" w:hAnsi="Calibri"/>
          <w:color w:val="2B3138"/>
          <w:sz w:val="21"/>
          <w:szCs w:val="21"/>
        </w:rPr>
        <w:t xml:space="preserve">Do the verbs stay inside the permitted register, and is the phrase </w:t>
      </w:r>
      <w:r>
        <w:rPr>
          <w:rFonts w:ascii="Calibri" w:cs="Calibri" w:eastAsia="Calibri" w:hAnsi="Calibri"/>
          <w:i/>
          <w:iCs/>
          <w:color w:val="2B3138"/>
          <w:sz w:val="21"/>
          <w:szCs w:val="21"/>
        </w:rPr>
        <w:t xml:space="preserve">pain-free</w:t>
      </w:r>
      <w:r>
        <w:rPr>
          <w:rFonts w:ascii="Calibri" w:cs="Calibri" w:eastAsia="Calibri" w:hAnsi="Calibri"/>
          <w:color w:val="2B3138"/>
          <w:sz w:val="21"/>
          <w:szCs w:val="21"/>
        </w:rPr>
        <w:t xml:space="preserve"> absent?</w:t>
      </w:r>
    </w:p>
    <w:p>
      <w:pPr>
        <w:pStyle w:val="ListParagraph"/>
        <w:numPr>
          <w:ilvl w:val="0"/>
          <w:numId w:val="1"/>
        </w:numPr>
        <w:spacing w:after="70" w:line="276"/>
      </w:pPr>
      <w:r>
        <w:rPr>
          <w:rFonts w:ascii="Calibri" w:cs="Calibri" w:eastAsia="Calibri" w:hAnsi="Calibri"/>
          <w:color w:val="2B3138"/>
          <w:sz w:val="21"/>
          <w:szCs w:val="21"/>
        </w:rPr>
        <w:t xml:space="preserve">Does every timeline match a real case file, with nothing rounded?</w:t>
      </w:r>
    </w:p>
    <w:p>
      <w:pPr>
        <w:pStyle w:val="ListParagraph"/>
        <w:numPr>
          <w:ilvl w:val="0"/>
          <w:numId w:val="1"/>
        </w:numPr>
        <w:spacing w:after="70" w:line="276"/>
      </w:pPr>
      <w:r>
        <w:rPr>
          <w:rFonts w:ascii="Calibri" w:cs="Calibri" w:eastAsia="Calibri" w:hAnsi="Calibri"/>
          <w:color w:val="2B3138"/>
          <w:sz w:val="21"/>
          <w:szCs w:val="21"/>
        </w:rPr>
        <w:t xml:space="preserve">Does the advertisement avoid naming specific medical conditions, and avoid any comparison to physiotherapy, chiropractic, medication or surgery?</w:t>
      </w:r>
    </w:p>
    <w:p>
      <w:pPr>
        <w:pStyle w:val="ListParagraph"/>
        <w:numPr>
          <w:ilvl w:val="0"/>
          <w:numId w:val="1"/>
        </w:numPr>
        <w:spacing w:after="70" w:line="276"/>
      </w:pPr>
      <w:r>
        <w:rPr>
          <w:rFonts w:ascii="Calibri" w:cs="Calibri" w:eastAsia="Calibri" w:hAnsi="Calibri"/>
          <w:color w:val="2B3138"/>
          <w:sz w:val="21"/>
          <w:szCs w:val="21"/>
        </w:rPr>
        <w:t xml:space="preserve">Is there zero fabricated urgency: no countdown, no seat counter, no price rise that will not happen?</w:t>
      </w:r>
    </w:p>
    <w:p>
      <w:pPr>
        <w:pStyle w:val="ListParagraph"/>
        <w:numPr>
          <w:ilvl w:val="0"/>
          <w:numId w:val="1"/>
        </w:numPr>
        <w:spacing w:after="70" w:line="276"/>
      </w:pPr>
      <w:r>
        <w:rPr>
          <w:rFonts w:ascii="Calibri" w:cs="Calibri" w:eastAsia="Calibri" w:hAnsi="Calibri"/>
          <w:color w:val="2B3138"/>
          <w:sz w:val="21"/>
          <w:szCs w:val="21"/>
        </w:rPr>
        <w:t xml:space="preserve">Is the imagery free of anyone in visible pain and free of before-and-after body shots implying medical improvement?</w:t>
      </w:r>
    </w:p>
    <w:p>
      <w:pPr>
        <w:pStyle w:val="ListParagraph"/>
        <w:numPr>
          <w:ilvl w:val="0"/>
          <w:numId w:val="1"/>
        </w:numPr>
        <w:spacing w:after="70" w:line="276"/>
      </w:pPr>
      <w:r>
        <w:rPr>
          <w:rFonts w:ascii="Calibri" w:cs="Calibri" w:eastAsia="Calibri" w:hAnsi="Calibri"/>
          <w:color w:val="2B3138"/>
          <w:sz w:val="21"/>
          <w:szCs w:val="21"/>
        </w:rPr>
        <w:t xml:space="preserve">Does the call to action route to the landing page rather than to checkout?</w:t>
      </w:r>
    </w:p>
    <w:p>
      <w:pPr>
        <w:pStyle w:val="ListParagraph"/>
        <w:numPr>
          <w:ilvl w:val="0"/>
          <w:numId w:val="1"/>
        </w:numPr>
        <w:spacing w:after="70" w:line="276"/>
      </w:pPr>
      <w:r>
        <w:rPr>
          <w:rFonts w:ascii="Calibri" w:cs="Calibri" w:eastAsia="Calibri" w:hAnsi="Calibri"/>
          <w:color w:val="2B3138"/>
          <w:sz w:val="21"/>
          <w:szCs w:val="21"/>
        </w:rPr>
        <w:t xml:space="preserve">Is the language British English, short and punchy, and does every line sound like a real person talking?</w:t>
      </w:r>
    </w:p>
    <w:p>
      <w:pPr>
        <w:pageBreakBefore/>
        <w:spacing w:after="20" w:before="0"/>
      </w:pPr>
      <w:r>
        <w:rPr>
          <w:rFonts w:ascii="Georgia" w:cs="Georgia" w:eastAsia="Georgia" w:hAnsi="Georgia"/>
          <w:b/>
          <w:bCs/>
          <w:color w:val="A8703C"/>
          <w:sz w:val="44"/>
          <w:szCs w:val="44"/>
        </w:rPr>
        <w:t xml:space="preserve">A.</w:t>
      </w:r>
    </w:p>
    <w:p>
      <w:pPr>
        <w:pStyle w:val="Heading1"/>
        <w:pBdr>
          <w:bottom w:val="single" w:color="A8703C" w:sz="10" w:space="10"/>
        </w:pBdr>
        <w:spacing w:after="200"/>
      </w:pPr>
      <w:r>
        <w:rPr>
          <w:rFonts w:ascii="Georgia" w:cs="Georgia" w:eastAsia="Georgia" w:hAnsi="Georgia"/>
          <w:b/>
          <w:bCs/>
          <w:color w:val="15324B"/>
          <w:sz w:val="34"/>
          <w:szCs w:val="34"/>
        </w:rPr>
        <w:t xml:space="preserve">ADVERTISING STANDARDS: THE WORKING LINE</w:t>
      </w:r>
    </w:p>
    <w:p>
      <w:pPr>
        <w:spacing w:after="140" w:line="288"/>
        <w:jc w:val="left"/>
      </w:pPr>
      <w:r>
        <w:rPr>
          <w:rFonts w:ascii="Calibri" w:cs="Calibri" w:eastAsia="Calibri" w:hAnsi="Calibri"/>
          <w:color w:val="2B3138"/>
          <w:sz w:val="21"/>
          <w:szCs w:val="21"/>
        </w:rPr>
        <w:t xml:space="preserve">The United Kingdom is the one variable in this plan with no equivalent in the Indian comparables. It shapes a small number of concrete decisions in the first campaign. This appendix is short on purpose: read it once, build it in, and it does not need revisiting.</w:t>
      </w:r>
    </w:p>
    <w:p>
      <w:pPr>
        <w:pStyle w:val="Heading2"/>
        <w:spacing w:after="130" w:before="300"/>
      </w:pPr>
      <w:r>
        <w:rPr>
          <w:rFonts w:ascii="Georgia" w:cs="Georgia" w:eastAsia="Georgia" w:hAnsi="Georgia"/>
          <w:b/>
          <w:bCs/>
          <w:color w:val="15324B"/>
          <w:sz w:val="25"/>
          <w:szCs w:val="25"/>
        </w:rPr>
        <w:t xml:space="preserve">What applies</w:t>
      </w:r>
    </w:p>
    <w:p>
      <w:pPr>
        <w:spacing w:after="140" w:line="288"/>
        <w:jc w:val="left"/>
      </w:pPr>
      <w:r>
        <w:rPr>
          <w:rFonts w:ascii="Calibri" w:cs="Calibri" w:eastAsia="Calibri" w:hAnsi="Calibri"/>
          <w:color w:val="2B3138"/>
          <w:sz w:val="21"/>
          <w:szCs w:val="21"/>
        </w:rPr>
        <w:t xml:space="preserve">UK non-broadcast advertising, including advertising on Meta, sits under the CAP Code and is enforced by the Advertising Standards Authority. The rule that matters here is straightforward. A claim that a therapy can diagnose, treat, help with or cure a medical condition is not acceptable unless the advertiser is suitably qualified to treat that condition and holds robust evidence, and the preferred evidence is clinical data rather than testimonials. Claims about general muscular aches and stiffness are more tolerable for a non-medical practitioner with appropriate substantiation. Specific named conditions are not.</w:t>
      </w:r>
    </w:p>
    <w:p>
      <w:pPr>
        <w:spacing w:after="140" w:line="288"/>
        <w:jc w:val="left"/>
      </w:pPr>
      <w:r>
        <w:rPr>
          <w:rFonts w:ascii="Calibri" w:cs="Calibri" w:eastAsia="Calibri" w:hAnsi="Calibri"/>
          <w:color w:val="2B3138"/>
          <w:sz w:val="21"/>
          <w:szCs w:val="21"/>
        </w:rPr>
        <w:t xml:space="preserve">Separately, UK consumer protection rules treat false urgency, such as a countdown or a price rise that never happens, as a misleading commercial practice. That is why the scarcity in this funnel is limited to the things that are actually true: a fixed cohort start date, capped group sizes, and one lead coach.</w:t>
      </w:r>
    </w:p>
    <w:p>
      <w:pPr>
        <w:pStyle w:val="Heading2"/>
        <w:spacing w:after="130" w:before="300"/>
      </w:pPr>
      <w:r>
        <w:rPr>
          <w:rFonts w:ascii="Georgia" w:cs="Georgia" w:eastAsia="Georgia" w:hAnsi="Georgia"/>
          <w:b/>
          <w:bCs/>
          <w:color w:val="15324B"/>
          <w:sz w:val="25"/>
          <w:szCs w:val="25"/>
        </w:rPr>
        <w:t xml:space="preserve">The practical ceiling on our language</w:t>
      </w:r>
    </w:p>
    <w:p>
      <w:pPr>
        <w:spacing w:after="140" w:line="288"/>
        <w:jc w:val="left"/>
      </w:pPr>
      <w:r>
        <w:rPr>
          <w:rFonts w:ascii="Calibri" w:cs="Calibri" w:eastAsia="Calibri" w:hAnsi="Calibri"/>
          <w:color w:val="2B3138"/>
          <w:sz w:val="21"/>
          <w:szCs w:val="21"/>
        </w:rPr>
        <w:t xml:space="preserve">Atul is E-RYT 500 with a postgraduate diploma in Yoga Education from Kaivalyadhama. That is a serious teaching credential. It is not a clinical one, which places him as a non-medical practitioner and sets the register the advertising can use.</w:t>
      </w:r>
    </w:p>
    <w:p>
      <w:pPr>
        <w:spacing w:after="60"/>
      </w:pPr>
      <w:r>
        <w:t xml:space="preserve"/>
      </w:r>
    </w:p>
    <w:tbl>
      <w:tblPr>
        <w:tblW w:type="dxa" w:w="9638"/>
        <w:tblBorders>
          <w:top w:val="single" w:color="D3D8DD" w:sz="4"/>
          <w:left w:val="single" w:color="D3D8DD" w:sz="4"/>
          <w:bottom w:val="single" w:color="D3D8DD" w:sz="4"/>
          <w:right w:val="single" w:color="D3D8DD" w:sz="4"/>
          <w:insideH w:val="single" w:color="D3D8DD" w:sz="4"/>
          <w:insideV w:val="single" w:color="D3D8DD" w:sz="4"/>
        </w:tblBorders>
      </w:tblPr>
      <w:tblGrid>
        <w:gridCol w:w="4819"/>
        <w:gridCol w:w="4819"/>
      </w:tblGrid>
      <w:tr>
        <w:trPr>
          <w:tblHeader/>
        </w:trPr>
        <w:tc>
          <w:tcPr>
            <w:tcW w:type="dxa" w:w="4819"/>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Available to us</w:t>
            </w:r>
          </w:p>
        </w:tc>
        <w:tc>
          <w:tcPr>
            <w:tcW w:type="dxa" w:w="4819"/>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Not available to us</w:t>
            </w:r>
          </w:p>
        </w:tc>
      </w:tr>
      <w:tr>
        <w:tc>
          <w:tcPr>
            <w:tcW w:type="dxa" w:w="4819"/>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Ease, support, relieve tension, improve mobility, move more comfortably, feel looser, manage</w:t>
            </w:r>
          </w:p>
        </w:tc>
        <w:tc>
          <w:tcPr>
            <w:tcW w:type="dxa" w:w="4819"/>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Treat, cure, fix, reverse, heal, eliminate, </w:t>
            </w:r>
            <w:r>
              <w:rPr>
                <w:rFonts w:ascii="Calibri" w:cs="Calibri" w:eastAsia="Calibri" w:hAnsi="Calibri"/>
                <w:b/>
                <w:bCs/>
                <w:color w:val="15324B"/>
                <w:sz w:val="19"/>
                <w:szCs w:val="19"/>
              </w:rPr>
              <w:t xml:space="preserve">pain-free</w:t>
            </w:r>
          </w:p>
        </w:tc>
      </w:tr>
      <w:tr>
        <w:tc>
          <w:tcPr>
            <w:tcW w:type="dxa" w:w="4819"/>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Proof stories about named past clients with real timelines and a results-vary note</w:t>
            </w:r>
          </w:p>
        </w:tc>
        <w:tc>
          <w:tcPr>
            <w:tcW w:type="dxa" w:w="4819"/>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Predictions about what the reader will experience</w:t>
            </w:r>
          </w:p>
        </w:tc>
      </w:tr>
      <w:tr>
        <w:tc>
          <w:tcPr>
            <w:tcW w:type="dxa" w:w="4819"/>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The mechanism, explained in anatomical terms</w:t>
            </w:r>
          </w:p>
        </w:tc>
        <w:tc>
          <w:tcPr>
            <w:tcW w:type="dxa" w:w="4819"/>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Anything implying clinical treatment or a substitute for medical care</w:t>
            </w:r>
          </w:p>
        </w:tc>
      </w:tr>
    </w:tbl>
    <w:p>
      <w:pPr>
        <w:spacing w:after="140"/>
      </w:pPr>
      <w:r>
        <w:t xml:space="preserve"/>
      </w:r>
    </w:p>
    <w:p>
      <w:pPr>
        <w:spacing w:after="140" w:line="288"/>
        <w:jc w:val="left"/>
      </w:pPr>
      <w:r>
        <w:rPr>
          <w:rFonts w:ascii="Calibri" w:cs="Calibri" w:eastAsia="Calibri" w:hAnsi="Calibri"/>
          <w:color w:val="2B3138"/>
          <w:sz w:val="21"/>
          <w:szCs w:val="21"/>
        </w:rPr>
        <w:t xml:space="preserve">This is a constraint on vocabulary, not on persuasion. The proof stories, the mechanism and the honesty about limits do the work that a stronger verb would otherwise be asked to do, and on a sceptical British audience they do it better.</w:t>
      </w:r>
    </w:p>
    <w:p>
      <w:pPr>
        <w:spacing w:after="40"/>
      </w:pPr>
      <w: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A8703C" w:sz="24"/>
              <w:bottom w:val="none" w:color="FFFFFF" w:sz="0"/>
              <w:right w:val="none" w:color="FFFFFF" w:sz="0"/>
            </w:tcBorders>
            <w:shd w:fill="F2F4F6" w:color="auto" w:val="clear"/>
            <w:tcMar>
              <w:top w:type="dxa" w:w="200"/>
              <w:left w:type="dxa" w:w="260"/>
              <w:bottom w:type="dxa" w:w="200"/>
              <w:right w:type="dxa" w:w="260"/>
            </w:tcMar>
          </w:tcPr>
          <w:p>
            <w:pPr>
              <w:spacing w:after="90" w:before="40"/>
            </w:pPr>
            <w:r>
              <w:rPr>
                <w:rFonts w:ascii="Calibri" w:cs="Calibri" w:eastAsia="Calibri" w:hAnsi="Calibri"/>
                <w:b/>
                <w:bCs/>
                <w:caps/>
                <w:color w:val="A8703C"/>
                <w:sz w:val="19"/>
                <w:szCs w:val="19"/>
              </w:rPr>
              <w:t xml:space="preserve">Two ways to raise the ceiling later</w:t>
            </w:r>
          </w:p>
          <w:p>
            <w:pPr>
              <w:spacing w:after="110" w:line="288"/>
            </w:pPr>
            <w:r>
              <w:rPr>
                <w:rFonts w:ascii="Calibri" w:cs="Calibri" w:eastAsia="Calibri" w:hAnsi="Calibri"/>
                <w:color w:val="2B3138"/>
                <w:sz w:val="20"/>
                <w:szCs w:val="20"/>
              </w:rPr>
              <w:t xml:space="preserve">Neither is needed for launch. Both are worth considering on a twelve-month view, because they change what the advertising is permitted to say.</w:t>
            </w:r>
          </w:p>
          <w:p>
            <w:pPr>
              <w:spacing w:after="110" w:line="288"/>
            </w:pPr>
            <w:r>
              <w:rPr>
                <w:rFonts w:ascii="Calibri" w:cs="Calibri" w:eastAsia="Calibri" w:hAnsi="Calibri"/>
                <w:b/>
                <w:bCs/>
                <w:color w:val="15324B"/>
                <w:sz w:val="20"/>
                <w:szCs w:val="20"/>
              </w:rPr>
              <w:t xml:space="preserve">One.</w:t>
            </w:r>
            <w:r>
              <w:rPr>
                <w:rFonts w:ascii="Calibri" w:cs="Calibri" w:eastAsia="Calibri" w:hAnsi="Calibri"/>
                <w:color w:val="2B3138"/>
                <w:sz w:val="20"/>
                <w:szCs w:val="20"/>
              </w:rPr>
              <w:t xml:space="preserve"> Accredited yoga therapist status for Atul through a recognised body.</w:t>
            </w:r>
          </w:p>
          <w:p>
            <w:pPr>
              <w:spacing w:after="40" w:line="288"/>
            </w:pPr>
            <w:r>
              <w:rPr>
                <w:rFonts w:ascii="Calibri" w:cs="Calibri" w:eastAsia="Calibri" w:hAnsi="Calibri"/>
                <w:b/>
                <w:bCs/>
                <w:color w:val="15324B"/>
                <w:sz w:val="20"/>
                <w:szCs w:val="20"/>
              </w:rPr>
              <w:t xml:space="preserve">Two.</w:t>
            </w:r>
            <w:r>
              <w:rPr>
                <w:rFonts w:ascii="Calibri" w:cs="Calibri" w:eastAsia="Calibri" w:hAnsi="Calibri"/>
                <w:color w:val="2B3138"/>
                <w:sz w:val="20"/>
                <w:szCs w:val="20"/>
              </w:rPr>
              <w:t xml:space="preserve"> A UK-registered physiotherapist or clinician attached to the brand, which provides claim cover and also closes the credibility gap against employer-funded competitors that are regulated medical devices.</w:t>
            </w:r>
          </w:p>
        </w:tc>
      </w:tr>
    </w:tbl>
    <w:p>
      <w:pPr>
        <w:pStyle w:val="Heading2"/>
        <w:spacing w:after="130" w:before="300"/>
      </w:pPr>
      <w:r>
        <w:rPr>
          <w:rFonts w:ascii="Georgia" w:cs="Georgia" w:eastAsia="Georgia" w:hAnsi="Georgia"/>
          <w:b/>
          <w:bCs/>
          <w:color w:val="15324B"/>
          <w:sz w:val="25"/>
          <w:szCs w:val="25"/>
        </w:rPr>
        <w:t xml:space="preserve">Data protection is a build requirement</w:t>
      </w:r>
    </w:p>
    <w:p>
      <w:pPr>
        <w:spacing w:after="140" w:line="288"/>
        <w:jc w:val="left"/>
      </w:pPr>
      <w:r>
        <w:rPr>
          <w:rFonts w:ascii="Calibri" w:cs="Calibri" w:eastAsia="Calibri" w:hAnsi="Calibri"/>
          <w:color w:val="2B3138"/>
          <w:sz w:val="21"/>
          <w:szCs w:val="21"/>
        </w:rPr>
        <w:t xml:space="preserve">UK GDPR governs the pixel, the cookie consent banner, and the opt-in language on the registration form and the WhatsApp and email sequences. This is materially stricter than what the Indian funnels operate under and it is built into the landing page from the first version rather than retrofitted. It is roughly half a day of build work.</w:t>
      </w:r>
    </w:p>
    <w:p>
      <w:pPr>
        <w:pStyle w:val="Heading2"/>
        <w:spacing w:after="130" w:before="300"/>
      </w:pPr>
      <w:r>
        <w:rPr>
          <w:rFonts w:ascii="Georgia" w:cs="Georgia" w:eastAsia="Georgia" w:hAnsi="Georgia"/>
          <w:b/>
          <w:bCs/>
          <w:color w:val="15324B"/>
          <w:sz w:val="25"/>
          <w:szCs w:val="25"/>
        </w:rPr>
        <w:t xml:space="preserve">Devices we are deliberately not using</w:t>
      </w:r>
    </w:p>
    <w:p>
      <w:pPr>
        <w:spacing w:after="140" w:line="288"/>
        <w:jc w:val="left"/>
      </w:pPr>
      <w:r>
        <w:rPr>
          <w:rFonts w:ascii="Calibri" w:cs="Calibri" w:eastAsia="Calibri" w:hAnsi="Calibri"/>
          <w:color w:val="2B3138"/>
          <w:sz w:val="21"/>
          <w:szCs w:val="21"/>
        </w:rPr>
        <w:t xml:space="preserve">Several conventions that work well in lower-regulation markets are left out on purpose. This list exists so nobody looks at a high-performing page elsewhere and asks why it was not copied.</w:t>
      </w:r>
    </w:p>
    <w:p>
      <w:pPr>
        <w:spacing w:after="60"/>
      </w:pPr>
      <w:r>
        <w:t xml:space="preserve"/>
      </w:r>
    </w:p>
    <w:tbl>
      <w:tblPr>
        <w:tblW w:type="dxa" w:w="9638"/>
        <w:tblBorders>
          <w:top w:val="single" w:color="D3D8DD" w:sz="4"/>
          <w:left w:val="single" w:color="D3D8DD" w:sz="4"/>
          <w:bottom w:val="single" w:color="D3D8DD" w:sz="4"/>
          <w:right w:val="single" w:color="D3D8DD" w:sz="4"/>
          <w:insideH w:val="single" w:color="D3D8DD" w:sz="4"/>
          <w:insideV w:val="single" w:color="D3D8DD" w:sz="4"/>
        </w:tblBorders>
      </w:tblPr>
      <w:tblGrid>
        <w:gridCol w:w="3200"/>
        <w:gridCol w:w="6438"/>
      </w:tblGrid>
      <w:tr>
        <w:trPr>
          <w:tblHeader/>
        </w:trPr>
        <w:tc>
          <w:tcPr>
            <w:tcW w:type="dxa" w:w="32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The device</w:t>
            </w:r>
          </w:p>
        </w:tc>
        <w:tc>
          <w:tcPr>
            <w:tcW w:type="dxa" w:w="6438"/>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Why it is not used</w:t>
            </w:r>
          </w:p>
        </w:tc>
      </w:tr>
      <w:tr>
        <w:tc>
          <w:tcPr>
            <w:tcW w:type="dxa" w:w="32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"Price increases tomorrow" banners</w:t>
            </w:r>
          </w:p>
        </w:tc>
        <w:tc>
          <w:tcPr>
            <w:tcW w:type="dxa" w:w="64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 price rise that does not happen is a misleading commercial practice under UK consumer law. Real deadlines only, or none.</w:t>
            </w:r>
          </w:p>
        </w:tc>
      </w:tr>
      <w:tr>
        <w:tc>
          <w:tcPr>
            <w:tcW w:type="dxa" w:w="32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Seat counters and "only X places left"</w:t>
            </w:r>
          </w:p>
        </w:tc>
        <w:tc>
          <w:tcPr>
            <w:tcW w:type="dxa" w:w="64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The same. Where a cap is stated it is operationally true and enforced, which in our case it genuinely is.</w:t>
            </w:r>
          </w:p>
        </w:tc>
      </w:tr>
      <w:tr>
        <w:tc>
          <w:tcPr>
            <w:tcW w:type="dxa" w:w="32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 permanent percentage discount as page furniture</w:t>
            </w:r>
          </w:p>
        </w:tc>
        <w:tc>
          <w:tcPr>
            <w:tcW w:type="dxa" w:w="64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 discount that never ends is not a discount, and it is a direct exposure under UK pricing rules.</w:t>
            </w:r>
          </w:p>
        </w:tc>
      </w:tr>
      <w:tr>
        <w:tc>
          <w:tcPr>
            <w:tcW w:type="dxa" w:w="32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Inflated value stacks totalling a large number against a small price</w:t>
            </w:r>
          </w:p>
        </w:tc>
        <w:tc>
          <w:tcPr>
            <w:tcW w:type="dxa" w:w="64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Value anchoring against health-adjacent services invites scrutiny. We list what is included and leave out the invented pound values.</w:t>
            </w:r>
          </w:p>
        </w:tc>
      </w:tr>
      <w:tr>
        <w:tc>
          <w:tcPr>
            <w:tcW w:type="dxa" w:w="32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"Without medicines, surgery or physiotherapy" framing</w:t>
            </w:r>
          </w:p>
        </w:tc>
        <w:tc>
          <w:tcPr>
            <w:tcW w:type="dxa" w:w="64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Implies substitution for medical treatment, which is one of the clearest breaches available in this category.</w:t>
            </w:r>
          </w:p>
        </w:tc>
      </w:tr>
      <w:tr>
        <w:tc>
          <w:tcPr>
            <w:tcW w:type="dxa" w:w="32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Quantified clinical outcomes inside a short window</w:t>
            </w:r>
          </w:p>
        </w:tc>
        <w:tc>
          <w:tcPr>
            <w:tcW w:type="dxa" w:w="64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 specific percentage improvement in five days, from a non-clinical claim base, is not defensible.</w:t>
            </w:r>
          </w:p>
        </w:tc>
      </w:tr>
      <w:tr>
        <w:tc>
          <w:tcPr>
            <w:tcW w:type="dxa" w:w="32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Second-person condition hooks</w:t>
            </w:r>
          </w:p>
        </w:tc>
        <w:tc>
          <w:tcPr>
            <w:tcW w:type="dxa" w:w="64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 platform policy violation on personal attributes, and an advertising standards exposure on top of it.</w:t>
            </w:r>
          </w:p>
        </w:tc>
      </w:tr>
      <w:tr>
        <w:tc>
          <w:tcPr>
            <w:tcW w:type="dxa" w:w="32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 vague money-back badge with conditions revealed after purchase</w:t>
            </w:r>
          </w:p>
        </w:tc>
        <w:tc>
          <w:tcPr>
            <w:tcW w:type="dxa" w:w="64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The specific version goes on the page instead. It converts better and it removes the exposure entirely.</w:t>
            </w:r>
          </w:p>
        </w:tc>
      </w:tr>
    </w:tbl>
    <w:p>
      <w:pPr>
        <w:spacing w:after="140"/>
      </w:pPr>
      <w:r>
        <w:t xml:space="preserve"/>
      </w:r>
    </w:p>
    <w:p>
      <w:pPr>
        <w:spacing w:after="140" w:line="288"/>
        <w:jc w:val="left"/>
      </w:pPr>
      <w:r>
        <w:rPr>
          <w:rFonts w:ascii="Calibri" w:cs="Calibri" w:eastAsia="Calibri" w:hAnsi="Calibri"/>
          <w:b/>
          <w:bCs/>
          <w:color w:val="15324B"/>
          <w:sz w:val="21"/>
          <w:szCs w:val="21"/>
        </w:rPr>
        <w:t xml:space="preserve">What does carry across, and does:</w:t>
      </w:r>
      <w:r>
        <w:rPr>
          <w:rFonts w:ascii="Calibri" w:cs="Calibri" w:eastAsia="Calibri" w:hAnsi="Calibri"/>
          <w:color w:val="2B3138"/>
          <w:sz w:val="21"/>
          <w:szCs w:val="21"/>
        </w:rPr>
        <w:t xml:space="preserve"> the five-day live structure with the pitch on day five, the deposit rather than a full payment at the close, the mechanism named and revealed before any price is mentioned, the honest disqualification list, the money-back guarantee at both ends, flexible session timings, and the discipline of putting the coach on camera rather than a brand.</w:t>
      </w:r>
    </w:p>
    <w:p>
      <w:pPr>
        <w:pageBreakBefore/>
        <w:spacing w:after="20" w:before="0"/>
      </w:pPr>
      <w:r>
        <w:rPr>
          <w:rFonts w:ascii="Georgia" w:cs="Georgia" w:eastAsia="Georgia" w:hAnsi="Georgia"/>
          <w:b/>
          <w:bCs/>
          <w:color w:val="A8703C"/>
          <w:sz w:val="44"/>
          <w:szCs w:val="44"/>
        </w:rPr>
        <w:t xml:space="preserve">B.</w:t>
      </w:r>
    </w:p>
    <w:p>
      <w:pPr>
        <w:pStyle w:val="Heading1"/>
        <w:pBdr>
          <w:bottom w:val="single" w:color="A8703C" w:sz="10" w:space="10"/>
        </w:pBdr>
        <w:spacing w:after="200"/>
      </w:pPr>
      <w:r>
        <w:rPr>
          <w:rFonts w:ascii="Georgia" w:cs="Georgia" w:eastAsia="Georgia" w:hAnsi="Georgia"/>
          <w:b/>
          <w:bCs/>
          <w:color w:val="15324B"/>
          <w:sz w:val="34"/>
          <w:szCs w:val="34"/>
        </w:rPr>
        <w:t xml:space="preserve">THE THREE-CYCLE PLAN, BUDGET &amp; OPERATING CADENCE</w:t>
      </w:r>
    </w:p>
    <w:p>
      <w:pPr>
        <w:pStyle w:val="Heading2"/>
        <w:spacing w:after="130" w:before="300"/>
      </w:pPr>
      <w:r>
        <w:rPr>
          <w:rFonts w:ascii="Georgia" w:cs="Georgia" w:eastAsia="Georgia" w:hAnsi="Georgia"/>
          <w:b/>
          <w:bCs/>
          <w:color w:val="15324B"/>
          <w:sz w:val="25"/>
          <w:szCs w:val="25"/>
        </w:rPr>
        <w:t xml:space="preserve">The scale plan</w:t>
      </w:r>
    </w:p>
    <w:p>
      <w:pPr>
        <w:spacing w:after="140" w:line="288"/>
        <w:jc w:val="left"/>
      </w:pPr>
      <w:r>
        <w:rPr>
          <w:rFonts w:ascii="Calibri" w:cs="Calibri" w:eastAsia="Calibri" w:hAnsi="Calibri"/>
          <w:color w:val="2B3138"/>
          <w:sz w:val="21"/>
          <w:szCs w:val="21"/>
        </w:rPr>
        <w:t xml:space="preserve">Three cycles between mid-August and mid-September, each roughly a week apart. Cycle one is deliberately small, because the first weeks of any new account are spent finding the winning creative and the cost per registrant is at its worst while that happens. Budget scales only against results.</w:t>
      </w:r>
    </w:p>
    <w:p>
      <w:pPr>
        <w:spacing w:after="60"/>
      </w:pPr>
      <w:r>
        <w:t xml:space="preserve"/>
      </w:r>
    </w:p>
    <w:tbl>
      <w:tblPr>
        <w:tblW w:type="dxa" w:w="9638"/>
        <w:tblBorders>
          <w:top w:val="single" w:color="D3D8DD" w:sz="4"/>
          <w:left w:val="single" w:color="D3D8DD" w:sz="4"/>
          <w:bottom w:val="single" w:color="D3D8DD" w:sz="4"/>
          <w:right w:val="single" w:color="D3D8DD" w:sz="4"/>
          <w:insideH w:val="single" w:color="D3D8DD" w:sz="4"/>
          <w:insideV w:val="single" w:color="D3D8DD" w:sz="4"/>
        </w:tblBorders>
      </w:tblPr>
      <w:tblGrid>
        <w:gridCol w:w="2400"/>
        <w:gridCol w:w="1800"/>
        <w:gridCol w:w="1800"/>
        <w:gridCol w:w="1800"/>
        <w:gridCol w:w="1838"/>
      </w:tblGrid>
      <w:tr>
        <w:trPr>
          <w:tblHeader/>
        </w:trPr>
        <w:tc>
          <w:tcPr>
            <w:tcW w:type="dxa" w:w="24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
            </w:r>
          </w:p>
        </w:tc>
        <w:tc>
          <w:tcPr>
            <w:tcW w:type="dxa" w:w="18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Cycle 1</w:t>
            </w:r>
          </w:p>
        </w:tc>
        <w:tc>
          <w:tcPr>
            <w:tcW w:type="dxa" w:w="18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Cycle 2</w:t>
            </w:r>
          </w:p>
        </w:tc>
        <w:tc>
          <w:tcPr>
            <w:tcW w:type="dxa" w:w="18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Cycle 3</w:t>
            </w:r>
          </w:p>
        </w:tc>
        <w:tc>
          <w:tcPr>
            <w:tcW w:type="dxa" w:w="1838"/>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Total</w:t>
            </w:r>
          </w:p>
        </w:tc>
      </w:tr>
      <w:tr>
        <w:tc>
          <w:tcPr>
            <w:tcW w:type="dxa" w:w="24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Ad spend</w:t>
            </w:r>
          </w:p>
        </w:tc>
        <w:tc>
          <w:tcPr>
            <w:tcW w:type="dxa" w:w="18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£1,000</w:t>
            </w:r>
          </w:p>
        </w:tc>
        <w:tc>
          <w:tcPr>
            <w:tcW w:type="dxa" w:w="18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£2,000</w:t>
            </w:r>
          </w:p>
        </w:tc>
        <w:tc>
          <w:tcPr>
            <w:tcW w:type="dxa" w:w="18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£3,000</w:t>
            </w:r>
          </w:p>
        </w:tc>
        <w:tc>
          <w:tcPr>
            <w:tcW w:type="dxa" w:w="1838"/>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£6,000</w:t>
            </w:r>
          </w:p>
        </w:tc>
      </w:tr>
      <w:tr>
        <w:tc>
          <w:tcPr>
            <w:tcW w:type="dxa" w:w="24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Registrants at £6</w:t>
            </w:r>
          </w:p>
        </w:tc>
        <w:tc>
          <w:tcPr>
            <w:tcW w:type="dxa" w:w="18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100</w:t>
            </w:r>
          </w:p>
        </w:tc>
        <w:tc>
          <w:tcPr>
            <w:tcW w:type="dxa" w:w="18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200</w:t>
            </w:r>
          </w:p>
        </w:tc>
        <w:tc>
          <w:tcPr>
            <w:tcW w:type="dxa" w:w="18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300</w:t>
            </w:r>
          </w:p>
        </w:tc>
        <w:tc>
          <w:tcPr>
            <w:tcW w:type="dxa" w:w="18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600</w:t>
            </w:r>
          </w:p>
        </w:tc>
      </w:tr>
      <w:tr>
        <w:tc>
          <w:tcPr>
            <w:tcW w:type="dxa" w:w="24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Ticket revenue recovered</w:t>
            </w:r>
          </w:p>
        </w:tc>
        <w:tc>
          <w:tcPr>
            <w:tcW w:type="dxa" w:w="18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£600</w:t>
            </w:r>
          </w:p>
        </w:tc>
        <w:tc>
          <w:tcPr>
            <w:tcW w:type="dxa" w:w="18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£1,200</w:t>
            </w:r>
          </w:p>
        </w:tc>
        <w:tc>
          <w:tcPr>
            <w:tcW w:type="dxa" w:w="18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£1,800</w:t>
            </w:r>
          </w:p>
        </w:tc>
        <w:tc>
          <w:tcPr>
            <w:tcW w:type="dxa" w:w="1838"/>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£3,600</w:t>
            </w:r>
          </w:p>
        </w:tc>
      </w:tr>
      <w:tr>
        <w:tc>
          <w:tcPr>
            <w:tcW w:type="dxa" w:w="24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Net acquisition cost</w:t>
            </w:r>
          </w:p>
        </w:tc>
        <w:tc>
          <w:tcPr>
            <w:tcW w:type="dxa" w:w="18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£400</w:t>
            </w:r>
          </w:p>
        </w:tc>
        <w:tc>
          <w:tcPr>
            <w:tcW w:type="dxa" w:w="18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£800</w:t>
            </w:r>
          </w:p>
        </w:tc>
        <w:tc>
          <w:tcPr>
            <w:tcW w:type="dxa" w:w="18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£1,200</w:t>
            </w:r>
          </w:p>
        </w:tc>
        <w:tc>
          <w:tcPr>
            <w:tcW w:type="dxa" w:w="18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£2,400</w:t>
            </w:r>
          </w:p>
        </w:tc>
      </w:tr>
      <w:tr>
        <w:tc>
          <w:tcPr>
            <w:tcW w:type="dxa" w:w="24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Programme buyers at 15%</w:t>
            </w:r>
          </w:p>
        </w:tc>
        <w:tc>
          <w:tcPr>
            <w:tcW w:type="dxa" w:w="18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15</w:t>
            </w:r>
          </w:p>
        </w:tc>
        <w:tc>
          <w:tcPr>
            <w:tcW w:type="dxa" w:w="18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30</w:t>
            </w:r>
          </w:p>
        </w:tc>
        <w:tc>
          <w:tcPr>
            <w:tcW w:type="dxa" w:w="1800"/>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45</w:t>
            </w:r>
          </w:p>
        </w:tc>
        <w:tc>
          <w:tcPr>
            <w:tcW w:type="dxa" w:w="1838"/>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90</w:t>
            </w:r>
          </w:p>
        </w:tc>
      </w:tr>
      <w:tr>
        <w:tc>
          <w:tcPr>
            <w:tcW w:type="dxa" w:w="24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Programme revenue at £175</w:t>
            </w:r>
          </w:p>
        </w:tc>
        <w:tc>
          <w:tcPr>
            <w:tcW w:type="dxa" w:w="18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£2,625</w:t>
            </w:r>
          </w:p>
        </w:tc>
        <w:tc>
          <w:tcPr>
            <w:tcW w:type="dxa" w:w="18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£5,250</w:t>
            </w:r>
          </w:p>
        </w:tc>
        <w:tc>
          <w:tcPr>
            <w:tcW w:type="dxa" w:w="18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£7,875</w:t>
            </w:r>
          </w:p>
        </w:tc>
        <w:tc>
          <w:tcPr>
            <w:tcW w:type="dxa" w:w="18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£15,750</w:t>
            </w:r>
          </w:p>
        </w:tc>
      </w:tr>
      <w:tr>
        <w:tc>
          <w:tcPr>
            <w:tcW w:type="dxa" w:w="24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Return on net spend</w:t>
            </w:r>
          </w:p>
        </w:tc>
        <w:tc>
          <w:tcPr>
            <w:tcW w:type="dxa" w:w="18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6.6x</w:t>
            </w:r>
          </w:p>
        </w:tc>
        <w:tc>
          <w:tcPr>
            <w:tcW w:type="dxa" w:w="18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6.6x</w:t>
            </w:r>
          </w:p>
        </w:tc>
        <w:tc>
          <w:tcPr>
            <w:tcW w:type="dxa" w:w="18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6.6x</w:t>
            </w:r>
          </w:p>
        </w:tc>
        <w:tc>
          <w:tcPr>
            <w:tcW w:type="dxa" w:w="1838"/>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6.6x</w:t>
            </w:r>
          </w:p>
        </w:tc>
      </w:tr>
    </w:tbl>
    <w:p>
      <w:pPr>
        <w:spacing w:after="140"/>
      </w:pPr>
      <w:r>
        <w:t xml:space="preserve"/>
      </w:r>
    </w:p>
    <w:p>
      <w:pPr>
        <w:spacing w:after="140" w:line="288"/>
        <w:jc w:val="left"/>
      </w:pPr>
      <w:r>
        <w:rPr>
          <w:rFonts w:ascii="Calibri" w:cs="Calibri" w:eastAsia="Calibri" w:hAnsi="Calibri"/>
          <w:b/>
          <w:bCs/>
          <w:color w:val="15324B"/>
          <w:sz w:val="21"/>
          <w:szCs w:val="21"/>
        </w:rPr>
        <w:t xml:space="preserve">Read the target honestly.</w:t>
      </w:r>
      <w:r>
        <w:rPr>
          <w:rFonts w:ascii="Calibri" w:cs="Calibri" w:eastAsia="Calibri" w:hAnsi="Calibri"/>
          <w:color w:val="2B3138"/>
          <w:sz w:val="21"/>
          <w:szCs w:val="21"/>
        </w:rPr>
        <w:t xml:space="preserve"> Ninety paying customers by mid-September is the realistic number on this budget and this timeline, and it is aspirational rather than conservative. Two hundred is reachable, but not from three cycles at this spend. It comes from either a materially larger budget across the same three cycles, or two further cycles beyond mid-September at the volumes cycle three establishes.</w:t>
      </w:r>
    </w:p>
    <w:p>
      <w:pPr>
        <w:spacing w:after="140" w:line="288"/>
        <w:jc w:val="left"/>
      </w:pPr>
      <w:r>
        <w:rPr>
          <w:rFonts w:ascii="Calibri" w:cs="Calibri" w:eastAsia="Calibri" w:hAnsi="Calibri"/>
          <w:b/>
          <w:bCs/>
          <w:color w:val="15324B"/>
          <w:sz w:val="21"/>
          <w:szCs w:val="21"/>
        </w:rPr>
        <w:t xml:space="preserve">Everything the front end recovers goes back in.</w:t>
      </w:r>
      <w:r>
        <w:rPr>
          <w:rFonts w:ascii="Calibri" w:cs="Calibri" w:eastAsia="Calibri" w:hAnsi="Calibri"/>
          <w:color w:val="2B3138"/>
          <w:sz w:val="21"/>
          <w:szCs w:val="21"/>
        </w:rPr>
        <w:t xml:space="preserve"> The £3,600 of ticket revenue is not margin, it is fuel, and it is already counted inside the £6,000. If deposits and programme payments arrive faster than projected, the same logic applies: reinvesting early revenue into cycle three is the fastest available route to the target.</w:t>
      </w:r>
    </w:p>
    <w:p>
      <w:pPr>
        <w:spacing w:after="140" w:line="288"/>
        <w:jc w:val="left"/>
      </w:pPr>
      <w:r>
        <w:rPr>
          <w:rFonts w:ascii="Calibri" w:cs="Calibri" w:eastAsia="Calibri" w:hAnsi="Calibri"/>
          <w:b/>
          <w:bCs/>
          <w:color w:val="15324B"/>
          <w:sz w:val="21"/>
          <w:szCs w:val="21"/>
        </w:rPr>
        <w:t xml:space="preserve">The single biggest lever on that table is the 15 per cent.</w:t>
      </w:r>
      <w:r>
        <w:rPr>
          <w:rFonts w:ascii="Calibri" w:cs="Calibri" w:eastAsia="Calibri" w:hAnsi="Calibri"/>
          <w:color w:val="2B3138"/>
          <w:sz w:val="21"/>
          <w:szCs w:val="21"/>
        </w:rPr>
        <w:t xml:space="preserve"> Every point of day-five conversion is worth more than any amount of media optimisation at this scale. One extra point across three cycles is six additional customers and just over a thousand pounds, for no additional spend. That is why the day five session and the prescription call get as much attention in this document as the advertising does.</w:t>
      </w:r>
    </w:p>
    <w:p>
      <w:pPr>
        <w:pStyle w:val="Heading2"/>
        <w:spacing w:after="130" w:before="300"/>
      </w:pPr>
      <w:r>
        <w:rPr>
          <w:rFonts w:ascii="Georgia" w:cs="Georgia" w:eastAsia="Georgia" w:hAnsi="Georgia"/>
          <w:b/>
          <w:bCs/>
          <w:color w:val="15324B"/>
          <w:sz w:val="25"/>
          <w:szCs w:val="25"/>
        </w:rPr>
        <w:t xml:space="preserve">Who does what</w:t>
      </w:r>
    </w:p>
    <w:p>
      <w:pPr>
        <w:spacing w:after="60"/>
      </w:pPr>
      <w:r>
        <w:t xml:space="preserve"/>
      </w:r>
    </w:p>
    <w:tbl>
      <w:tblPr>
        <w:tblW w:type="dxa" w:w="9638"/>
        <w:tblBorders>
          <w:top w:val="single" w:color="D3D8DD" w:sz="4"/>
          <w:left w:val="single" w:color="D3D8DD" w:sz="4"/>
          <w:bottom w:val="single" w:color="D3D8DD" w:sz="4"/>
          <w:right w:val="single" w:color="D3D8DD" w:sz="4"/>
          <w:insideH w:val="single" w:color="D3D8DD" w:sz="4"/>
          <w:insideV w:val="single" w:color="D3D8DD" w:sz="4"/>
        </w:tblBorders>
      </w:tblPr>
      <w:tblGrid>
        <w:gridCol w:w="2600"/>
        <w:gridCol w:w="7038"/>
      </w:tblGrid>
      <w:tr>
        <w:trPr>
          <w:tblHeader/>
        </w:trPr>
        <w:tc>
          <w:tcPr>
            <w:tcW w:type="dxa" w:w="2600"/>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Owner</w:t>
            </w:r>
          </w:p>
        </w:tc>
        <w:tc>
          <w:tcPr>
            <w:tcW w:type="dxa" w:w="7038"/>
            <w:shd w:fill="15324B"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FFFFFF"/>
                <w:sz w:val="19"/>
                <w:szCs w:val="19"/>
              </w:rPr>
              <w:t xml:space="preserve">Responsibility</w:t>
            </w:r>
          </w:p>
        </w:tc>
      </w:tr>
      <w:tr>
        <w:tc>
          <w:tcPr>
            <w:tcW w:type="dxa" w:w="26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TGO  ·  Nirmit</w:t>
            </w:r>
          </w:p>
        </w:tc>
        <w:tc>
          <w:tcPr>
            <w:tcW w:type="dxa" w:w="70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Strategy, offer architecture, landing page, ad creative direction, the day five session structure, and the prescription call framework.</w:t>
            </w:r>
          </w:p>
        </w:tc>
      </w:tr>
      <w:tr>
        <w:tc>
          <w:tcPr>
            <w:tcW w:type="dxa" w:w="26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TGO  ·  Ashutosh</w:t>
            </w:r>
          </w:p>
        </w:tc>
        <w:tc>
          <w:tcPr>
            <w:tcW w:type="dxa" w:w="70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Media buying. Campaign build, daily optimisation, pausing and scaling. The point of contact in the group for any question about spend, registrations or performance on a given day.</w:t>
            </w:r>
          </w:p>
        </w:tc>
      </w:tr>
      <w:tr>
        <w:tc>
          <w:tcPr>
            <w:tcW w:type="dxa" w:w="26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SuperMe  ·  Atul</w:t>
            </w:r>
          </w:p>
        </w:tc>
        <w:tc>
          <w:tcPr>
            <w:tcW w:type="dxa" w:w="70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Delivery of the four live days and the six-month programme. Nominating and briefing the coaches who take the prescription calls. Producing the outstanding case studies, including two on neck and shoulder.</w:t>
            </w:r>
          </w:p>
        </w:tc>
      </w:tr>
      <w:tr>
        <w:tc>
          <w:tcPr>
            <w:tcW w:type="dxa" w:w="2600"/>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SuperMe  ·  coaching team</w:t>
            </w:r>
          </w:p>
        </w:tc>
        <w:tc>
          <w:tcPr>
            <w:tcW w:type="dxa" w:w="7038"/>
            <w:shd w:fill="F2F4F6" w:color="auto" w:val="clear"/>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Prescription calls within seventy-two hours of each deposit, working to the TGO framework. Pre-challenge calls to the highest-intent registrants identified from the registration form.</w:t>
            </w:r>
          </w:p>
        </w:tc>
      </w:tr>
      <w:tr>
        <w:tc>
          <w:tcPr>
            <w:tcW w:type="dxa" w:w="2600"/>
            <w:tcMar>
              <w:top w:type="dxa" w:w="90"/>
              <w:left w:type="dxa" w:w="130"/>
              <w:bottom w:type="dxa" w:w="90"/>
              <w:right w:type="dxa" w:w="130"/>
            </w:tcMar>
            <w:vAlign w:val="top"/>
          </w:tcPr>
          <w:p>
            <w:pPr>
              <w:spacing w:after="40" w:before="40" w:line="264"/>
              <w:jc w:val="left"/>
            </w:pPr>
            <w:r>
              <w:rPr>
                <w:rFonts w:ascii="Calibri" w:cs="Calibri" w:eastAsia="Calibri" w:hAnsi="Calibri"/>
                <w:b/>
                <w:bCs/>
                <w:color w:val="15324B"/>
                <w:sz w:val="19"/>
                <w:szCs w:val="19"/>
              </w:rPr>
              <w:t xml:space="preserve">SuperMe  ·  Sriram and Stéphane</w:t>
            </w:r>
          </w:p>
        </w:tc>
        <w:tc>
          <w:tcPr>
            <w:tcW w:type="dxa" w:w="7038"/>
            <w:tcMar>
              <w:top w:type="dxa" w:w="90"/>
              <w:left w:type="dxa" w:w="130"/>
              <w:bottom w:type="dxa" w:w="90"/>
              <w:right w:type="dxa" w:w="130"/>
            </w:tcMar>
            <w:vAlign w:val="top"/>
          </w:tcPr>
          <w:p>
            <w:pPr>
              <w:spacing w:after="40" w:before="40" w:line="264"/>
              <w:jc w:val="left"/>
            </w:pPr>
            <w:r>
              <w:rPr>
                <w:rFonts w:ascii="Calibri" w:cs="Calibri" w:eastAsia="Calibri" w:hAnsi="Calibri"/>
                <w:color w:val="2B3138"/>
                <w:sz w:val="19"/>
                <w:szCs w:val="19"/>
              </w:rPr>
              <w:t xml:space="preserve">Budget release against the weekly forecast, and final sign-off on price and offer changes.</w:t>
            </w:r>
          </w:p>
        </w:tc>
      </w:tr>
    </w:tbl>
    <w:p>
      <w:pPr>
        <w:pStyle w:val="Heading2"/>
        <w:spacing w:after="130" w:before="300"/>
      </w:pPr>
      <w:r>
        <w:rPr>
          <w:rFonts w:ascii="Georgia" w:cs="Georgia" w:eastAsia="Georgia" w:hAnsi="Georgia"/>
          <w:b/>
          <w:bCs/>
          <w:color w:val="15324B"/>
          <w:sz w:val="25"/>
          <w:szCs w:val="25"/>
        </w:rPr>
        <w:t xml:space="preserve">Reporting cadence</w:t>
      </w:r>
    </w:p>
    <w:p>
      <w:pPr>
        <w:pStyle w:val="ListParagraph"/>
        <w:numPr>
          <w:ilvl w:val="0"/>
          <w:numId w:val="1"/>
        </w:numPr>
        <w:spacing w:after="70" w:line="276"/>
      </w:pPr>
      <w:r>
        <w:rPr>
          <w:rFonts w:ascii="Calibri" w:cs="Calibri" w:eastAsia="Calibri" w:hAnsi="Calibri"/>
          <w:b/>
          <w:bCs/>
          <w:color w:val="15324B"/>
          <w:sz w:val="21"/>
          <w:szCs w:val="21"/>
        </w:rPr>
        <w:t xml:space="preserve">Weekly written report every Monday</w:t>
      </w:r>
      <w:r>
        <w:rPr>
          <w:rFonts w:ascii="Calibri" w:cs="Calibri" w:eastAsia="Calibri" w:hAnsi="Calibri"/>
          <w:color w:val="2B3138"/>
          <w:sz w:val="21"/>
          <w:szCs w:val="21"/>
        </w:rPr>
        <w:t xml:space="preserve">, covering spend, registrations, cost per registrant, click-through rate, landing page conversion, and where the next week's budget goes.</w:t>
      </w:r>
    </w:p>
    <w:p>
      <w:pPr>
        <w:pStyle w:val="ListParagraph"/>
        <w:numPr>
          <w:ilvl w:val="0"/>
          <w:numId w:val="1"/>
        </w:numPr>
        <w:spacing w:after="70" w:line="276"/>
      </w:pPr>
      <w:r>
        <w:rPr>
          <w:rFonts w:ascii="Calibri" w:cs="Calibri" w:eastAsia="Calibri" w:hAnsi="Calibri"/>
          <w:b/>
          <w:bCs/>
          <w:color w:val="15324B"/>
          <w:sz w:val="21"/>
          <w:szCs w:val="21"/>
        </w:rPr>
        <w:t xml:space="preserve">Daily questions any time</w:t>
      </w:r>
      <w:r>
        <w:rPr>
          <w:rFonts w:ascii="Calibri" w:cs="Calibri" w:eastAsia="Calibri" w:hAnsi="Calibri"/>
          <w:color w:val="2B3138"/>
          <w:sz w:val="21"/>
          <w:szCs w:val="21"/>
        </w:rPr>
        <w:t xml:space="preserve">, tagged to Ashutosh in the shared group. TGO runs an internal daily review on the same numbers.</w:t>
      </w:r>
    </w:p>
    <w:p>
      <w:pPr>
        <w:pStyle w:val="ListParagraph"/>
        <w:numPr>
          <w:ilvl w:val="0"/>
          <w:numId w:val="1"/>
        </w:numPr>
        <w:spacing w:after="70" w:line="276"/>
      </w:pPr>
      <w:r>
        <w:rPr>
          <w:rFonts w:ascii="Calibri" w:cs="Calibri" w:eastAsia="Calibri" w:hAnsi="Calibri"/>
          <w:b/>
          <w:bCs/>
          <w:color w:val="15324B"/>
          <w:sz w:val="21"/>
          <w:szCs w:val="21"/>
        </w:rPr>
        <w:t xml:space="preserve">A weekly spend forecast to Stéphane</w:t>
      </w:r>
      <w:r>
        <w:rPr>
          <w:rFonts w:ascii="Calibri" w:cs="Calibri" w:eastAsia="Calibri" w:hAnsi="Calibri"/>
          <w:color w:val="2B3138"/>
          <w:sz w:val="21"/>
          <w:szCs w:val="21"/>
        </w:rPr>
        <w:t xml:space="preserve">, broken down by week, so cash can be released against it rather than estimated. Precision is not expected. Visibility is.</w:t>
      </w:r>
    </w:p>
    <w:p>
      <w:pPr>
        <w:pStyle w:val="ListParagraph"/>
        <w:numPr>
          <w:ilvl w:val="0"/>
          <w:numId w:val="1"/>
        </w:numPr>
        <w:spacing w:after="70" w:line="276"/>
      </w:pPr>
      <w:r>
        <w:rPr>
          <w:rFonts w:ascii="Calibri" w:cs="Calibri" w:eastAsia="Calibri" w:hAnsi="Calibri"/>
          <w:b/>
          <w:bCs/>
          <w:color w:val="15324B"/>
          <w:sz w:val="21"/>
          <w:szCs w:val="21"/>
        </w:rPr>
        <w:t xml:space="preserve">A review after each cycle</w:t>
      </w:r>
      <w:r>
        <w:rPr>
          <w:rFonts w:ascii="Calibri" w:cs="Calibri" w:eastAsia="Calibri" w:hAnsi="Calibri"/>
          <w:color w:val="2B3138"/>
          <w:sz w:val="21"/>
          <w:szCs w:val="21"/>
        </w:rPr>
        <w:t xml:space="preserve">, covering the five numbers that matter: cost per registrant, show-up rate, day four attendance, day five to deposit, and deposit to full payment.</w:t>
      </w:r>
    </w:p>
    <w:p>
      <w:pPr>
        <w:pStyle w:val="Heading2"/>
        <w:spacing w:after="130" w:before="300"/>
      </w:pPr>
      <w:r>
        <w:rPr>
          <w:rFonts w:ascii="Georgia" w:cs="Georgia" w:eastAsia="Georgia" w:hAnsi="Georgia"/>
          <w:b/>
          <w:bCs/>
          <w:color w:val="15324B"/>
          <w:sz w:val="25"/>
          <w:szCs w:val="25"/>
        </w:rPr>
        <w:t xml:space="preserve">Referral: the SuperMe Ambassador programme</w:t>
      </w:r>
    </w:p>
    <w:p>
      <w:pPr>
        <w:spacing w:after="140" w:line="288"/>
        <w:jc w:val="left"/>
      </w:pPr>
      <w:r>
        <w:rPr>
          <w:rFonts w:ascii="Calibri" w:cs="Calibri" w:eastAsia="Calibri" w:hAnsi="Calibri"/>
          <w:color w:val="2B3138"/>
          <w:sz w:val="21"/>
          <w:szCs w:val="21"/>
        </w:rPr>
        <w:t xml:space="preserve">Every buyer is a potential source of the next one, and referred customers arrive at no media cost. The programme has two parts and the order matters.</w:t>
      </w:r>
    </w:p>
    <w:p>
      <w:pPr>
        <w:spacing w:after="40"/>
      </w:pPr>
      <w:r>
        <w:t xml:space="preserve"/>
      </w:r>
    </w:p>
    <w:p>
      <w:pPr>
        <w:pStyle w:val="ListParagraph"/>
        <w:numPr>
          <w:ilvl w:val="0"/>
          <w:numId w:val="1"/>
        </w:numPr>
        <w:spacing w:after="70" w:line="276"/>
      </w:pPr>
      <w:r>
        <w:rPr>
          <w:rFonts w:ascii="Calibri" w:cs="Calibri" w:eastAsia="Calibri" w:hAnsi="Calibri"/>
          <w:b/>
          <w:bCs/>
          <w:color w:val="15324B"/>
          <w:sz w:val="21"/>
          <w:szCs w:val="21"/>
        </w:rPr>
        <w:t xml:space="preserve">The status comes first.</w:t>
      </w:r>
      <w:r>
        <w:rPr>
          <w:rFonts w:ascii="Calibri" w:cs="Calibri" w:eastAsia="Calibri" w:hAnsi="Calibri"/>
          <w:color w:val="2B3138"/>
          <w:sz w:val="21"/>
          <w:szCs w:val="21"/>
        </w:rPr>
        <w:t xml:space="preserve"> A named SuperMe Ambassador letter, issued to buyers who complete the challenge and join the programme. Recognition is what people actually share, and for a meaningful slice of this audience it is the whole motivation.</w:t>
      </w:r>
    </w:p>
    <w:p>
      <w:pPr>
        <w:pStyle w:val="ListParagraph"/>
        <w:numPr>
          <w:ilvl w:val="0"/>
          <w:numId w:val="1"/>
        </w:numPr>
        <w:spacing w:after="70" w:line="276"/>
      </w:pPr>
      <w:r>
        <w:rPr>
          <w:rFonts w:ascii="Calibri" w:cs="Calibri" w:eastAsia="Calibri" w:hAnsi="Calibri"/>
          <w:b/>
          <w:bCs/>
          <w:color w:val="15324B"/>
          <w:sz w:val="21"/>
          <w:szCs w:val="21"/>
        </w:rPr>
        <w:t xml:space="preserve">The commission comes second.</w:t>
      </w:r>
      <w:r>
        <w:rPr>
          <w:rFonts w:ascii="Calibri" w:cs="Calibri" w:eastAsia="Calibri" w:hAnsi="Calibri"/>
          <w:color w:val="2B3138"/>
          <w:sz w:val="21"/>
          <w:szCs w:val="21"/>
        </w:rPr>
        <w:t xml:space="preserve"> Five to ten per cent of the programme fee on each referred buyer. Against a media cost that runs closer to thirty pounds per acquired customer, that is comfortable economics on both sides, and it works on the people status alone does not reach.</w:t>
      </w:r>
    </w:p>
    <w:p>
      <w:pPr>
        <w:spacing w:after="60"/>
      </w:pPr>
      <w:r>
        <w:t xml:space="preserve"/>
      </w:r>
    </w:p>
    <w:p>
      <w:pPr>
        <w:spacing w:after="140" w:line="288"/>
        <w:jc w:val="left"/>
      </w:pPr>
      <w:r>
        <w:rPr>
          <w:rFonts w:ascii="Calibri" w:cs="Calibri" w:eastAsia="Calibri" w:hAnsi="Calibri"/>
          <w:color w:val="2B3138"/>
          <w:sz w:val="21"/>
          <w:szCs w:val="21"/>
        </w:rPr>
        <w:t xml:space="preserve">Video testimonials are separate and are never paid for. They are built into the programme calendar at week three, week eight and week twelve as a scheduled touchpoint, which is why nobody has to be chased for them.</w:t>
      </w:r>
    </w:p>
    <w:p>
      <w:pPr>
        <w:spacing w:after="400"/>
      </w:pPr>
      <w:r>
        <w:t xml:space="preserve"/>
      </w:r>
    </w:p>
    <w:p>
      <w:pPr>
        <w:spacing w:before="200"/>
        <w:jc w:val="center"/>
      </w:pPr>
      <w:r>
        <w:rPr>
          <w:rFonts w:ascii="Georgia" w:cs="Georgia" w:eastAsia="Georgia" w:hAnsi="Georgia"/>
          <w:i/>
          <w:iCs/>
          <w:color w:val="5A6673"/>
          <w:sz w:val="21"/>
          <w:szCs w:val="21"/>
        </w:rPr>
        <w:t xml:space="preserve">This is the operating document. Everything else builds from here.</w:t>
      </w:r>
    </w:p>
    <w:sectPr>
      <w:footerReference w:type="default" r:id="rId7"/>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4AE"/>
        <w:sz w:val="16"/>
        <w:szCs w:val="16"/>
      </w:rPr>
      <w:t xml:space="preserve">SuperMe  ·  Business Strategy &amp; Game Plan  ·  Confidential  ·  </w:t>
    </w:r>
    <w:r>
      <w:rPr>
        <w:rFonts w:ascii="Calibri" w:cs="Calibri" w:eastAsia="Calibri" w:hAnsi="Calibri"/>
        <w:color w:val="9AA4A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31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15324B"/>
      <w:sz w:val="34"/>
      <w:szCs w:val="34"/>
    </w:rPr>
  </w:style>
  <w:style w:type="paragraph" w:styleId="Heading2">
    <w:name w:val="Heading 2"/>
    <w:basedOn w:val="Normal"/>
    <w:next w:val="Normal"/>
    <w:qFormat/>
    <w:rPr>
      <w:rFonts w:ascii="Georgia" w:cs="Georgia" w:eastAsia="Georgia" w:hAnsi="Georgia"/>
      <w:b/>
      <w:bCs/>
      <w:color w:val="15324B"/>
      <w:sz w:val="25"/>
      <w:szCs w:val="25"/>
    </w:rPr>
  </w:style>
  <w:style w:type="paragraph" w:styleId="Heading3">
    <w:name w:val="Heading 3"/>
    <w:basedOn w:val="Normal"/>
    <w:next w:val="Normal"/>
    <w:qFormat/>
    <w:rPr>
      <w:rFonts w:ascii="Calibri" w:cs="Calibri" w:eastAsia="Calibri" w:hAnsi="Calibri"/>
      <w:b/>
      <w:bCs/>
      <w:color w:val="A870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SuperMe | Business Strategy &amp; Game Plan</dc:title>
  <dc:creator>TrainerGoesOnline</dc:creator>
  <dc:description>Strategy document for the SuperMe 5-Day Pain Reset, United Kingdom</dc:description>
  <cp:lastModifiedBy>Un-named</cp:lastModifiedBy>
  <cp:revision>1</cp:revision>
  <dcterms:created xsi:type="dcterms:W3CDTF">2026-08-04T12:38:30.326Z</dcterms:created>
  <dcterms:modified xsi:type="dcterms:W3CDTF">2026-08-04T12:38:30.343Z</dcterms:modified>
</cp:coreProperties>
</file>

<file path=docProps/custom.xml><?xml version="1.0" encoding="utf-8"?>
<Properties xmlns="http://schemas.openxmlformats.org/officeDocument/2006/custom-properties" xmlns:vt="http://schemas.openxmlformats.org/officeDocument/2006/docPropsVTypes"/>
</file>