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Évaluation de compatibilité de l’infrastructure hybride</w:t>
      </w:r>
    </w:p>
    <w:p>
      <w:pPr>
        <w:jc w:val="center"/>
      </w:pPr>
      <w:r>
        <w:rPr>
          <w:b/>
          <w:color w:val="4A5568"/>
          <w:sz w:val="26"/>
        </w:rPr>
        <w:t>InduTechData — SI on-premise, AWS et Redpanda</w:t>
      </w:r>
    </w:p>
    <w:p>
      <w:pPr>
        <w:jc w:val="center"/>
      </w:pPr>
      <w:r>
        <w:rPr>
          <w:i/>
          <w:sz w:val="18"/>
        </w:rPr>
        <w:t>Hypothèse de chiffrage : région AWS Europe (Paris), tarifs publics consultés en juillet 2026</w:t>
      </w:r>
    </w:p>
    <w:tbl>
      <w:tblPr>
        <w:tblW w:type="auto" w:w="0"/>
        <w:jc w:val="center"/>
        <w:tblLayout w:type="autofit"/>
        <w:tblLook w:firstColumn="1" w:firstRow="1" w:lastColumn="0" w:lastRow="0" w:noHBand="0" w:noVBand="1" w:val="04A0"/>
      </w:tblPr>
      <w:tblGrid>
        <w:gridCol w:w="10224"/>
      </w:tblGrid>
      <w:tr>
        <w:tc>
          <w:tcPr>
            <w:tcW w:type="dxa" w:w="10224"/>
            <w:shd w:fill="EAF2F8"/>
          </w:tcPr>
          <w:p>
            <w:r>
              <w:rPr>
                <w:b/>
                <w:color w:val="18375F"/>
              </w:rPr>
              <w:t xml:space="preserve">Conclusion générale. </w:t>
            </w:r>
            <w:r>
              <w:t>L’architecture est compatible avec le SI existant, à condition de conserver SQL Server comme système transactionnel de référence, de sécuriser la liaison hybride et de dimensionner prudemment EKS/Redpanda. Les principaux risques concernent la complexité opérationnelle d’un cluster stateful, la qualité de la réplication CDC et les coûts fixes des services toujours actifs.</w:t>
            </w:r>
          </w:p>
        </w:tc>
      </w:tr>
    </w:tbl>
    <w:p>
      <w:pPr>
        <w:pStyle w:val="Heading1"/>
      </w:pPr>
      <w:r>
        <w:t>1. Architecture retenue et justification des composants</w:t>
      </w:r>
    </w:p>
    <w:p>
      <w:r>
        <w:rPr>
          <w:b/>
        </w:rPr>
        <w:t xml:space="preserve">La cible proposée est hybride : </w:t>
      </w:r>
      <w:r>
        <w:t>l’ERP, le CRM, le cluster SQL Server de 40 To et l’Active Directory restent dans le datacenter. AWS accueille les nouveaux traitements temps réel, le Data Lake et l’entrepôt analytique. Cette approche limite le risque de migration des applications historiques tout en apportant de la capacité élastique.</w:t>
      </w:r>
    </w:p>
    <w:p>
      <w:pPr>
        <w:ind w:left="288"/>
      </w:pPr>
      <w:r>
        <w:rPr>
          <w:b/>
          <w:color w:val="1F5B73"/>
        </w:rPr>
        <w:t xml:space="preserve">Amazon S3 : </w:t>
      </w:r>
      <w:r>
        <w:t>Stockage objet des 10 To de logs, fichiers utilisateurs et données IoT brutes. S3 est scalable sans provisionnement préalable, s’intègre aux connecteurs compatibles Kafka/Redpanda et permet chiffrement, versionnement et règles de cycle de vie.</w:t>
      </w:r>
    </w:p>
    <w:p>
      <w:pPr>
        <w:ind w:left="288"/>
      </w:pPr>
      <w:r>
        <w:rPr>
          <w:b/>
          <w:color w:val="1F5B73"/>
        </w:rPr>
        <w:t xml:space="preserve">Redpanda sur Amazon EKS : </w:t>
      </w:r>
      <w:r>
        <w:t>Redpanda assure le streaming compatible Kafka. EKS orchestre trois brokers répartis sur des nœuds EC2 ; EBS fournit le stockage persistant et ECR conserve les images. Ce choix suit le parcours Kubernetes documenté par Redpanda.</w:t>
      </w:r>
    </w:p>
    <w:p>
      <w:pPr>
        <w:ind w:left="288"/>
      </w:pPr>
      <w:r>
        <w:rPr>
          <w:b/>
          <w:color w:val="1F5B73"/>
        </w:rPr>
        <w:t xml:space="preserve">Amazon Redshift Serverless : </w:t>
      </w:r>
      <w:r>
        <w:t>Entrepôt destiné aux requêtes SQL complexes, au reporting et aux données consolidées. Le mode Serverless convient si l’activité analytique est intermittente, car le calcul est facturé lorsqu’il est utilisé.</w:t>
      </w:r>
    </w:p>
    <w:p>
      <w:pPr>
        <w:ind w:left="288"/>
      </w:pPr>
      <w:r>
        <w:rPr>
          <w:b/>
          <w:color w:val="1F5B73"/>
        </w:rPr>
        <w:t xml:space="preserve">AWS DMS et conversion de schéma : </w:t>
      </w:r>
      <w:r>
        <w:t>DMS réalise un chargement initial puis une réplication CDC depuis SQL Server vers Redshift. La conversion de schéma prépare les tables, types et objets compatibles avec le modèle analytique cible.</w:t>
      </w:r>
    </w:p>
    <w:p>
      <w:pPr>
        <w:ind w:left="288"/>
      </w:pPr>
      <w:r>
        <w:rPr>
          <w:b/>
          <w:color w:val="1F5B73"/>
        </w:rPr>
        <w:t xml:space="preserve">AWS Managed Microsoft AD, IAM Identity Center et IAM : </w:t>
      </w:r>
      <w:r>
        <w:t>Managed Microsoft AD établit une relation de confiance avec l’AD on-premise. Identity Center fournit le SSO et associe les groupes AD à des ensembles d’autorisations ; IAM applique les permissions techniques sur S3, EKS et Redshift.</w:t>
      </w:r>
    </w:p>
    <w:p>
      <w:pPr>
        <w:ind w:left="288"/>
      </w:pPr>
      <w:r>
        <w:rPr>
          <w:b/>
          <w:color w:val="1F5B73"/>
        </w:rPr>
        <w:t xml:space="preserve">VPN Site-to-Site / Direct Connect : </w:t>
      </w:r>
      <w:r>
        <w:t>Le VPN IPsec convient au démarrage. Direct Connect devient pertinent si les transferts de 40 To, la latence ou la stabilité du débit le justifient.</w:t>
      </w:r>
    </w:p>
    <w:p>
      <w:pPr>
        <w:pStyle w:val="Heading1"/>
      </w:pPr>
      <w:r>
        <w:t>2. Sécurité, conformité et identités</w:t>
      </w:r>
    </w:p>
    <w:p>
      <w:r>
        <w:rPr>
          <w:b/>
        </w:rPr>
        <w:t xml:space="preserve">Protection des flux. </w:t>
      </w:r>
      <w:r>
        <w:t>Redpanda prend en charge TLS pour chiffrer les interfaces Kafka et peut combiner TLS avec SASL/SCRAM pour l’authentification ; SASL seul ne chiffre pas les échanges. Les producteurs IoT, applications et consommateurs devront donc utiliser TLS, idéalement mTLS pour les flux les plus sensibles. La liaison on-premise–AWS sera protégée par IPsec, tandis que les accès S3, DMS et Redshift utiliseront TLS. Au repos, S3, EBS et Redshift seront chiffrés avec AWS KMS. Les secrets techniques seront placés dans Secrets Manager et non dans les images ECR ou les manifestes Kubernetes.</w:t>
      </w:r>
    </w:p>
    <w:p>
      <w:r>
        <w:rPr>
          <w:b/>
        </w:rPr>
        <w:t xml:space="preserve">Homogénéité des identités. </w:t>
      </w:r>
      <w:r>
        <w:t>La gestion devient cohérente sans dupliquer les comptes : AWS Managed Microsoft AD peut établir une relation de confiance avec l’AD autogéré, puis IAM Identity Center utilise cet annuaire comme source d’identité. Les groupes existants, par exemple DataAnalysts ou DataEngineers, sont associés à des rôles temporaires IAM. Il faut toutefois maintenir une résolution DNS bidirectionnelle, la synchronisation horaire, les ports AD requis et une procédure de secours si la liaison hybride est indisponible.</w:t>
      </w:r>
    </w:p>
    <w:p>
      <w:r>
        <w:rPr>
          <w:b/>
        </w:rPr>
        <w:t xml:space="preserve">Conformité et traçabilité. </w:t>
      </w:r>
      <w:r>
        <w:t>CloudTrail doit journaliser les actions d’administration, CloudWatch centraliser les métriques et journaux, et les logs d’accès S3/Redshift être conservés selon la politique interne. Le principe du moindre privilège, le blocage public S3, la rotation des secrets et des tests réguliers de restauration sont indispensables.</w:t>
      </w:r>
    </w:p>
    <w:p>
      <w:pPr>
        <w:pStyle w:val="Heading1"/>
      </w:pPr>
      <w:r>
        <w:t>3. Interopérabilité et automatisation</w:t>
      </w:r>
    </w:p>
    <w:p>
      <w:r>
        <w:t xml:space="preserve">Redpanda étant compatible avec l’API Kafka, les applications on-premise peuvent publier des événements via des producteurs Kafka standards. </w:t>
      </w:r>
      <w:r>
        <w:rPr>
          <w:b/>
        </w:rPr>
        <w:t xml:space="preserve">Pour SQL Server, deux chemins complémentaires sont possibles : </w:t>
      </w:r>
      <w:r>
        <w:t>AWS DMS réplique les données relationnelles vers Redshift par chargement complet puis CDC ; un connecteur CDC compatible Kafka peut publier certains changements directement dans Redpanda lorsque la latence doit être plus faible. DMS prend en charge SQL Server on-premise en réplication continue, sous réserve des versions, éditions, clés primaires, types LOB et prérequis CDC.</w:t>
      </w:r>
    </w:p>
    <w:p>
      <w:r>
        <w:t>Les flux sont automatisables par des topics Redpanda, des S3 Sink Connectors ou Redpanda Connect, des tâches DMS persistantes, des chargements Redshift COPY/ELT et des workflows Kubernetes. Les schémas, topics, ACL et configurations doivent être versionnés dans Git et déployés par CI/CD. Des mécanismes de reprise, files d’erreurs, idempotence et supervision du lag sont nécessaires pour éviter doublons ou pertes lors des coupures réseau.</w:t>
      </w:r>
    </w:p>
    <w:p>
      <w:pPr>
        <w:pStyle w:val="Heading1"/>
      </w:pPr>
      <w:r>
        <w:t>4. Scalabilité, avantages et limitations</w:t>
      </w:r>
    </w:p>
    <w:p>
      <w:r>
        <w:rPr>
          <w:b/>
        </w:rPr>
        <w:t xml:space="preserve">Avantages. </w:t>
      </w:r>
      <w:r>
        <w:t>S3 absorbe la croissance sans redimensionnement et les politiques Lifecycle déplacent les données anciennes vers des classes moins coûteuses. EKS permet d’ajouter des nœuds et Redpanda de répartir les partitions lorsque les débits IoT augmentent. Redshift Serverless adapte la capacité de calcul à la charge analytique. À 50 Go de données nouvelles par mois, l’architecture dispose d’une marge importante et doit surtout éviter le surdimensionnement initial.</w:t>
      </w:r>
    </w:p>
    <w:p>
      <w:r>
        <w:rPr>
          <w:b/>
        </w:rPr>
        <w:t xml:space="preserve">Limitations. </w:t>
      </w:r>
      <w:r>
        <w:t>Redpanda sur EKS reste une charge stateful : mises à niveau, quorum, volumes persistants, rééquilibrage et trafic inter-zones exigent une expertise Kubernetes. La réplication de 40 To peut durer longtemps et solliciter SQL Server ainsi que le réseau ; seules les données analytiques utiles devraient être transférées. Redshift ne remplace pas SQL Server pour les transactions ERP/CRM. Enfin, Managed Microsoft AD, EKS et les brokers EC2 créent des coûts fixes même lorsque le volume mensuel est faible.</w:t>
      </w:r>
    </w:p>
    <w:p>
      <w:pPr>
        <w:pStyle w:val="Heading1"/>
      </w:pPr>
      <w:r>
        <w:t>5. Première estimation des coûts</w:t>
      </w:r>
    </w:p>
    <w:p>
      <w:r>
        <w:rPr>
          <w:i/>
        </w:rPr>
        <w:t>Estimation indicative en USD hors taxes, fondée sur 730 h/mois, région Europe (Paris), sans remise, sans support Enterprise, sans main-d’œuvre et sans licence commerciale Redpanda. Les prix exacts varient selon les tailles, le trafic, la durée d’activité et les engagements.</w:t>
      </w:r>
    </w:p>
    <w:tbl>
      <w:tblPr>
        <w:tblStyle w:val="TableGrid"/>
        <w:tblW w:type="auto" w:w="0"/>
        <w:jc w:val="center"/>
        <w:tblLook w:firstColumn="1" w:firstRow="1" w:lastColumn="0" w:lastRow="0" w:noHBand="0" w:noVBand="1" w:val="04A0"/>
      </w:tblPr>
      <w:tblGrid>
        <w:gridCol w:w="3408"/>
        <w:gridCol w:w="3408"/>
        <w:gridCol w:w="3408"/>
      </w:tblGrid>
      <w:tr>
        <w:trPr>
          <w:tblHeader w:val="true"/>
        </w:trPr>
        <w:tc>
          <w:tcPr>
            <w:tcW w:type="dxa" w:w="2592"/>
            <w:vAlign w:val="center"/>
            <w:shd w:fill="18375F"/>
          </w:tcPr>
          <w:p>
            <w:r/>
            <w:r>
              <w:rPr>
                <w:b/>
                <w:color w:val="FFFFFF"/>
                <w:sz w:val="18"/>
              </w:rPr>
              <w:t>Composant</w:t>
            </w:r>
          </w:p>
        </w:tc>
        <w:tc>
          <w:tcPr>
            <w:tcW w:type="dxa" w:w="2088"/>
            <w:vAlign w:val="center"/>
            <w:shd w:fill="18375F"/>
          </w:tcPr>
          <w:p>
            <w:r/>
            <w:r>
              <w:rPr>
                <w:b/>
                <w:color w:val="FFFFFF"/>
                <w:sz w:val="18"/>
              </w:rPr>
              <w:t>Ordre de grandeur</w:t>
            </w:r>
          </w:p>
        </w:tc>
        <w:tc>
          <w:tcPr>
            <w:tcW w:type="dxa" w:w="5616"/>
            <w:vAlign w:val="center"/>
            <w:shd w:fill="18375F"/>
          </w:tcPr>
          <w:p>
            <w:r/>
            <w:r>
              <w:rPr>
                <w:b/>
                <w:color w:val="FFFFFF"/>
                <w:sz w:val="18"/>
              </w:rPr>
              <w:t>Hypothèses / vigilance</w:t>
            </w:r>
          </w:p>
        </w:tc>
      </w:tr>
      <w:tr>
        <w:tc>
          <w:tcPr>
            <w:tcW w:type="dxa" w:w="2592"/>
            <w:vAlign w:val="center"/>
          </w:tcPr>
          <w:p>
            <w:r/>
            <w:r>
              <w:rPr>
                <w:b w:val="0"/>
                <w:sz w:val="17"/>
              </w:rPr>
              <w:t>EKS – plan de contrôle</w:t>
            </w:r>
          </w:p>
        </w:tc>
        <w:tc>
          <w:tcPr>
            <w:tcW w:type="dxa" w:w="2088"/>
            <w:vAlign w:val="center"/>
          </w:tcPr>
          <w:p>
            <w:r/>
            <w:r>
              <w:rPr>
                <w:b w:val="0"/>
                <w:sz w:val="17"/>
              </w:rPr>
              <w:t>~73 $/mois</w:t>
            </w:r>
          </w:p>
        </w:tc>
        <w:tc>
          <w:tcPr>
            <w:tcW w:type="dxa" w:w="5616"/>
            <w:vAlign w:val="center"/>
          </w:tcPr>
          <w:p>
            <w:r/>
            <w:r>
              <w:rPr>
                <w:b w:val="0"/>
                <w:sz w:val="17"/>
              </w:rPr>
              <w:t>1 cluster en support standard, 0,10 $/h.</w:t>
            </w:r>
          </w:p>
        </w:tc>
      </w:tr>
      <w:tr>
        <w:tc>
          <w:tcPr>
            <w:tcW w:type="dxa" w:w="2592"/>
            <w:vAlign w:val="center"/>
          </w:tcPr>
          <w:p>
            <w:r/>
            <w:r>
              <w:rPr>
                <w:b w:val="0"/>
                <w:sz w:val="17"/>
              </w:rPr>
              <w:t>EC2 pour 3 brokers Redpanda</w:t>
            </w:r>
          </w:p>
        </w:tc>
        <w:tc>
          <w:tcPr>
            <w:tcW w:type="dxa" w:w="2088"/>
            <w:vAlign w:val="center"/>
          </w:tcPr>
          <w:p>
            <w:r/>
            <w:r>
              <w:rPr>
                <w:b w:val="0"/>
                <w:sz w:val="17"/>
              </w:rPr>
              <w:t>~300–500 $/mois</w:t>
            </w:r>
          </w:p>
        </w:tc>
        <w:tc>
          <w:tcPr>
            <w:tcW w:type="dxa" w:w="5616"/>
            <w:vAlign w:val="center"/>
          </w:tcPr>
          <w:p>
            <w:r/>
            <w:r>
              <w:rPr>
                <w:b w:val="0"/>
                <w:sz w:val="17"/>
              </w:rPr>
              <w:t>Trois nœuds généralistes ou orientés stockage ; à valider par test de charge.</w:t>
            </w:r>
          </w:p>
        </w:tc>
      </w:tr>
      <w:tr>
        <w:tc>
          <w:tcPr>
            <w:tcW w:type="dxa" w:w="2592"/>
            <w:vAlign w:val="center"/>
          </w:tcPr>
          <w:p>
            <w:r/>
            <w:r>
              <w:rPr>
                <w:b w:val="0"/>
                <w:sz w:val="17"/>
              </w:rPr>
              <w:t>EBS gp3 Redpanda</w:t>
            </w:r>
          </w:p>
        </w:tc>
        <w:tc>
          <w:tcPr>
            <w:tcW w:type="dxa" w:w="2088"/>
            <w:vAlign w:val="center"/>
          </w:tcPr>
          <w:p>
            <w:r/>
            <w:r>
              <w:rPr>
                <w:b w:val="0"/>
                <w:sz w:val="17"/>
              </w:rPr>
              <w:t>~50–100 $/mois</w:t>
            </w:r>
          </w:p>
        </w:tc>
        <w:tc>
          <w:tcPr>
            <w:tcW w:type="dxa" w:w="5616"/>
            <w:vAlign w:val="center"/>
          </w:tcPr>
          <w:p>
            <w:r/>
            <w:r>
              <w:rPr>
                <w:b w:val="0"/>
                <w:sz w:val="17"/>
              </w:rPr>
              <w:t>Environ 600 Go au total, hors IOPS/débit supplémentaires et snapshots.</w:t>
            </w:r>
          </w:p>
        </w:tc>
      </w:tr>
      <w:tr>
        <w:tc>
          <w:tcPr>
            <w:tcW w:type="dxa" w:w="2592"/>
            <w:vAlign w:val="center"/>
          </w:tcPr>
          <w:p>
            <w:r/>
            <w:r>
              <w:rPr>
                <w:b w:val="0"/>
                <w:sz w:val="17"/>
              </w:rPr>
              <w:t>Amazon S3 – 10 To</w:t>
            </w:r>
          </w:p>
        </w:tc>
        <w:tc>
          <w:tcPr>
            <w:tcW w:type="dxa" w:w="2088"/>
            <w:vAlign w:val="center"/>
          </w:tcPr>
          <w:p>
            <w:r/>
            <w:r>
              <w:rPr>
                <w:b w:val="0"/>
                <w:sz w:val="17"/>
              </w:rPr>
              <w:t>~230–300 $/mois</w:t>
            </w:r>
          </w:p>
        </w:tc>
        <w:tc>
          <w:tcPr>
            <w:tcW w:type="dxa" w:w="5616"/>
            <w:vAlign w:val="center"/>
          </w:tcPr>
          <w:p>
            <w:r/>
            <w:r>
              <w:rPr>
                <w:b w:val="0"/>
                <w:sz w:val="17"/>
              </w:rPr>
              <w:t>S3 Standard, hors requêtes et sorties ; baisse possible via Lifecycle.</w:t>
            </w:r>
          </w:p>
        </w:tc>
      </w:tr>
      <w:tr>
        <w:tc>
          <w:tcPr>
            <w:tcW w:type="dxa" w:w="2592"/>
            <w:vAlign w:val="center"/>
          </w:tcPr>
          <w:p>
            <w:r/>
            <w:r>
              <w:rPr>
                <w:b w:val="0"/>
                <w:sz w:val="17"/>
              </w:rPr>
              <w:t>Redshift Serverless</w:t>
            </w:r>
          </w:p>
        </w:tc>
        <w:tc>
          <w:tcPr>
            <w:tcW w:type="dxa" w:w="2088"/>
            <w:vAlign w:val="center"/>
          </w:tcPr>
          <w:p>
            <w:r/>
            <w:r>
              <w:rPr>
                <w:b w:val="0"/>
                <w:sz w:val="17"/>
              </w:rPr>
              <w:t>~200–800 $/mois</w:t>
            </w:r>
          </w:p>
        </w:tc>
        <w:tc>
          <w:tcPr>
            <w:tcW w:type="dxa" w:w="5616"/>
            <w:vAlign w:val="center"/>
          </w:tcPr>
          <w:p>
            <w:r/>
            <w:r>
              <w:rPr>
                <w:b w:val="0"/>
                <w:sz w:val="17"/>
              </w:rPr>
              <w:t>Dépend du nombre d’heures actives et des RPU ; fixer une limite d’usage.</w:t>
            </w:r>
          </w:p>
        </w:tc>
      </w:tr>
      <w:tr>
        <w:tc>
          <w:tcPr>
            <w:tcW w:type="dxa" w:w="2592"/>
            <w:vAlign w:val="center"/>
          </w:tcPr>
          <w:p>
            <w:r/>
            <w:r>
              <w:rPr>
                <w:b w:val="0"/>
                <w:sz w:val="17"/>
              </w:rPr>
              <w:t>AWS DMS</w:t>
            </w:r>
          </w:p>
        </w:tc>
        <w:tc>
          <w:tcPr>
            <w:tcW w:type="dxa" w:w="2088"/>
            <w:vAlign w:val="center"/>
          </w:tcPr>
          <w:p>
            <w:r/>
            <w:r>
              <w:rPr>
                <w:b w:val="0"/>
                <w:sz w:val="17"/>
              </w:rPr>
              <w:t>~100–350 $/mois</w:t>
            </w:r>
          </w:p>
        </w:tc>
        <w:tc>
          <w:tcPr>
            <w:tcW w:type="dxa" w:w="5616"/>
            <w:vAlign w:val="center"/>
          </w:tcPr>
          <w:p>
            <w:r/>
            <w:r>
              <w:rPr>
                <w:b w:val="0"/>
                <w:sz w:val="17"/>
              </w:rPr>
              <w:t>Instance ou capacité Serverless pendant full load et CDC.</w:t>
            </w:r>
          </w:p>
        </w:tc>
      </w:tr>
      <w:tr>
        <w:tc>
          <w:tcPr>
            <w:tcW w:type="dxa" w:w="2592"/>
            <w:vAlign w:val="center"/>
          </w:tcPr>
          <w:p>
            <w:r/>
            <w:r>
              <w:rPr>
                <w:b w:val="0"/>
                <w:sz w:val="17"/>
              </w:rPr>
              <w:t>AWS Managed Microsoft AD</w:t>
            </w:r>
          </w:p>
        </w:tc>
        <w:tc>
          <w:tcPr>
            <w:tcW w:type="dxa" w:w="2088"/>
            <w:vAlign w:val="center"/>
          </w:tcPr>
          <w:p>
            <w:r/>
            <w:r>
              <w:rPr>
                <w:b w:val="0"/>
                <w:sz w:val="17"/>
              </w:rPr>
              <w:t>~292 $/mois</w:t>
            </w:r>
          </w:p>
        </w:tc>
        <w:tc>
          <w:tcPr>
            <w:tcW w:type="dxa" w:w="5616"/>
            <w:vAlign w:val="center"/>
          </w:tcPr>
          <w:p>
            <w:r/>
            <w:r>
              <w:rPr>
                <w:b w:val="0"/>
                <w:sz w:val="17"/>
              </w:rPr>
              <w:t>Ordre de grandeur Standard à 0,40 $/h par annuaire géré.</w:t>
            </w:r>
          </w:p>
        </w:tc>
      </w:tr>
      <w:tr>
        <w:tc>
          <w:tcPr>
            <w:tcW w:type="dxa" w:w="2592"/>
            <w:vAlign w:val="center"/>
          </w:tcPr>
          <w:p>
            <w:r/>
            <w:r>
              <w:rPr>
                <w:b w:val="0"/>
                <w:sz w:val="17"/>
              </w:rPr>
              <w:t>VPN, CloudWatch, KMS, ECR, transferts</w:t>
            </w:r>
          </w:p>
        </w:tc>
        <w:tc>
          <w:tcPr>
            <w:tcW w:type="dxa" w:w="2088"/>
            <w:vAlign w:val="center"/>
          </w:tcPr>
          <w:p>
            <w:r/>
            <w:r>
              <w:rPr>
                <w:b w:val="0"/>
                <w:sz w:val="17"/>
              </w:rPr>
              <w:t>~80–250 $/mois</w:t>
            </w:r>
          </w:p>
        </w:tc>
        <w:tc>
          <w:tcPr>
            <w:tcW w:type="dxa" w:w="5616"/>
            <w:vAlign w:val="center"/>
          </w:tcPr>
          <w:p>
            <w:r/>
            <w:r>
              <w:rPr>
                <w:b w:val="0"/>
                <w:sz w:val="17"/>
              </w:rPr>
              <w:t>Très dépendant des logs, NAT, trafic inter-AZ et transferts sortants.</w:t>
            </w:r>
          </w:p>
        </w:tc>
      </w:tr>
      <w:tr>
        <w:tc>
          <w:tcPr>
            <w:tcW w:type="dxa" w:w="2592"/>
            <w:vAlign w:val="center"/>
            <w:shd w:fill="EAF2F8"/>
          </w:tcPr>
          <w:p>
            <w:r>
              <w:rPr>
                <w:b/>
              </w:rPr>
            </w:r>
            <w:r>
              <w:rPr>
                <w:b w:val="0"/>
                <w:sz w:val="17"/>
              </w:rPr>
              <w:t>Total récurrent indicatif</w:t>
            </w:r>
          </w:p>
        </w:tc>
        <w:tc>
          <w:tcPr>
            <w:tcW w:type="dxa" w:w="2088"/>
            <w:vAlign w:val="center"/>
            <w:shd w:fill="EAF2F8"/>
          </w:tcPr>
          <w:p>
            <w:r>
              <w:rPr>
                <w:b/>
              </w:rPr>
            </w:r>
            <w:r>
              <w:rPr>
                <w:b w:val="0"/>
                <w:sz w:val="17"/>
              </w:rPr>
              <w:t>~1 325–2 665 $/mois</w:t>
            </w:r>
          </w:p>
        </w:tc>
        <w:tc>
          <w:tcPr>
            <w:tcW w:type="dxa" w:w="5616"/>
            <w:vAlign w:val="center"/>
            <w:shd w:fill="EAF2F8"/>
          </w:tcPr>
          <w:p>
            <w:r/>
            <w:r>
              <w:rPr>
                <w:b w:val="0"/>
                <w:sz w:val="17"/>
              </w:rPr>
              <w:t>Fourchette de démarrage ; hors coûts humains et licence Redpanda.</w:t>
            </w:r>
          </w:p>
        </w:tc>
      </w:tr>
      <w:tr>
        <w:tc>
          <w:tcPr>
            <w:tcW w:type="dxa" w:w="2592"/>
            <w:vAlign w:val="center"/>
            <w:shd w:fill="EAF2F8"/>
          </w:tcPr>
          <w:p>
            <w:r>
              <w:rPr>
                <w:b/>
              </w:rPr>
            </w:r>
            <w:r>
              <w:rPr>
                <w:b w:val="0"/>
                <w:sz w:val="17"/>
              </w:rPr>
              <w:t>Coût cloud initial de migration</w:t>
            </w:r>
          </w:p>
        </w:tc>
        <w:tc>
          <w:tcPr>
            <w:tcW w:type="dxa" w:w="2088"/>
            <w:vAlign w:val="center"/>
            <w:shd w:fill="EAF2F8"/>
          </w:tcPr>
          <w:p>
            <w:r>
              <w:rPr>
                <w:b/>
              </w:rPr>
            </w:r>
            <w:r>
              <w:rPr>
                <w:b w:val="0"/>
                <w:sz w:val="17"/>
              </w:rPr>
              <w:t>~500–2 000 $ ponctuels</w:t>
            </w:r>
          </w:p>
        </w:tc>
        <w:tc>
          <w:tcPr>
            <w:tcW w:type="dxa" w:w="5616"/>
            <w:vAlign w:val="center"/>
            <w:shd w:fill="EAF2F8"/>
          </w:tcPr>
          <w:p>
            <w:r/>
            <w:r>
              <w:rPr>
                <w:b w:val="0"/>
                <w:sz w:val="17"/>
              </w:rPr>
              <w:t>DMS renforcé, snapshots, tests, stockage temporaire et transferts ; main-d’œuvre exclue.</w:t>
            </w:r>
          </w:p>
        </w:tc>
      </w:tr>
    </w:tbl>
    <w:p>
      <w:pPr>
        <w:pStyle w:val="Heading1"/>
      </w:pPr>
      <w:r>
        <w:t>6. Recommandations de pilotage et points d’attention</w:t>
      </w:r>
    </w:p>
    <w:p>
      <w:pPr>
        <w:pStyle w:val="ListBullet"/>
      </w:pPr>
      <w:r>
        <w:t>Créer des AWS Budgets mensuels avec alertes à 50 %, 80 % et 100 %, ainsi qu’une alerte de prévision avant dépassement.</w:t>
      </w:r>
    </w:p>
    <w:p>
      <w:pPr>
        <w:pStyle w:val="ListBullet"/>
      </w:pPr>
      <w:r>
        <w:t>Activer Cost Explorer, les balises de coûts par environnement et service, et des Cost Anomaly Monitors.</w:t>
      </w:r>
    </w:p>
    <w:p>
      <w:pPr>
        <w:pStyle w:val="ListBullet"/>
      </w:pPr>
      <w:r>
        <w:t>Superviser dans CloudWatch le lag Redpanda, l’usage CPU/mémoire/disque, la consommation EBS, les erreurs DMS, les RPU Redshift et la croissance S3.</w:t>
      </w:r>
    </w:p>
    <w:p>
      <w:pPr>
        <w:pStyle w:val="ListBullet"/>
      </w:pPr>
      <w:r>
        <w:t>Définir des quotas : limite d’usage Redshift Serverless, rétention des logs CloudWatch, Lifecycle S3 et budgets de transfert inter-AZ.</w:t>
      </w:r>
    </w:p>
    <w:p>
      <w:pPr>
        <w:pStyle w:val="ListBullet"/>
      </w:pPr>
      <w:r>
        <w:t>Réaliser un pilote avec un sous-ensemble SQL Server et des flux IoT représentatifs avant le chargement massif ; tester coupure VPN, reprise CDC et restauration des volumes.</w:t>
      </w:r>
    </w:p>
    <w:p>
      <w:r>
        <w:rPr>
          <w:b/>
        </w:rPr>
        <w:t xml:space="preserve">Avis final. </w:t>
      </w:r>
      <w:r>
        <w:t>La compatibilité globale est favorable. L’architecture répond aux exigences de sécurité, d’interopérabilité et de croissance si elle est mise en œuvre progressivement, avec TLS systématique, fédération AD correctement testée, automatisation des pipelines et gouvernance FinOps. Le dimensionnement initial doit rester modeste : la croissance de 50 Go/mois ne justifie pas, à elle seule, une plateforme surdimensionnée.</w:t>
      </w:r>
    </w:p>
    <w:p>
      <w:pPr>
        <w:pStyle w:val="Heading2"/>
        <w:spacing w:before="120" w:after="40"/>
      </w:pPr>
      <w:r>
        <w:t>Références documentaires</w:t>
      </w:r>
    </w:p>
    <w:p>
      <w:pPr>
        <w:pStyle w:val="ListBullet"/>
        <w:spacing w:before="0" w:after="0" w:line="228" w:lineRule="auto"/>
      </w:pPr>
      <w:r>
        <w:rPr>
          <w:b/>
          <w:sz w:val="15"/>
        </w:rPr>
        <w:t xml:space="preserve">Redpanda – authentification Kubernetes et TLS/SASL: </w:t>
      </w:r>
      <w:r>
        <w:rPr>
          <w:sz w:val="15"/>
        </w:rPr>
        <w:t>https://docs.redpanda.com/current/manage/kubernetes/security/authentication/k-authentication/</w:t>
      </w:r>
    </w:p>
    <w:p>
      <w:pPr>
        <w:pStyle w:val="ListBullet"/>
        <w:spacing w:before="0" w:after="0" w:line="228" w:lineRule="auto"/>
      </w:pPr>
      <w:r>
        <w:rPr>
          <w:b/>
          <w:sz w:val="15"/>
        </w:rPr>
        <w:t xml:space="preserve">Redpanda – déploiement sur Amazon EKS: </w:t>
      </w:r>
      <w:r>
        <w:rPr>
          <w:sz w:val="15"/>
        </w:rPr>
        <w:t>https://docs.redpanda.com/current/deploy/redpanda/kubernetes/eks-guide/</w:t>
      </w:r>
    </w:p>
    <w:p>
      <w:pPr>
        <w:pStyle w:val="ListBullet"/>
        <w:spacing w:before="0" w:after="0" w:line="228" w:lineRule="auto"/>
      </w:pPr>
      <w:r>
        <w:rPr>
          <w:b/>
          <w:sz w:val="15"/>
        </w:rPr>
        <w:t xml:space="preserve">AWS DMS – SQL Server comme source et CDC: </w:t>
      </w:r>
      <w:r>
        <w:rPr>
          <w:sz w:val="15"/>
        </w:rPr>
        <w:t>https://docs.aws.amazon.com/dms/latest/userguide/CHAP_Source.SQLServer.html</w:t>
      </w:r>
    </w:p>
    <w:p>
      <w:pPr>
        <w:pStyle w:val="ListBullet"/>
        <w:spacing w:before="0" w:after="0" w:line="228" w:lineRule="auto"/>
      </w:pPr>
      <w:r>
        <w:rPr>
          <w:b/>
          <w:sz w:val="15"/>
        </w:rPr>
        <w:t xml:space="preserve">AWS DMS – Amazon Redshift comme cible: </w:t>
      </w:r>
      <w:r>
        <w:rPr>
          <w:sz w:val="15"/>
        </w:rPr>
        <w:t>https://docs.aws.amazon.com/dms/latest/userguide/CHAP_Target.Redshift.html</w:t>
      </w:r>
    </w:p>
    <w:p>
      <w:pPr>
        <w:pStyle w:val="ListBullet"/>
        <w:spacing w:before="0" w:after="0" w:line="228" w:lineRule="auto"/>
      </w:pPr>
      <w:r>
        <w:rPr>
          <w:b/>
          <w:sz w:val="15"/>
        </w:rPr>
        <w:t xml:space="preserve">AWS Directory Service – relation de confiance AD: </w:t>
      </w:r>
      <w:r>
        <w:rPr>
          <w:sz w:val="15"/>
        </w:rPr>
        <w:t>https://docs.aws.amazon.com/directoryservice/latest/admin-guide/ms_ad_setup_trust.html</w:t>
      </w:r>
    </w:p>
    <w:p>
      <w:pPr>
        <w:pStyle w:val="ListBullet"/>
        <w:spacing w:before="0" w:after="0" w:line="228" w:lineRule="auto"/>
      </w:pPr>
      <w:r>
        <w:rPr>
          <w:b/>
          <w:sz w:val="15"/>
        </w:rPr>
        <w:t xml:space="preserve">IAM Identity Center – Active Directory comme source: </w:t>
      </w:r>
      <w:r>
        <w:rPr>
          <w:sz w:val="15"/>
        </w:rPr>
        <w:t>https://docs.aws.amazon.com/singlesignon/latest/userguide/manage-your-identity-source-ad.html</w:t>
      </w:r>
    </w:p>
    <w:p>
      <w:pPr>
        <w:pStyle w:val="ListBullet"/>
        <w:spacing w:before="0" w:after="0" w:line="228" w:lineRule="auto"/>
      </w:pPr>
      <w:r>
        <w:rPr>
          <w:b/>
          <w:sz w:val="15"/>
        </w:rPr>
        <w:t xml:space="preserve">Tarification Amazon EKS: </w:t>
      </w:r>
      <w:r>
        <w:rPr>
          <w:sz w:val="15"/>
        </w:rPr>
        <w:t>https://aws.amazon.com/eks/pricing/</w:t>
      </w:r>
    </w:p>
    <w:p>
      <w:pPr>
        <w:pStyle w:val="ListBullet"/>
        <w:spacing w:before="0" w:after="0" w:line="228" w:lineRule="auto"/>
      </w:pPr>
      <w:r>
        <w:rPr>
          <w:b/>
          <w:sz w:val="15"/>
        </w:rPr>
        <w:t xml:space="preserve">AWS Pricing Calculator: </w:t>
      </w:r>
      <w:r>
        <w:rPr>
          <w:sz w:val="15"/>
        </w:rPr>
        <w:t>https://aws.amazon.com/calculator/</w:t>
      </w:r>
    </w:p>
    <w:sectPr w:rsidR="00FC693F" w:rsidRPr="0006063C" w:rsidSect="00034616">
      <w:footerReference w:type="default" r:id="rId9"/>
      <w:pgSz w:w="12240" w:h="15840"/>
      <w:pgMar w:top="936" w:right="1008" w:bottom="936" w:left="1008"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color w:val="646464"/>
        <w:sz w:val="16"/>
      </w:rPr>
      <w:t>InduTechData — Évaluation de compatibilité de l’architecture hybride</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00" w:line="259" w:lineRule="auto"/>
    </w:pPr>
    <w:rPr>
      <w:rFonts w:ascii="Aptos" w:hAnsi="Aptos"/>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180" w:after="100"/>
      <w:outlineLvl w:val="0"/>
    </w:pPr>
    <w:rPr>
      <w:rFonts w:asciiTheme="majorHAnsi" w:eastAsiaTheme="majorEastAsia" w:hAnsiTheme="majorHAnsi" w:cstheme="majorBidi" w:ascii="Aptos" w:hAnsi="Aptos"/>
      <w:b/>
      <w:bCs/>
      <w:color w:val="18375F"/>
      <w:sz w:val="30"/>
      <w:szCs w:val="28"/>
    </w:rPr>
  </w:style>
  <w:style w:type="paragraph" w:styleId="Heading2">
    <w:name w:val="heading 2"/>
    <w:basedOn w:val="Normal"/>
    <w:next w:val="Normal"/>
    <w:link w:val="Heading2Char"/>
    <w:uiPriority w:val="9"/>
    <w:unhideWhenUsed/>
    <w:qFormat/>
    <w:rsid w:val="00FC693F"/>
    <w:pPr>
      <w:keepNext/>
      <w:keepLines/>
      <w:spacing w:before="180" w:after="100"/>
      <w:outlineLvl w:val="1"/>
    </w:pPr>
    <w:rPr>
      <w:rFonts w:asciiTheme="majorHAnsi" w:eastAsiaTheme="majorEastAsia" w:hAnsiTheme="majorHAnsi" w:cstheme="majorBidi" w:ascii="Aptos" w:hAnsi="Aptos"/>
      <w:b/>
      <w:bCs/>
      <w:color w:val="1F5B73"/>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100" w:line="240" w:lineRule="auto" w:before="180"/>
      <w:contextualSpacing/>
    </w:pPr>
    <w:rPr>
      <w:rFonts w:asciiTheme="majorHAnsi" w:eastAsiaTheme="majorEastAsia" w:hAnsiTheme="majorHAnsi" w:cstheme="majorBidi" w:ascii="Aptos Display" w:hAnsi="Aptos Display"/>
      <w:b/>
      <w:color w:val="18375F"/>
      <w:spacing w:val="5"/>
      <w:kern w:val="28"/>
      <w:sz w:val="4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Évaluation de compatibilité de l’infrastructure hybride InduTechData</dc:title>
  <dc:subject>Architecture hybride AWS, Redpanda et SI on-premise</dc:subject>
  <dc:creator>OpenAI</dc:creator>
  <cp:keywords/>
  <dc:description>generated by python-docx</dc:description>
  <cp:lastModifiedBy/>
  <cp:revision>1</cp:revision>
  <dcterms:created xsi:type="dcterms:W3CDTF">2013-12-23T23:15:00Z</dcterms:created>
  <dcterms:modified xsi:type="dcterms:W3CDTF">2013-12-23T23:15:00Z</dcterms:modified>
  <cp:category/>
</cp:coreProperties>
</file>