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color="1F3864" w:val="solid"/>
        <w:spacing w:after="0" w:before="0"/>
        <w:jc w:val="center"/>
      </w:pPr>
      <w:r>
        <w:rPr>
          <w:b/>
          <w:bCs/>
          <w:color w:val="FFFFFF"/>
          <w:sz w:val="36"/>
          <w:szCs w:val="36"/>
        </w:rPr>
        <w:t xml:space="preserve">RFP AGENT — REAL RFP ANALYSIS</w:t>
      </w:r>
    </w:p>
    <w:p>
      <w:pPr>
        <w:shd w:color="1F3864" w:val="solid"/>
        <w:spacing w:after="240" w:before="0"/>
        <w:jc w:val="center"/>
      </w:pPr>
      <w:r>
        <w:rPr>
          <w:color w:val="FFFFFF"/>
          <w:sz w:val="22"/>
          <w:szCs w:val="22"/>
        </w:rPr>
        <w:t xml:space="preserve">What the agent would have done on 3 actual CustomInk RFPs</w:t>
      </w:r>
    </w:p>
    <w:p>
      <w:pPr>
        <w:spacing w:after="100"/>
      </w:pPr>
      <w:r>
        <w:rPr>
          <w:color w:val="000000"/>
          <w:sz w:val="22"/>
          <w:szCs w:val="22"/>
        </w:rPr>
        <w:t xml:space="preserve">Three real RFP/bid files from CustomInk's past were analyzed. This document shows exactly what the RFP Agent would have produced for each — and surfaces a goldmine of AUTOPILOT boilerplate content already in your Crunch Fitness response that should be fed back into config.py.</w:t>
      </w:r>
    </w:p>
    <w:p/>
    <w:p>
      <w:pPr>
        <w:pStyle w:val="Heading1"/>
        <w:spacing w:after="120" w:before="360"/>
      </w:pPr>
      <w:r>
        <w:t xml:space="preserve">RFP 1 — Crunch Fitness (Enterprise Apparel Program)</w:t>
      </w:r>
    </w:p>
    <w:p>
      <w:pPr>
        <w:spacing w:after="100"/>
      </w:pPr>
      <w:r>
        <w:rPr>
          <w:b/>
          <w:bCs/>
          <w:color w:val="000000"/>
          <w:sz w:val="22"/>
          <w:szCs w:val="22"/>
        </w:rPr>
        <w:t xml:space="preserve">Type: Inbound RFP — CustomInk responding as vendor candidate</w:t>
      </w:r>
    </w:p>
    <w:p/>
    <w:p>
      <w:pPr>
        <w:pStyle w:val="Heading2"/>
        <w:spacing w:after="80" w:before="240"/>
      </w:pPr>
      <w:r>
        <w:t xml:space="preserve">What the agent read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color="F2F2F2" w:val="solid"/>
          </w:tcPr>
          <w:p>
            <w:r>
              <w:rPr>
                <w:b/>
                <w:bCs/>
                <w:sz w:val="20"/>
                <w:szCs w:val="20"/>
              </w:rPr>
              <w:t xml:space="preserve">Company</w:t>
            </w:r>
          </w:p>
        </w:tc>
        <w:tc>
          <w:tcPr>
            <w:tcW w:type="dxa" w:w="7000"/>
          </w:tcPr>
          <w:p>
            <w:r>
              <w:rPr>
                <w:sz w:val="20"/>
                <w:szCs w:val="20"/>
              </w:rPr>
              <w:t xml:space="preserve">Crunch Fitness (fitness franchise chain)</w:t>
            </w:r>
          </w:p>
        </w:tc>
      </w:tr>
      <w:tr>
        <w:tc>
          <w:tcPr>
            <w:tcW w:type="dxa" w:w="2500"/>
            <w:shd w:color="F2F2F2" w:val="solid"/>
          </w:tcPr>
          <w:p>
            <w:r>
              <w:rPr>
                <w:b/>
                <w:bCs/>
                <w:sz w:val="20"/>
                <w:szCs w:val="20"/>
              </w:rPr>
              <w:t xml:space="preserve">Industry</w:t>
            </w:r>
          </w:p>
        </w:tc>
        <w:tc>
          <w:tcPr>
            <w:tcW w:type="dxa" w:w="7000"/>
          </w:tcPr>
          <w:p>
            <w:r>
              <w:rPr>
                <w:sz w:val="20"/>
                <w:szCs w:val="20"/>
              </w:rPr>
              <w:t xml:space="preserve">Fitness / Retail — franchise model</w:t>
            </w:r>
          </w:p>
        </w:tc>
      </w:tr>
      <w:tr>
        <w:tc>
          <w:tcPr>
            <w:tcW w:type="dxa" w:w="2500"/>
            <w:shd w:color="F2F2F2" w:val="solid"/>
          </w:tcPr>
          <w:p>
            <w:r>
              <w:rPr>
                <w:b/>
                <w:bCs/>
                <w:sz w:val="20"/>
                <w:szCs w:val="20"/>
              </w:rPr>
              <w:t xml:space="preserve">Size</w:t>
            </w:r>
          </w:p>
        </w:tc>
        <w:tc>
          <w:tcPr>
            <w:tcW w:type="dxa" w:w="7000"/>
          </w:tcPr>
          <w:p>
            <w:r>
              <w:rPr>
                <w:sz w:val="20"/>
                <w:szCs w:val="20"/>
              </w:rPr>
              <w:t xml:space="preserve">Enterprise — franchise + corporate locations</w:t>
            </w:r>
          </w:p>
        </w:tc>
      </w:tr>
      <w:tr>
        <w:tc>
          <w:tcPr>
            <w:tcW w:type="dxa" w:w="2500"/>
            <w:shd w:color="F2F2F2" w:val="solid"/>
          </w:tcPr>
          <w:p>
            <w:r>
              <w:rPr>
                <w:b/>
                <w:bCs/>
                <w:sz w:val="20"/>
                <w:szCs w:val="20"/>
              </w:rPr>
              <w:t xml:space="preserve">Program</w:t>
            </w:r>
          </w:p>
        </w:tc>
        <w:tc>
          <w:tcPr>
            <w:tcW w:type="dxa" w:w="7000"/>
          </w:tcPr>
          <w:p>
            <w:r>
              <w:rPr>
                <w:sz w:val="20"/>
                <w:szCs w:val="20"/>
              </w:rPr>
              <w:t xml:space="preserve">Athletic apparel: 4 collections/year, women's + men's</w:t>
            </w:r>
          </w:p>
        </w:tc>
      </w:tr>
      <w:tr>
        <w:tc>
          <w:tcPr>
            <w:tcW w:type="dxa" w:w="2500"/>
            <w:shd w:color="F2F2F2" w:val="solid"/>
          </w:tcPr>
          <w:p>
            <w:r>
              <w:rPr>
                <w:b/>
                <w:bCs/>
                <w:sz w:val="20"/>
                <w:szCs w:val="20"/>
              </w:rPr>
              <w:t xml:space="preserve">Delivery</w:t>
            </w:r>
          </w:p>
        </w:tc>
        <w:tc>
          <w:tcPr>
            <w:tcW w:type="dxa" w:w="7000"/>
          </w:tcPr>
          <w:p>
            <w:r>
              <w:rPr>
                <w:sz w:val="20"/>
                <w:szCs w:val="20"/>
              </w:rPr>
              <w:t xml:space="preserve">Club / In-Store + FOB pricing requested</w:t>
            </w:r>
          </w:p>
        </w:tc>
      </w:tr>
      <w:tr>
        <w:tc>
          <w:tcPr>
            <w:tcW w:type="dxa" w:w="2500"/>
            <w:shd w:color="F2F2F2" w:val="solid"/>
          </w:tcPr>
          <w:p>
            <w:r>
              <w:rPr>
                <w:b/>
                <w:bCs/>
                <w:sz w:val="20"/>
                <w:szCs w:val="20"/>
              </w:rPr>
              <w:t xml:space="preserve">Pricing model</w:t>
            </w:r>
          </w:p>
        </w:tc>
        <w:tc>
          <w:tcPr>
            <w:tcW w:type="dxa" w:w="7000"/>
          </w:tcPr>
          <w:p>
            <w:r>
              <w:rPr>
                <w:sz w:val="20"/>
                <w:szCs w:val="20"/>
              </w:rPr>
              <w:t xml:space="preserve">FOB, Shipping, and Club Delivered required for each item</w:t>
            </w:r>
          </w:p>
        </w:tc>
      </w:tr>
      <w:tr>
        <w:tc>
          <w:tcPr>
            <w:tcW w:type="dxa" w:w="2500"/>
            <w:shd w:color="F2F2F2" w:val="solid"/>
          </w:tcPr>
          <w:p>
            <w:r>
              <w:rPr>
                <w:b/>
                <w:bCs/>
                <w:sz w:val="20"/>
                <w:szCs w:val="20"/>
              </w:rPr>
              <w:t xml:space="preserve">Launch target</w:t>
            </w:r>
          </w:p>
        </w:tc>
        <w:tc>
          <w:tcPr>
            <w:tcW w:type="dxa" w:w="7000"/>
          </w:tcPr>
          <w:p>
            <w:r>
              <w:rPr>
                <w:sz w:val="20"/>
                <w:szCs w:val="20"/>
              </w:rPr>
              <w:t xml:space="preserve">Q4 2026 / January 2027</w:t>
            </w:r>
          </w:p>
        </w:tc>
      </w:tr>
      <w:tr>
        <w:tc>
          <w:tcPr>
            <w:tcW w:type="dxa" w:w="2500"/>
            <w:shd w:color="F2F2F2" w:val="solid"/>
          </w:tcPr>
          <w:p>
            <w:r>
              <w:rPr>
                <w:b/>
                <w:bCs/>
                <w:sz w:val="20"/>
                <w:szCs w:val="20"/>
              </w:rPr>
              <w:t xml:space="preserve">Payment terms</w:t>
            </w:r>
          </w:p>
        </w:tc>
        <w:tc>
          <w:tcPr>
            <w:tcW w:type="dxa" w:w="7000"/>
          </w:tcPr>
          <w:p>
            <w:r>
              <w:rPr>
                <w:sz w:val="20"/>
                <w:szCs w:val="20"/>
              </w:rPr>
              <w:t xml:space="preserve">Net 90 — non-negotiable</w:t>
            </w:r>
          </w:p>
        </w:tc>
      </w:tr>
      <w:tr>
        <w:tc>
          <w:tcPr>
            <w:tcW w:type="dxa" w:w="2500"/>
            <w:shd w:color="F2F2F2" w:val="solid"/>
          </w:tcPr>
          <w:p>
            <w:r>
              <w:rPr>
                <w:b/>
                <w:bCs/>
                <w:sz w:val="20"/>
                <w:szCs w:val="20"/>
              </w:rPr>
              <w:t xml:space="preserve">Contract</w:t>
            </w:r>
          </w:p>
        </w:tc>
        <w:tc>
          <w:tcPr>
            <w:tcW w:type="dxa" w:w="7000"/>
          </w:tcPr>
          <w:p>
            <w:r>
              <w:rPr>
                <w:sz w:val="20"/>
                <w:szCs w:val="20"/>
              </w:rPr>
              <w:t xml:space="preserve">3 years, price fixed minimum 2 years</w:t>
            </w:r>
          </w:p>
        </w:tc>
      </w:tr>
      <w:tr>
        <w:tc>
          <w:tcPr>
            <w:tcW w:type="dxa" w:w="2500"/>
            <w:shd w:color="F2F2F2" w:val="solid"/>
          </w:tcPr>
          <w:p>
            <w:r>
              <w:rPr>
                <w:b/>
                <w:bCs/>
                <w:sz w:val="20"/>
                <w:szCs w:val="20"/>
              </w:rPr>
              <w:t xml:space="preserve">Exclusivity</w:t>
            </w:r>
          </w:p>
        </w:tc>
        <w:tc>
          <w:tcPr>
            <w:tcW w:type="dxa" w:w="7000"/>
          </w:tcPr>
          <w:p>
            <w:r>
              <w:rPr>
                <w:sz w:val="20"/>
                <w:szCs w:val="20"/>
              </w:rPr>
              <w:t xml:space="preserve">Goal: single vendor; no explicit exclusivity clause</w:t>
            </w:r>
          </w:p>
        </w:tc>
      </w:tr>
      <w:tr>
        <w:tc>
          <w:tcPr>
            <w:tcW w:type="dxa" w:w="2500"/>
            <w:shd w:color="F2F2F2" w:val="solid"/>
          </w:tcPr>
          <w:p>
            <w:r>
              <w:rPr>
                <w:b/>
                <w:bCs/>
                <w:sz w:val="20"/>
                <w:szCs w:val="20"/>
              </w:rPr>
              <w:t xml:space="preserve">Sections</w:t>
            </w:r>
          </w:p>
        </w:tc>
        <w:tc>
          <w:tcPr>
            <w:tcW w:type="dxa" w:w="7000"/>
          </w:tcPr>
          <w:p>
            <w:r>
              <w:rPr>
                <w:sz w:val="20"/>
                <w:szCs w:val="20"/>
              </w:rPr>
              <w:t xml:space="preserve">125 questions across 10 categories + pricing worksheet + sponsorship/rebate ask</w:t>
            </w:r>
          </w:p>
        </w:tc>
      </w:tr>
    </w:tbl>
    <w:p/>
    <w:p>
      <w:pPr>
        <w:pStyle w:val="Heading2"/>
        <w:spacing w:after="80" w:before="240"/>
      </w:pPr>
      <w:r>
        <w:t xml:space="preserve">Agent Go/No-Go Assessment</w:t>
      </w:r>
    </w:p>
    <w:p>
      <w:pPr>
        <w:shd w:color="FFF2CC" w:val="solid"/>
        <w:spacing w:after="120" w:before="120"/>
        <w:jc w:val="left"/>
      </w:pPr>
      <w:r>
        <w:rPr>
          <w:b/>
          <w:bCs/>
          <w:color w:val="7F6000"/>
          <w:sz w:val="28"/>
          <w:szCs w:val="28"/>
        </w:rPr>
        <w:t xml:space="preserve">  GO/NO-GO: YELLOW  </w:t>
      </w:r>
    </w:p>
    <w:p>
      <w:pPr>
        <w:spacing w:after="100"/>
      </w:pPr>
      <w:r>
        <w:rPr>
          <w:b/>
          <w:bCs/>
          <w:color w:val="000000"/>
          <w:sz w:val="22"/>
          <w:szCs w:val="22"/>
        </w:rPr>
        <w:t xml:space="preserve">DEAL SNAPSHOT</w:t>
      </w:r>
    </w:p>
    <w:p>
      <w:pPr>
        <w:pStyle w:val="ListParagraph"/>
        <w:numPr>
          <w:ilvl w:val="0"/>
          <w:numId w:val="1"/>
        </w:numPr>
        <w:spacing w:after="80"/>
      </w:pPr>
      <w:r>
        <w:rPr>
          <w:sz w:val="22"/>
          <w:szCs w:val="22"/>
        </w:rPr>
        <w:t xml:space="preserve">Fitness franchise with franchise + corporate locations</w:t>
      </w:r>
    </w:p>
    <w:p>
      <w:pPr>
        <w:pStyle w:val="ListParagraph"/>
        <w:numPr>
          <w:ilvl w:val="0"/>
          <w:numId w:val="1"/>
        </w:numPr>
        <w:spacing w:after="80"/>
      </w:pPr>
      <w:r>
        <w:rPr>
          <w:sz w:val="22"/>
          <w:szCs w:val="22"/>
        </w:rPr>
        <w:t xml:space="preserve">Annual volume unknown from RFP — pricing exercise quantities imply 15,000–40,000 pieces for first collection across all items; 4 collections/year</w:t>
      </w:r>
    </w:p>
    <w:p>
      <w:pPr>
        <w:pStyle w:val="ListParagraph"/>
        <w:numPr>
          <w:ilvl w:val="0"/>
          <w:numId w:val="1"/>
        </w:numPr>
        <w:spacing w:after="80"/>
      </w:pPr>
      <w:r>
        <w:rPr>
          <w:sz w:val="22"/>
          <w:szCs w:val="22"/>
        </w:rPr>
        <w:t xml:space="preserve">Net 90 payment terms and a 2.5% allowance demand are aggressive</w:t>
      </w:r>
    </w:p>
    <w:p/>
    <w:p>
      <w:pPr>
        <w:spacing w:after="100"/>
      </w:pPr>
      <w:r>
        <w:rPr>
          <w:b/>
          <w:bCs/>
          <w:color w:val="000000"/>
          <w:sz w:val="22"/>
          <w:szCs w:val="22"/>
        </w:rPr>
        <w:t xml:space="preserve">COMPETITIVE POSITION</w:t>
      </w:r>
    </w:p>
    <w:p>
      <w:pPr>
        <w:spacing w:after="100"/>
      </w:pPr>
      <w:r>
        <w:rPr>
          <w:color w:val="000000"/>
          <w:sz w:val="22"/>
          <w:szCs w:val="22"/>
        </w:rPr>
        <w:t xml:space="preserve">Fitness-sector apparel is competitive. Our performance-oriented catalog aligns well (tech tees, cropped tanks, moisture-wicking materials). The franchisor/franchisee split is a known complexity — the agent correctly flags no prior franchise model experience (answered 'No' in 5.8.13). Competitors with deeper franchise infrastructure (alphabroder, SanMar distributors) may have an edge here.</w:t>
      </w:r>
    </w:p>
    <w:p/>
    <w:p>
      <w:pPr>
        <w:spacing w:after="100"/>
      </w:pPr>
      <w:r>
        <w:rPr>
          <w:b/>
          <w:bCs/>
          <w:color w:val="000000"/>
          <w:sz w:val="22"/>
          <w:szCs w:val="22"/>
        </w:rPr>
        <w:t xml:space="preserve">STRATEGIC FIT</w:t>
      </w:r>
    </w:p>
    <w:p>
      <w:pPr>
        <w:spacing w:after="100"/>
      </w:pPr>
      <w:r>
        <w:rPr>
          <w:color w:val="000000"/>
          <w:sz w:val="22"/>
          <w:szCs w:val="22"/>
        </w:rPr>
        <w:t xml:space="preserve">CustomInk answered 125 questions — this is clearly a deal the team pursued. The agent would have flagged three items for resolution before committing: (1) Net 90 vs. our standard terms — accepted with caveat requiring creditworthiness verification; (2) the sponsorship/rebate clause (Section 4.6–4.8) — not standard; (3) no existing franchise model capability.</w:t>
      </w:r>
    </w:p>
    <w:p/>
    <w:p>
      <w:pPr>
        <w:spacing w:after="100"/>
      </w:pPr>
      <w:r>
        <w:rPr>
          <w:b/>
          <w:bCs/>
          <w:color w:val="000000"/>
          <w:sz w:val="22"/>
          <w:szCs w:val="22"/>
        </w:rPr>
        <w:t xml:space="preserve">LEGAL FLAGS (agent would surface these)</w:t>
      </w:r>
    </w:p>
    <w:p>
      <w:pPr>
        <w:pStyle w:val="ListParagraph"/>
        <w:numPr>
          <w:ilvl w:val="0"/>
          <w:numId w:val="1"/>
        </w:numPr>
        <w:spacing w:after="80"/>
      </w:pPr>
      <w:r>
        <w:rPr>
          <w:sz w:val="22"/>
          <w:szCs w:val="22"/>
        </w:rPr>
        <w:t xml:space="preserve">Net 90 accepted — but agent would flag for Ryan approval and Finance sign-off</w:t>
      </w:r>
    </w:p>
    <w:p>
      <w:pPr>
        <w:pStyle w:val="ListParagraph"/>
        <w:numPr>
          <w:ilvl w:val="0"/>
          <w:numId w:val="1"/>
        </w:numPr>
        <w:spacing w:after="80"/>
      </w:pPr>
      <w:r>
        <w:rPr>
          <w:sz w:val="22"/>
          <w:szCs w:val="22"/>
        </w:rPr>
        <w:t xml:space="preserve">Sponsorship commitment to Crunch Convention — unusual commercial term; agent flags for Legal review</w:t>
      </w:r>
    </w:p>
    <w:p>
      <w:pPr>
        <w:pStyle w:val="ListParagraph"/>
        <w:numPr>
          <w:ilvl w:val="0"/>
          <w:numId w:val="1"/>
        </w:numPr>
        <w:spacing w:after="80"/>
      </w:pPr>
      <w:r>
        <w:rPr>
          <w:sz w:val="22"/>
          <w:szCs w:val="22"/>
        </w:rPr>
        <w:t xml:space="preserve">2.5% allowance (damage + fixture) — CustomInk declined; agent would confirm correct rejection and draft counter-language</w:t>
      </w:r>
    </w:p>
    <w:p>
      <w:pPr>
        <w:pStyle w:val="ListParagraph"/>
        <w:numPr>
          <w:ilvl w:val="0"/>
          <w:numId w:val="1"/>
        </w:numPr>
        <w:spacing w:after="80"/>
      </w:pPr>
      <w:r>
        <w:rPr>
          <w:sz w:val="22"/>
          <w:szCs w:val="22"/>
        </w:rPr>
        <w:t xml:space="preserve">Penalty/late-shipment policy — CustomInk declined via Satisfaction Guarantee language; agent flags as decision point</w:t>
      </w:r>
    </w:p>
    <w:p>
      <w:pPr>
        <w:pStyle w:val="ListParagraph"/>
        <w:numPr>
          <w:ilvl w:val="0"/>
          <w:numId w:val="1"/>
        </w:numPr>
        <w:spacing w:after="80"/>
      </w:pPr>
      <w:r>
        <w:rPr>
          <w:sz w:val="22"/>
          <w:szCs w:val="22"/>
        </w:rPr>
        <w:t xml:space="preserve">FOB + Freight + Club Delivered pricing required — agent flags for Cody (three separate price structures to build)</w:t>
      </w:r>
    </w:p>
    <w:p/>
    <w:p>
      <w:pPr>
        <w:spacing w:after="100"/>
      </w:pPr>
      <w:r>
        <w:rPr>
          <w:b/>
          <w:bCs/>
          <w:color w:val="000000"/>
          <w:sz w:val="22"/>
          <w:szCs w:val="22"/>
        </w:rPr>
        <w:t xml:space="preserve">AGENT TIME SAVINGS ON THIS RFP</w:t>
      </w:r>
    </w:p>
    <w:p>
      <w:pPr>
        <w:spacing w:after="100"/>
      </w:pPr>
      <w:r>
        <w:rPr>
          <w:color w:val="000000"/>
          <w:sz w:val="22"/>
          <w:szCs w:val="22"/>
        </w:rPr>
        <w:t xml:space="preserve">The Crunch Fitness response has 125 fully answered questions. The agent would have auto-drafted all standard company info, contact details, financial disclosures, fulfillment/delivery terms, sustainability statement, design capabilities, and portal capabilities in seconds — from AUTOPILOT content. Estimated time saved: 3–4 hours of question-by-question answering.</w:t>
      </w:r>
    </w:p>
    <w:p/>
    <w:p>
      <w:pPr>
        <w:pStyle w:val="Heading2"/>
        <w:spacing w:after="80" w:before="240"/>
      </w:pPr>
      <w:r>
        <w:t xml:space="preserve">Sections the Agent Would Categorize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2E75B6" w:val="solid"/>
          </w:tcPr>
          <w:p>
            <w:r>
              <w:rPr>
                <w:b/>
                <w:bCs/>
                <w:color w:val="FFFFFF"/>
                <w:sz w:val="20"/>
                <w:szCs w:val="20"/>
              </w:rPr>
              <w:t xml:space="preserve">Section</w:t>
            </w:r>
          </w:p>
        </w:tc>
        <w:tc>
          <w:tcPr>
            <w:shd w:color="2E75B6" w:val="solid"/>
          </w:tcPr>
          <w:p>
            <w:r>
              <w:rPr>
                <w:b/>
                <w:bCs/>
                <w:color w:val="FFFFFF"/>
                <w:sz w:val="20"/>
                <w:szCs w:val="20"/>
              </w:rPr>
              <w:t xml:space="preserve">Category</w:t>
            </w:r>
          </w:p>
        </w:tc>
        <w:tc>
          <w:tcPr>
            <w:shd w:color="2E75B6" w:val="solid"/>
          </w:tcPr>
          <w:p>
            <w:r>
              <w:rPr>
                <w:b/>
                <w:bCs/>
                <w:color w:val="FFFFFF"/>
                <w:sz w:val="20"/>
                <w:szCs w:val="20"/>
              </w:rPr>
              <w:t xml:space="preserve">Owner</w:t>
            </w:r>
          </w:p>
        </w:tc>
      </w:tr>
      <w:tr>
        <w:tc>
          <w:p>
            <w:r>
              <w:rPr>
                <w:sz w:val="20"/>
                <w:szCs w:val="20"/>
              </w:rPr>
              <w:t xml:space="preserve">5.1 Vendor Company Info / Production Countries</w:t>
            </w:r>
          </w:p>
        </w:tc>
        <w:tc>
          <w:tcPr>
            <w:shd w:color="E2EFDA" w:val="solid"/>
          </w:tcPr>
          <w:p>
            <w:r>
              <w:rPr>
                <w:b/>
                <w:bCs/>
                <w:sz w:val="20"/>
                <w:szCs w:val="20"/>
              </w:rPr>
              <w:t xml:space="preserve">AUTOPILOT</w:t>
            </w:r>
          </w:p>
        </w:tc>
        <w:tc>
          <w:p>
            <w:r>
              <w:rPr>
                <w:sz w:val="20"/>
                <w:szCs w:val="20"/>
              </w:rPr>
              <w:t xml:space="preserve">Ryan Parrish</w:t>
            </w:r>
          </w:p>
        </w:tc>
      </w:tr>
      <w:tr>
        <w:tc>
          <w:p>
            <w:r>
              <w:rPr>
                <w:sz w:val="20"/>
                <w:szCs w:val="20"/>
              </w:rPr>
              <w:t xml:space="preserve">5.2 Company Contact Information</w:t>
            </w:r>
          </w:p>
        </w:tc>
        <w:tc>
          <w:tcPr>
            <w:shd w:color="E2EFDA" w:val="solid"/>
          </w:tcPr>
          <w:p>
            <w:r>
              <w:rPr>
                <w:b/>
                <w:bCs/>
                <w:sz w:val="20"/>
                <w:szCs w:val="20"/>
              </w:rPr>
              <w:t xml:space="preserve">AUTOPILOT</w:t>
            </w:r>
          </w:p>
        </w:tc>
        <w:tc>
          <w:p>
            <w:r>
              <w:rPr>
                <w:sz w:val="20"/>
                <w:szCs w:val="20"/>
              </w:rPr>
              <w:t xml:space="preserve">Ryan Parrish</w:t>
            </w:r>
          </w:p>
        </w:tc>
      </w:tr>
      <w:tr>
        <w:tc>
          <w:p>
            <w:r>
              <w:rPr>
                <w:sz w:val="20"/>
                <w:szCs w:val="20"/>
              </w:rPr>
              <w:t xml:space="preserve">5.3 Commercial Terms (Net 90, FOB, refunds)</w:t>
            </w:r>
          </w:p>
        </w:tc>
        <w:tc>
          <w:tcPr>
            <w:shd w:color="FCE4D6" w:val="solid"/>
          </w:tcPr>
          <w:p>
            <w:r>
              <w:rPr>
                <w:b/>
                <w:bCs/>
                <w:sz w:val="20"/>
                <w:szCs w:val="20"/>
              </w:rPr>
              <w:t xml:space="preserve">NEEDS_INPUT + LEGAL_FLAG</w:t>
            </w:r>
          </w:p>
        </w:tc>
        <w:tc>
          <w:p>
            <w:r>
              <w:rPr>
                <w:sz w:val="20"/>
                <w:szCs w:val="20"/>
              </w:rPr>
              <w:t xml:space="preserve">Ryan Parrish + Legal</w:t>
            </w:r>
          </w:p>
        </w:tc>
      </w:tr>
      <w:tr>
        <w:tc>
          <w:p>
            <w:r>
              <w:rPr>
                <w:sz w:val="20"/>
                <w:szCs w:val="20"/>
              </w:rPr>
              <w:t xml:space="preserve">5.4 Company Information + References</w:t>
            </w:r>
          </w:p>
        </w:tc>
        <w:tc>
          <w:tcPr>
            <w:shd w:color="E2EFDA" w:val="solid"/>
          </w:tcPr>
          <w:p>
            <w:r>
              <w:rPr>
                <w:b/>
                <w:bCs/>
                <w:sz w:val="20"/>
                <w:szCs w:val="20"/>
              </w:rPr>
              <w:t xml:space="preserve">AUTOPILOT (most) + NEEDS_INPUT (references)</w:t>
            </w:r>
          </w:p>
        </w:tc>
        <w:tc>
          <w:p>
            <w:r>
              <w:rPr>
                <w:sz w:val="20"/>
                <w:szCs w:val="20"/>
              </w:rPr>
              <w:t xml:space="preserve">Ryan Parrish</w:t>
            </w:r>
          </w:p>
        </w:tc>
      </w:tr>
      <w:tr>
        <w:tc>
          <w:p>
            <w:r>
              <w:rPr>
                <w:sz w:val="20"/>
                <w:szCs w:val="20"/>
              </w:rPr>
              <w:t xml:space="preserve">5.5 Volume &amp; Product Requirements</w:t>
            </w:r>
          </w:p>
        </w:tc>
        <w:tc>
          <w:tcPr>
            <w:shd w:color="FFF2CC" w:val="solid"/>
          </w:tcPr>
          <w:p>
            <w:r>
              <w:rPr>
                <w:b/>
                <w:bCs/>
                <w:sz w:val="20"/>
                <w:szCs w:val="20"/>
              </w:rPr>
              <w:t xml:space="preserve">NEEDS_INPUT</w:t>
            </w:r>
          </w:p>
        </w:tc>
        <w:tc>
          <w:p>
            <w:r>
              <w:rPr>
                <w:sz w:val="20"/>
                <w:szCs w:val="20"/>
              </w:rPr>
              <w:t xml:space="preserve">Ryan Parrish + Kate Morton</w:t>
            </w:r>
          </w:p>
        </w:tc>
      </w:tr>
      <w:tr>
        <w:tc>
          <w:p>
            <w:r>
              <w:rPr>
                <w:sz w:val="20"/>
                <w:szCs w:val="20"/>
              </w:rPr>
              <w:t xml:space="preserve">5.6 Ordering &amp; Reporting Capabilities</w:t>
            </w:r>
          </w:p>
        </w:tc>
        <w:tc>
          <w:tcPr>
            <w:shd w:color="E2EFDA" w:val="solid"/>
          </w:tcPr>
          <w:p>
            <w:r>
              <w:rPr>
                <w:b/>
                <w:bCs/>
                <w:sz w:val="20"/>
                <w:szCs w:val="20"/>
              </w:rPr>
              <w:t xml:space="preserve">AUTOPILOT</w:t>
            </w:r>
          </w:p>
        </w:tc>
        <w:tc>
          <w:p>
            <w:r>
              <w:rPr>
                <w:sz w:val="20"/>
                <w:szCs w:val="20"/>
              </w:rPr>
              <w:t xml:space="preserve">Ryan Parrish</w:t>
            </w:r>
          </w:p>
        </w:tc>
      </w:tr>
      <w:tr>
        <w:tc>
          <w:p>
            <w:r>
              <w:rPr>
                <w:sz w:val="20"/>
                <w:szCs w:val="20"/>
              </w:rPr>
              <w:t xml:space="preserve">5.7 Timing &amp; Delivery</w:t>
            </w:r>
          </w:p>
        </w:tc>
        <w:tc>
          <w:tcPr>
            <w:shd w:color="E2EFDA" w:val="solid"/>
          </w:tcPr>
          <w:p>
            <w:r>
              <w:rPr>
                <w:b/>
                <w:bCs/>
                <w:sz w:val="20"/>
                <w:szCs w:val="20"/>
              </w:rPr>
              <w:t xml:space="preserve">AUTOPILOT</w:t>
            </w:r>
          </w:p>
        </w:tc>
        <w:tc>
          <w:p>
            <w:r>
              <w:rPr>
                <w:sz w:val="20"/>
                <w:szCs w:val="20"/>
              </w:rPr>
              <w:t xml:space="preserve">Ryan Parrish</w:t>
            </w:r>
          </w:p>
        </w:tc>
      </w:tr>
      <w:tr>
        <w:tc>
          <w:p>
            <w:r>
              <w:rPr>
                <w:sz w:val="20"/>
                <w:szCs w:val="20"/>
              </w:rPr>
              <w:t xml:space="preserve">5.8 Franchise Model Questions</w:t>
            </w:r>
          </w:p>
        </w:tc>
        <w:tc>
          <w:tcPr>
            <w:shd w:color="FFF2CC" w:val="solid"/>
          </w:tcPr>
          <w:p>
            <w:r>
              <w:rPr>
                <w:b/>
                <w:bCs/>
                <w:sz w:val="20"/>
                <w:szCs w:val="20"/>
              </w:rPr>
              <w:t xml:space="preserve">NEEDS_INPUT (no franchise experience)</w:t>
            </w:r>
          </w:p>
        </w:tc>
        <w:tc>
          <w:p>
            <w:r>
              <w:rPr>
                <w:sz w:val="20"/>
                <w:szCs w:val="20"/>
              </w:rPr>
              <w:t xml:space="preserve">Ryan Parrish</w:t>
            </w:r>
          </w:p>
        </w:tc>
      </w:tr>
      <w:tr>
        <w:tc>
          <w:p>
            <w:r>
              <w:rPr>
                <w:sz w:val="20"/>
                <w:szCs w:val="20"/>
              </w:rPr>
              <w:t xml:space="preserve">5.9 Import Terms / Allowances / Penalties</w:t>
            </w:r>
          </w:p>
        </w:tc>
        <w:tc>
          <w:tcPr>
            <w:shd w:color="FCE4D6" w:val="solid"/>
          </w:tcPr>
          <w:p>
            <w:r>
              <w:rPr>
                <w:b/>
                <w:bCs/>
                <w:sz w:val="20"/>
                <w:szCs w:val="20"/>
              </w:rPr>
              <w:t xml:space="preserve">LEGAL_FLAG</w:t>
            </w:r>
          </w:p>
        </w:tc>
        <w:tc>
          <w:p>
            <w:r>
              <w:rPr>
                <w:sz w:val="20"/>
                <w:szCs w:val="20"/>
              </w:rPr>
              <w:t xml:space="preserve">Legal Team</w:t>
            </w:r>
          </w:p>
        </w:tc>
      </w:tr>
      <w:tr>
        <w:tc>
          <w:p>
            <w:r>
              <w:rPr>
                <w:sz w:val="20"/>
                <w:szCs w:val="20"/>
              </w:rPr>
              <w:t xml:space="preserve">Pricing Worksheet</w:t>
            </w:r>
          </w:p>
        </w:tc>
        <w:tc>
          <w:tcPr>
            <w:shd w:color="FFF2CC" w:val="solid"/>
          </w:tcPr>
          <w:p>
            <w:r>
              <w:rPr>
                <w:b/>
                <w:bCs/>
                <w:sz w:val="20"/>
                <w:szCs w:val="20"/>
              </w:rPr>
              <w:t xml:space="preserve">NEEDS_INPUT</w:t>
            </w:r>
          </w:p>
        </w:tc>
        <w:tc>
          <w:p>
            <w:r>
              <w:rPr>
                <w:sz w:val="20"/>
                <w:szCs w:val="20"/>
              </w:rPr>
              <w:t xml:space="preserve">Cody Perry</w:t>
            </w:r>
          </w:p>
        </w:tc>
      </w:tr>
      <w:tr>
        <w:tc>
          <w:p>
            <w:r>
              <w:rPr>
                <w:sz w:val="20"/>
                <w:szCs w:val="20"/>
              </w:rPr>
              <w:t xml:space="preserve">Sponsorship &amp; Rebate (Section 4.6-4.8)</w:t>
            </w:r>
          </w:p>
        </w:tc>
        <w:tc>
          <w:tcPr>
            <w:shd w:color="FCE4D6" w:val="solid"/>
          </w:tcPr>
          <w:p>
            <w:r>
              <w:rPr>
                <w:b/>
                <w:bCs/>
                <w:sz w:val="20"/>
                <w:szCs w:val="20"/>
              </w:rPr>
              <w:t xml:space="preserve">LEGAL_FLAG</w:t>
            </w:r>
          </w:p>
        </w:tc>
        <w:tc>
          <w:p>
            <w:r>
              <w:rPr>
                <w:sz w:val="20"/>
                <w:szCs w:val="20"/>
              </w:rPr>
              <w:t xml:space="preserve">Legal Team</w:t>
            </w:r>
          </w:p>
        </w:tc>
      </w:tr>
    </w:tbl>
    <w:p/>
    <w:p>
      <w:pPr>
        <w:pStyle w:val="Heading1"/>
        <w:spacing w:after="120" w:before="360"/>
      </w:pPr>
      <w:r>
        <w:t xml:space="preserve">RFP 2 — Klaviyo (Enterprise Swag / Branded Merch RFI)</w:t>
      </w:r>
    </w:p>
    <w:p>
      <w:pPr>
        <w:spacing w:after="100"/>
      </w:pPr>
      <w:r>
        <w:rPr>
          <w:b/>
          <w:bCs/>
          <w:color w:val="000000"/>
          <w:sz w:val="22"/>
          <w:szCs w:val="22"/>
        </w:rPr>
        <w:t xml:space="preserve">Type: Inbound RFI — CustomInk responding as vendor candidate</w:t>
      </w:r>
    </w:p>
    <w:p/>
    <w:p>
      <w:pPr>
        <w:pStyle w:val="Heading2"/>
        <w:spacing w:after="80" w:before="240"/>
      </w:pPr>
      <w:r>
        <w:t xml:space="preserve">What the agent read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color="F2F2F2" w:val="solid"/>
          </w:tcPr>
          <w:p>
            <w:r>
              <w:rPr>
                <w:b/>
                <w:bCs/>
                <w:sz w:val="20"/>
                <w:szCs w:val="20"/>
              </w:rPr>
              <w:t xml:space="preserve">Company</w:t>
            </w:r>
          </w:p>
        </w:tc>
        <w:tc>
          <w:tcPr>
            <w:tcW w:type="dxa" w:w="7000"/>
          </w:tcPr>
          <w:p>
            <w:r>
              <w:rPr>
                <w:sz w:val="20"/>
                <w:szCs w:val="20"/>
              </w:rPr>
              <w:t xml:space="preserve">Klaviyo (email/SMS marketing platform — publicly traded, ~$750M ARR)</w:t>
            </w:r>
          </w:p>
        </w:tc>
      </w:tr>
      <w:tr>
        <w:tc>
          <w:tcPr>
            <w:tcW w:type="dxa" w:w="2500"/>
            <w:shd w:color="F2F2F2" w:val="solid"/>
          </w:tcPr>
          <w:p>
            <w:r>
              <w:rPr>
                <w:b/>
                <w:bCs/>
                <w:sz w:val="20"/>
                <w:szCs w:val="20"/>
              </w:rPr>
              <w:t xml:space="preserve">Industry</w:t>
            </w:r>
          </w:p>
        </w:tc>
        <w:tc>
          <w:tcPr>
            <w:tcW w:type="dxa" w:w="7000"/>
          </w:tcPr>
          <w:p>
            <w:r>
              <w:rPr>
                <w:sz w:val="20"/>
                <w:szCs w:val="20"/>
              </w:rPr>
              <w:t xml:space="preserve">SaaS / Technology</w:t>
            </w:r>
          </w:p>
        </w:tc>
      </w:tr>
      <w:tr>
        <w:tc>
          <w:tcPr>
            <w:tcW w:type="dxa" w:w="2500"/>
            <w:shd w:color="F2F2F2" w:val="solid"/>
          </w:tcPr>
          <w:p>
            <w:r>
              <w:rPr>
                <w:b/>
                <w:bCs/>
                <w:sz w:val="20"/>
                <w:szCs w:val="20"/>
              </w:rPr>
              <w:t xml:space="preserve">Size</w:t>
            </w:r>
          </w:p>
        </w:tc>
        <w:tc>
          <w:tcPr>
            <w:tcW w:type="dxa" w:w="7000"/>
          </w:tcPr>
          <w:p>
            <w:r>
              <w:rPr>
                <w:sz w:val="20"/>
                <w:szCs w:val="20"/>
              </w:rPr>
              <w:t xml:space="preserve">Enterprise — ~2,000 employees globally</w:t>
            </w:r>
          </w:p>
        </w:tc>
      </w:tr>
      <w:tr>
        <w:tc>
          <w:tcPr>
            <w:tcW w:type="dxa" w:w="2500"/>
            <w:shd w:color="F2F2F2" w:val="solid"/>
          </w:tcPr>
          <w:p>
            <w:r>
              <w:rPr>
                <w:b/>
                <w:bCs/>
                <w:sz w:val="20"/>
                <w:szCs w:val="20"/>
              </w:rPr>
              <w:t xml:space="preserve">Program</w:t>
            </w:r>
          </w:p>
        </w:tc>
        <w:tc>
          <w:tcPr>
            <w:tcW w:type="dxa" w:w="7000"/>
          </w:tcPr>
          <w:p>
            <w:r>
              <w:rPr>
                <w:sz w:val="20"/>
                <w:szCs w:val="20"/>
              </w:rPr>
              <w:t xml:space="preserve">Employee swag &amp; branded merch: onboarding, events, gifts, ongoing store</w:t>
            </w:r>
          </w:p>
        </w:tc>
      </w:tr>
      <w:tr>
        <w:tc>
          <w:tcPr>
            <w:tcW w:type="dxa" w:w="2500"/>
            <w:shd w:color="F2F2F2" w:val="solid"/>
          </w:tcPr>
          <w:p>
            <w:r>
              <w:rPr>
                <w:b/>
                <w:bCs/>
                <w:sz w:val="20"/>
                <w:szCs w:val="20"/>
              </w:rPr>
              <w:t xml:space="preserve">Scope</w:t>
            </w:r>
          </w:p>
        </w:tc>
        <w:tc>
          <w:tcPr>
            <w:tcW w:type="dxa" w:w="7000"/>
          </w:tcPr>
          <w:p>
            <w:r>
              <w:rPr>
                <w:sz w:val="20"/>
                <w:szCs w:val="20"/>
              </w:rPr>
              <w:t xml:space="preserve">13 capability requirements + product cost comparison (55 items)</w:t>
            </w:r>
          </w:p>
        </w:tc>
      </w:tr>
      <w:tr>
        <w:tc>
          <w:tcPr>
            <w:tcW w:type="dxa" w:w="2500"/>
            <w:shd w:color="F2F2F2" w:val="solid"/>
          </w:tcPr>
          <w:p>
            <w:r>
              <w:rPr>
                <w:b/>
                <w:bCs/>
                <w:sz w:val="20"/>
                <w:szCs w:val="20"/>
              </w:rPr>
              <w:t xml:space="preserve">Volume</w:t>
            </w:r>
          </w:p>
        </w:tc>
        <w:tc>
          <w:tcPr>
            <w:tcW w:type="dxa" w:w="7000"/>
          </w:tcPr>
          <w:p>
            <w:r>
              <w:rPr>
                <w:sz w:val="20"/>
                <w:szCs w:val="20"/>
              </w:rPr>
              <w:t xml:space="preserve">Not stated — typical tech swag program: $300K–$800K/yr estimated</w:t>
            </w:r>
          </w:p>
        </w:tc>
      </w:tr>
      <w:tr>
        <w:tc>
          <w:tcPr>
            <w:tcW w:type="dxa" w:w="2500"/>
            <w:shd w:color="F2F2F2" w:val="solid"/>
          </w:tcPr>
          <w:p>
            <w:r>
              <w:rPr>
                <w:b/>
                <w:bCs/>
                <w:sz w:val="20"/>
                <w:szCs w:val="20"/>
              </w:rPr>
              <w:t xml:space="preserve">Payment</w:t>
            </w:r>
          </w:p>
        </w:tc>
        <w:tc>
          <w:tcPr>
            <w:tcW w:type="dxa" w:w="7000"/>
          </w:tcPr>
          <w:p>
            <w:r>
              <w:rPr>
                <w:sz w:val="20"/>
                <w:szCs w:val="20"/>
              </w:rPr>
              <w:t xml:space="preserve">Not specified</w:t>
            </w:r>
          </w:p>
        </w:tc>
      </w:tr>
      <w:tr>
        <w:tc>
          <w:tcPr>
            <w:tcW w:type="dxa" w:w="2500"/>
            <w:shd w:color="F2F2F2" w:val="solid"/>
          </w:tcPr>
          <w:p>
            <w:r>
              <w:rPr>
                <w:b/>
                <w:bCs/>
                <w:sz w:val="20"/>
                <w:szCs w:val="20"/>
              </w:rPr>
              <w:t xml:space="preserve">Product ask</w:t>
            </w:r>
          </w:p>
        </w:tc>
        <w:tc>
          <w:tcPr>
            <w:tcW w:type="dxa" w:w="7000"/>
          </w:tcPr>
          <w:p>
            <w:r>
              <w:rPr>
                <w:sz w:val="20"/>
                <w:szCs w:val="20"/>
              </w:rPr>
              <w:t xml:space="preserve">Comfort Colors, Yeti, Stanley, Hydro Flask, Nike, North Face, Cotopaxi, Dagne Dover, Rhone, Reebok, adidas, Columbia, Under Armour, Titleist, PopSockets</w:t>
            </w:r>
          </w:p>
        </w:tc>
      </w:tr>
      <w:tr>
        <w:tc>
          <w:tcPr>
            <w:tcW w:type="dxa" w:w="2500"/>
            <w:shd w:color="F2F2F2" w:val="solid"/>
          </w:tcPr>
          <w:p>
            <w:r>
              <w:rPr>
                <w:b/>
                <w:bCs/>
                <w:sz w:val="20"/>
                <w:szCs w:val="20"/>
              </w:rPr>
              <w:t xml:space="preserve">Key requirements</w:t>
            </w:r>
          </w:p>
        </w:tc>
        <w:tc>
          <w:tcPr>
            <w:tcW w:type="dxa" w:w="7000"/>
          </w:tcPr>
          <w:p>
            <w:r>
              <w:rPr>
                <w:sz w:val="20"/>
                <w:szCs w:val="20"/>
              </w:rPr>
              <w:t xml:space="preserve">Workday punchout integration, SOC 2 Type II, global shipping, in-house kitting/storage</w:t>
            </w:r>
          </w:p>
        </w:tc>
      </w:tr>
    </w:tbl>
    <w:p/>
    <w:p>
      <w:pPr>
        <w:pStyle w:val="Heading2"/>
        <w:spacing w:after="80" w:before="240"/>
      </w:pPr>
      <w:r>
        <w:t xml:space="preserve">Agent Go/No-Go Assessment</w:t>
      </w:r>
    </w:p>
    <w:p>
      <w:pPr>
        <w:shd w:color="E2EFDA" w:val="solid"/>
        <w:spacing w:after="120" w:before="120"/>
        <w:jc w:val="left"/>
      </w:pPr>
      <w:r>
        <w:rPr>
          <w:b/>
          <w:bCs/>
          <w:color w:val="375623"/>
          <w:sz w:val="28"/>
          <w:szCs w:val="28"/>
        </w:rPr>
        <w:t xml:space="preserve">  GO/NO-GO: GREEN  </w:t>
      </w:r>
    </w:p>
    <w:p>
      <w:pPr>
        <w:spacing w:after="100"/>
      </w:pPr>
      <w:r>
        <w:rPr>
          <w:b/>
          <w:bCs/>
          <w:color w:val="000000"/>
          <w:sz w:val="22"/>
          <w:szCs w:val="22"/>
        </w:rPr>
        <w:t xml:space="preserve">DEAL SNAPSHOT</w:t>
      </w:r>
    </w:p>
    <w:p>
      <w:pPr>
        <w:pStyle w:val="ListParagraph"/>
        <w:numPr>
          <w:ilvl w:val="0"/>
          <w:numId w:val="1"/>
        </w:numPr>
        <w:spacing w:after="80"/>
      </w:pPr>
      <w:r>
        <w:rPr>
          <w:sz w:val="22"/>
          <w:szCs w:val="22"/>
        </w:rPr>
        <w:t xml:space="preserve">Tech company, enterprise size, swag-forward culture — strong CustomInk fit</w:t>
      </w:r>
    </w:p>
    <w:p>
      <w:pPr>
        <w:pStyle w:val="ListParagraph"/>
        <w:numPr>
          <w:ilvl w:val="0"/>
          <w:numId w:val="1"/>
        </w:numPr>
        <w:spacing w:after="80"/>
      </w:pPr>
      <w:r>
        <w:rPr>
          <w:sz w:val="22"/>
          <w:szCs w:val="22"/>
        </w:rPr>
        <w:t xml:space="preserve">13 stated requirements — CustomInk answered YES or PARTIAL to all 13</w:t>
      </w:r>
    </w:p>
    <w:p>
      <w:pPr>
        <w:pStyle w:val="ListParagraph"/>
        <w:numPr>
          <w:ilvl w:val="0"/>
          <w:numId w:val="1"/>
        </w:numPr>
        <w:spacing w:after="80"/>
      </w:pPr>
      <w:r>
        <w:rPr>
          <w:sz w:val="22"/>
          <w:szCs w:val="22"/>
        </w:rPr>
        <w:t xml:space="preserve">55-item product cost comparison — all top-tier brand names CustomInk partners with</w:t>
      </w:r>
    </w:p>
    <w:p/>
    <w:p>
      <w:pPr>
        <w:spacing w:after="100"/>
      </w:pPr>
      <w:r>
        <w:rPr>
          <w:b/>
          <w:bCs/>
          <w:color w:val="000000"/>
          <w:sz w:val="22"/>
          <w:szCs w:val="22"/>
        </w:rPr>
        <w:t xml:space="preserve">COMPETITIVE POSITION</w:t>
      </w:r>
    </w:p>
    <w:p>
      <w:pPr>
        <w:spacing w:after="100"/>
      </w:pPr>
      <w:r>
        <w:rPr>
          <w:color w:val="000000"/>
          <w:sz w:val="22"/>
          <w:szCs w:val="22"/>
        </w:rPr>
        <w:t xml:space="preserve">This is an RFI, not an RFP — CustomInk is being evaluated against a shortlist. The product list (Yeti, Stanley, Hydro Flask, Cotopaxi, Dagne Dover, Nike, North Face) is aspirational/premium tier. CustomInk's partner relationships with these brands are a real differentiator. The Workday punchout integration is a potential gap — the agent would flag this for technical confirmation from the platform team.</w:t>
      </w:r>
    </w:p>
    <w:p/>
    <w:p>
      <w:pPr>
        <w:spacing w:after="100"/>
      </w:pPr>
      <w:r>
        <w:rPr>
          <w:b/>
          <w:bCs/>
          <w:color w:val="000000"/>
          <w:sz w:val="22"/>
          <w:szCs w:val="22"/>
        </w:rPr>
        <w:t xml:space="preserve">AGENT OBSERVATION</w:t>
      </w:r>
    </w:p>
    <w:p>
      <w:pPr>
        <w:spacing w:after="100"/>
      </w:pPr>
      <w:r>
        <w:rPr>
          <w:color w:val="000000"/>
          <w:sz w:val="22"/>
          <w:szCs w:val="22"/>
        </w:rPr>
        <w:t xml:space="preserve">The Product Cost Comparison tab was left blank by the prospect — no Vendor List Price was filled in for any of the 55 items. This is either an oversight or a deliberate choice to let vendors propose. The agent would auto-flag this and generate an internal note: 'Cody: pricing requested for 55 premium brand items — confirm catalog availability and pricing for each before submitting.'</w:t>
      </w:r>
    </w:p>
    <w:p/>
    <w:p>
      <w:pPr>
        <w:spacing w:after="100"/>
      </w:pPr>
      <w:r>
        <w:rPr>
          <w:b/>
          <w:bCs/>
          <w:color w:val="000000"/>
          <w:sz w:val="22"/>
          <w:szCs w:val="22"/>
        </w:rPr>
        <w:t xml:space="preserve">STRATEGIC FIT</w:t>
      </w:r>
    </w:p>
    <w:p>
      <w:pPr>
        <w:spacing w:after="100"/>
      </w:pPr>
      <w:r>
        <w:rPr>
          <w:color w:val="000000"/>
          <w:sz w:val="22"/>
          <w:szCs w:val="22"/>
        </w:rPr>
        <w:t xml:space="preserve">GREEN with no conditions. Tech company swag programs are a core CustomInk strength. No unusual legal terms in the RFI. The Workday integration note should be flagged for tech team confirmation, but does not block pursuit.</w:t>
      </w:r>
    </w:p>
    <w:p/>
    <w:p>
      <w:pPr>
        <w:pStyle w:val="Heading2"/>
        <w:spacing w:after="80" w:before="240"/>
      </w:pPr>
      <w:r>
        <w:t xml:space="preserve">What the Agent Would Have Drafted (AUTOPILOT)</w:t>
      </w:r>
    </w:p>
    <w:p>
      <w:pPr>
        <w:spacing w:after="100"/>
      </w:pPr>
      <w:r>
        <w:rPr>
          <w:color w:val="000000"/>
          <w:sz w:val="22"/>
          <w:szCs w:val="22"/>
        </w:rPr>
        <w:t xml:space="preserve">All 13 requirement responses in the Requirements tab are pure boilerplate — company capability statements. The agent would have auto-filled all 13 from the standard content library, leaving only the Workday punchout confirmation as a NEEDS_INPUT flag to the platform team.</w:t>
      </w:r>
    </w:p>
    <w:p>
      <w:pPr>
        <w:pStyle w:val="ListParagraph"/>
        <w:numPr>
          <w:ilvl w:val="0"/>
          <w:numId w:val="1"/>
        </w:numPr>
        <w:spacing w:after="80"/>
      </w:pPr>
      <w:r>
        <w:rPr>
          <w:sz w:val="22"/>
          <w:szCs w:val="22"/>
        </w:rPr>
        <w:t xml:space="preserve">Automated Workday Integration: AUTOPILOT (pull from standard punchout capability statement) — flag tech confirmation</w:t>
      </w:r>
    </w:p>
    <w:p>
      <w:pPr>
        <w:pStyle w:val="ListParagraph"/>
        <w:numPr>
          <w:ilvl w:val="0"/>
          <w:numId w:val="1"/>
        </w:numPr>
        <w:spacing w:after="80"/>
      </w:pPr>
      <w:r>
        <w:rPr>
          <w:sz w:val="22"/>
          <w:szCs w:val="22"/>
        </w:rPr>
        <w:t xml:space="preserve">Platform Security / SOC 2: AUTOPILOT</w:t>
      </w:r>
    </w:p>
    <w:p>
      <w:pPr>
        <w:pStyle w:val="ListParagraph"/>
        <w:numPr>
          <w:ilvl w:val="0"/>
          <w:numId w:val="1"/>
        </w:numPr>
        <w:spacing w:after="80"/>
      </w:pPr>
      <w:r>
        <w:rPr>
          <w:sz w:val="22"/>
          <w:szCs w:val="22"/>
        </w:rPr>
        <w:t xml:space="preserve">In-House Curation &amp; Storage: AUTOPILOT (Swag Pro reference)</w:t>
      </w:r>
    </w:p>
    <w:p>
      <w:pPr>
        <w:pStyle w:val="ListParagraph"/>
        <w:numPr>
          <w:ilvl w:val="0"/>
          <w:numId w:val="1"/>
        </w:numPr>
        <w:spacing w:after="80"/>
      </w:pPr>
      <w:r>
        <w:rPr>
          <w:sz w:val="22"/>
          <w:szCs w:val="22"/>
        </w:rPr>
        <w:t xml:space="preserve">Creative &amp; Design Support: AUTOPILOT</w:t>
      </w:r>
    </w:p>
    <w:p>
      <w:pPr>
        <w:pStyle w:val="ListParagraph"/>
        <w:numPr>
          <w:ilvl w:val="0"/>
          <w:numId w:val="1"/>
        </w:numPr>
        <w:spacing w:after="80"/>
      </w:pPr>
      <w:r>
        <w:rPr>
          <w:sz w:val="22"/>
          <w:szCs w:val="22"/>
        </w:rPr>
        <w:t xml:space="preserve">Platform Customization: AUTOPILOT</w:t>
      </w:r>
    </w:p>
    <w:p>
      <w:pPr>
        <w:pStyle w:val="ListParagraph"/>
        <w:numPr>
          <w:ilvl w:val="0"/>
          <w:numId w:val="1"/>
        </w:numPr>
        <w:spacing w:after="80"/>
      </w:pPr>
      <w:r>
        <w:rPr>
          <w:sz w:val="22"/>
          <w:szCs w:val="22"/>
        </w:rPr>
        <w:t xml:space="preserve">Global Shipping: AUTOPILOT</w:t>
      </w:r>
    </w:p>
    <w:p>
      <w:pPr>
        <w:pStyle w:val="ListParagraph"/>
        <w:numPr>
          <w:ilvl w:val="0"/>
          <w:numId w:val="1"/>
        </w:numPr>
        <w:spacing w:after="80"/>
      </w:pPr>
      <w:r>
        <w:rPr>
          <w:sz w:val="22"/>
          <w:szCs w:val="22"/>
        </w:rPr>
        <w:t xml:space="preserve">Scalability &amp; Volume: AUTOPILOT</w:t>
      </w:r>
    </w:p>
    <w:p>
      <w:pPr>
        <w:pStyle w:val="ListParagraph"/>
        <w:numPr>
          <w:ilvl w:val="0"/>
          <w:numId w:val="1"/>
        </w:numPr>
        <w:spacing w:after="80"/>
      </w:pPr>
      <w:r>
        <w:rPr>
          <w:sz w:val="22"/>
          <w:szCs w:val="22"/>
        </w:rPr>
        <w:t xml:space="preserve">Procurement &amp; Finance Partnership: AUTOPILOT</w:t>
      </w:r>
    </w:p>
    <w:p>
      <w:pPr>
        <w:pStyle w:val="ListParagraph"/>
        <w:numPr>
          <w:ilvl w:val="0"/>
          <w:numId w:val="1"/>
        </w:numPr>
        <w:spacing w:after="80"/>
      </w:pPr>
      <w:r>
        <w:rPr>
          <w:sz w:val="22"/>
          <w:szCs w:val="22"/>
        </w:rPr>
        <w:t xml:space="preserve">Inventory Management: AUTOPILOT</w:t>
      </w:r>
    </w:p>
    <w:p>
      <w:pPr>
        <w:pStyle w:val="ListParagraph"/>
        <w:numPr>
          <w:ilvl w:val="0"/>
          <w:numId w:val="1"/>
        </w:numPr>
        <w:spacing w:after="80"/>
      </w:pPr>
      <w:r>
        <w:rPr>
          <w:sz w:val="22"/>
          <w:szCs w:val="22"/>
        </w:rPr>
        <w:t xml:space="preserve">Reporting &amp; Analytics: AUTOPILOT</w:t>
      </w:r>
    </w:p>
    <w:p>
      <w:pPr>
        <w:pStyle w:val="ListParagraph"/>
        <w:numPr>
          <w:ilvl w:val="0"/>
          <w:numId w:val="1"/>
        </w:numPr>
        <w:spacing w:after="80"/>
      </w:pPr>
      <w:r>
        <w:rPr>
          <w:sz w:val="22"/>
          <w:szCs w:val="22"/>
        </w:rPr>
        <w:t xml:space="preserve">Account Management: AUTOPILOT</w:t>
      </w:r>
    </w:p>
    <w:p>
      <w:pPr>
        <w:pStyle w:val="ListParagraph"/>
        <w:numPr>
          <w:ilvl w:val="0"/>
          <w:numId w:val="1"/>
        </w:numPr>
        <w:spacing w:after="80"/>
      </w:pPr>
      <w:r>
        <w:rPr>
          <w:sz w:val="22"/>
          <w:szCs w:val="22"/>
        </w:rPr>
        <w:t xml:space="preserve">Implementation &amp; Onboarding: AUTOPILOT</w:t>
      </w:r>
    </w:p>
    <w:p>
      <w:pPr>
        <w:pStyle w:val="ListParagraph"/>
        <w:numPr>
          <w:ilvl w:val="0"/>
          <w:numId w:val="1"/>
        </w:numPr>
        <w:spacing w:after="80"/>
      </w:pPr>
      <w:r>
        <w:rPr>
          <w:sz w:val="22"/>
          <w:szCs w:val="22"/>
        </w:rPr>
        <w:t xml:space="preserve">Product Catalog (Klaviyo Customer Base): NEEDS_INPUT — Cody to fill 55-item pricing comparison</w:t>
      </w:r>
    </w:p>
    <w:p/>
    <w:p>
      <w:pPr>
        <w:pStyle w:val="Heading1"/>
        <w:spacing w:after="120" w:before="360"/>
      </w:pPr>
      <w:r>
        <w:t xml:space="preserve">RFP 3 — Simon Property Group Bid Response (Apparel + Hard Goods)</w:t>
      </w:r>
    </w:p>
    <w:p>
      <w:pPr>
        <w:spacing w:after="100"/>
      </w:pPr>
      <w:r>
        <w:rPr>
          <w:b/>
          <w:bCs/>
          <w:color w:val="000000"/>
          <w:sz w:val="22"/>
          <w:szCs w:val="22"/>
        </w:rPr>
        <w:t xml:space="preserve">Type: Outbound Bid Response — CustomInk pricing submission</w:t>
      </w:r>
    </w:p>
    <w:p/>
    <w:p>
      <w:pPr>
        <w:pStyle w:val="Heading2"/>
        <w:spacing w:after="80" w:before="240"/>
      </w:pPr>
      <w:r>
        <w:t xml:space="preserve">What this file actually is</w:t>
      </w:r>
    </w:p>
    <w:p>
      <w:pPr>
        <w:spacing w:after="100"/>
      </w:pPr>
      <w:r>
        <w:rPr>
          <w:color w:val="000000"/>
          <w:sz w:val="22"/>
          <w:szCs w:val="22"/>
        </w:rPr>
        <w:t xml:space="preserve">This is not an inbound RFP — it's CustomInk's completed bid response submitted TO Simon Property Group (the largest mall operator in the US). It contains completed pricing grids for ~20 apparel items and ~60 hard goods / promotional products.</w:t>
      </w:r>
    </w:p>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color="F2F2F2" w:val="solid"/>
          </w:tcPr>
          <w:p>
            <w:r>
              <w:rPr>
                <w:b/>
                <w:bCs/>
                <w:sz w:val="20"/>
                <w:szCs w:val="20"/>
              </w:rPr>
              <w:t xml:space="preserve">Client</w:t>
            </w:r>
          </w:p>
        </w:tc>
        <w:tc>
          <w:tcPr>
            <w:tcW w:type="dxa" w:w="7000"/>
          </w:tcPr>
          <w:p>
            <w:r>
              <w:rPr>
                <w:sz w:val="20"/>
                <w:szCs w:val="20"/>
              </w:rPr>
              <w:t xml:space="preserve">Simon Property Group (largest US mall REIT — 200+ properties)</w:t>
            </w:r>
          </w:p>
        </w:tc>
      </w:tr>
      <w:tr>
        <w:tc>
          <w:tcPr>
            <w:tcW w:type="dxa" w:w="2500"/>
            <w:shd w:color="F2F2F2" w:val="solid"/>
          </w:tcPr>
          <w:p>
            <w:r>
              <w:rPr>
                <w:b/>
                <w:bCs/>
                <w:sz w:val="20"/>
                <w:szCs w:val="20"/>
              </w:rPr>
              <w:t xml:space="preserve">Type</w:t>
            </w:r>
          </w:p>
        </w:tc>
        <w:tc>
          <w:tcPr>
            <w:tcW w:type="dxa" w:w="7000"/>
          </w:tcPr>
          <w:p>
            <w:r>
              <w:rPr>
                <w:sz w:val="20"/>
                <w:szCs w:val="20"/>
              </w:rPr>
              <w:t xml:space="preserve">Annual program — recurring uniform + promo product supply</w:t>
            </w:r>
          </w:p>
        </w:tc>
      </w:tr>
      <w:tr>
        <w:tc>
          <w:tcPr>
            <w:tcW w:type="dxa" w:w="2500"/>
            <w:shd w:color="F2F2F2" w:val="solid"/>
          </w:tcPr>
          <w:p>
            <w:r>
              <w:rPr>
                <w:b/>
                <w:bCs/>
                <w:sz w:val="20"/>
                <w:szCs w:val="20"/>
              </w:rPr>
              <w:t xml:space="preserve">Apparel items</w:t>
            </w:r>
          </w:p>
        </w:tc>
        <w:tc>
          <w:tcPr>
            <w:tcW w:type="dxa" w:w="7000"/>
          </w:tcPr>
          <w:p>
            <w:r>
              <w:rPr>
                <w:sz w:val="20"/>
                <w:szCs w:val="20"/>
              </w:rPr>
              <w:t xml:space="preserve">20 SKUs: polos, pants, jackets, work shirts, fleece, parkas, caps</w:t>
            </w:r>
          </w:p>
        </w:tc>
      </w:tr>
      <w:tr>
        <w:tc>
          <w:tcPr>
            <w:tcW w:type="dxa" w:w="2500"/>
            <w:shd w:color="F2F2F2" w:val="solid"/>
          </w:tcPr>
          <w:p>
            <w:r>
              <w:rPr>
                <w:b/>
                <w:bCs/>
                <w:sz w:val="20"/>
                <w:szCs w:val="20"/>
              </w:rPr>
              <w:t xml:space="preserve">Hard goods</w:t>
            </w:r>
          </w:p>
        </w:tc>
        <w:tc>
          <w:tcPr>
            <w:tcW w:type="dxa" w:w="7000"/>
          </w:tcPr>
          <w:p>
            <w:r>
              <w:rPr>
                <w:sz w:val="20"/>
                <w:szCs w:val="20"/>
              </w:rPr>
              <w:t xml:space="preserve">60+ SKUs: totes, canopies, sunglasses, water bottles, pens, tablecloths, coolers</w:t>
            </w:r>
          </w:p>
        </w:tc>
      </w:tr>
      <w:tr>
        <w:tc>
          <w:tcPr>
            <w:tcW w:type="dxa" w:w="2500"/>
            <w:shd w:color="F2F2F2" w:val="solid"/>
          </w:tcPr>
          <w:p>
            <w:r>
              <w:rPr>
                <w:b/>
                <w:bCs/>
                <w:sz w:val="20"/>
                <w:szCs w:val="20"/>
              </w:rPr>
              <w:t xml:space="preserve">Largest volume item</w:t>
            </w:r>
          </w:p>
        </w:tc>
        <w:tc>
          <w:tcPr>
            <w:tcW w:type="dxa" w:w="7000"/>
          </w:tcPr>
          <w:p>
            <w:r>
              <w:rPr>
                <w:sz w:val="20"/>
                <w:szCs w:val="20"/>
              </w:rPr>
              <w:t xml:space="preserve">Woven Oversized Tote — 311,600 units annually</w:t>
            </w:r>
          </w:p>
        </w:tc>
      </w:tr>
      <w:tr>
        <w:tc>
          <w:tcPr>
            <w:tcW w:type="dxa" w:w="2500"/>
            <w:shd w:color="F2F2F2" w:val="solid"/>
          </w:tcPr>
          <w:p>
            <w:r>
              <w:rPr>
                <w:b/>
                <w:bCs/>
                <w:sz w:val="20"/>
                <w:szCs w:val="20"/>
              </w:rPr>
              <w:t xml:space="preserve">Pricing structure</w:t>
            </w:r>
          </w:p>
        </w:tc>
        <w:tc>
          <w:tcPr>
            <w:tcW w:type="dxa" w:w="7000"/>
          </w:tcPr>
          <w:p>
            <w:r>
              <w:rPr>
                <w:sz w:val="20"/>
                <w:szCs w:val="20"/>
              </w:rPr>
              <w:t xml:space="preserve">Qty breaks at 1 / 25 / 50 / 100 / 1,000 units</w:t>
            </w:r>
          </w:p>
        </w:tc>
      </w:tr>
      <w:tr>
        <w:tc>
          <w:tcPr>
            <w:tcW w:type="dxa" w:w="2500"/>
            <w:shd w:color="F2F2F2" w:val="solid"/>
          </w:tcPr>
          <w:p>
            <w:r>
              <w:rPr>
                <w:b/>
                <w:bCs/>
                <w:sz w:val="20"/>
                <w:szCs w:val="20"/>
              </w:rPr>
              <w:t xml:space="preserve">Margin targets visible</w:t>
            </w:r>
          </w:p>
        </w:tc>
        <w:tc>
          <w:tcPr>
            <w:tcW w:type="dxa" w:w="7000"/>
          </w:tcPr>
          <w:p>
            <w:r>
              <w:rPr>
                <w:sz w:val="20"/>
                <w:szCs w:val="20"/>
              </w:rPr>
              <w:t xml:space="preserve">Apparel: ~30% at Qty 1, ~25% at Qty 25-100, ~20% at Qty 1000</w:t>
            </w:r>
          </w:p>
        </w:tc>
      </w:tr>
    </w:tbl>
    <w:p/>
    <w:p>
      <w:pPr>
        <w:pStyle w:val="Heading2"/>
        <w:spacing w:after="80" w:before="240"/>
      </w:pPr>
      <w:r>
        <w:t xml:space="preserve">Why this file is valuable for the agent</w:t>
      </w:r>
    </w:p>
    <w:p>
      <w:pPr>
        <w:spacing w:after="100"/>
      </w:pPr>
      <w:r>
        <w:rPr>
          <w:b/>
          <w:bCs/>
          <w:color w:val="843C0C"/>
          <w:sz w:val="22"/>
          <w:szCs w:val="22"/>
        </w:rPr>
        <w:t xml:space="preserve">THIS IS YOUR PRICING TRAINING DATA.</w:t>
      </w:r>
    </w:p>
    <w:p>
      <w:pPr>
        <w:spacing w:after="100"/>
      </w:pPr>
      <w:r>
        <w:rPr>
          <w:color w:val="000000"/>
          <w:sz w:val="22"/>
          <w:szCs w:val="22"/>
        </w:rPr>
        <w:t xml:space="preserve">The Simon bid response is a goldmine for the Pricing Agent (Sprint 3). It contains real CustomInk pricing at actual quantity breaks with real margin structures built in. Specifically:</w:t>
      </w:r>
    </w:p>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color="F2F2F2" w:val="solid"/>
          </w:tcPr>
          <w:p>
            <w:r>
              <w:rPr>
                <w:b/>
                <w:bCs/>
                <w:sz w:val="20"/>
                <w:szCs w:val="20"/>
              </w:rPr>
              <w:t xml:space="preserve">Apparel margin model</w:t>
            </w:r>
          </w:p>
        </w:tc>
        <w:tc>
          <w:tcPr>
            <w:tcW w:type="dxa" w:w="7000"/>
          </w:tcPr>
          <w:p>
            <w:r>
              <w:rPr>
                <w:sz w:val="20"/>
                <w:szCs w:val="20"/>
              </w:rPr>
              <w:t xml:space="preserve">30% GM at Qty 1 / 25% at Qty 25-100 / 20% at Qty 1,000 — visible from pricing math</w:t>
            </w:r>
          </w:p>
        </w:tc>
      </w:tr>
      <w:tr>
        <w:tc>
          <w:tcPr>
            <w:tcW w:type="dxa" w:w="2500"/>
            <w:shd w:color="F2F2F2" w:val="solid"/>
          </w:tcPr>
          <w:p>
            <w:r>
              <w:rPr>
                <w:b/>
                <w:bCs/>
                <w:sz w:val="20"/>
                <w:szCs w:val="20"/>
              </w:rPr>
              <w:t xml:space="preserve">Hard goods margin</w:t>
            </w:r>
          </w:p>
        </w:tc>
        <w:tc>
          <w:tcPr>
            <w:tcW w:type="dxa" w:w="7000"/>
          </w:tcPr>
          <w:p>
            <w:r>
              <w:rPr>
                <w:sz w:val="20"/>
                <w:szCs w:val="20"/>
              </w:rPr>
              <w:t xml:space="preserve">30% at Qty 1 / 25% at Qty 25-100 (implied from structure)</w:t>
            </w:r>
          </w:p>
        </w:tc>
      </w:tr>
      <w:tr>
        <w:tc>
          <w:tcPr>
            <w:tcW w:type="dxa" w:w="2500"/>
            <w:shd w:color="F2F2F2" w:val="solid"/>
          </w:tcPr>
          <w:p>
            <w:r>
              <w:rPr>
                <w:b/>
                <w:bCs/>
                <w:sz w:val="20"/>
                <w:szCs w:val="20"/>
              </w:rPr>
              <w:t xml:space="preserve">Polo pricing (100 units)</w:t>
            </w:r>
          </w:p>
        </w:tc>
        <w:tc>
          <w:tcPr>
            <w:tcW w:type="dxa" w:w="7000"/>
          </w:tcPr>
          <w:p>
            <w:r>
              <w:rPr>
                <w:sz w:val="20"/>
                <w:szCs w:val="20"/>
              </w:rPr>
              <w:t xml:space="preserve">~$14.36 for performance blend polo</w:t>
            </w:r>
          </w:p>
        </w:tc>
      </w:tr>
      <w:tr>
        <w:tc>
          <w:tcPr>
            <w:tcW w:type="dxa" w:w="2500"/>
            <w:shd w:color="F2F2F2" w:val="solid"/>
          </w:tcPr>
          <w:p>
            <w:r>
              <w:rPr>
                <w:b/>
                <w:bCs/>
                <w:sz w:val="20"/>
                <w:szCs w:val="20"/>
              </w:rPr>
              <w:t xml:space="preserve">Polo pricing (1,000 units)</w:t>
            </w:r>
          </w:p>
        </w:tc>
        <w:tc>
          <w:tcPr>
            <w:tcW w:type="dxa" w:w="7000"/>
          </w:tcPr>
          <w:p>
            <w:r>
              <w:rPr>
                <w:sz w:val="20"/>
                <w:szCs w:val="20"/>
              </w:rPr>
              <w:t xml:space="preserve">~$13.46 — 6.4% volume discount</w:t>
            </w:r>
          </w:p>
        </w:tc>
      </w:tr>
      <w:tr>
        <w:tc>
          <w:tcPr>
            <w:tcW w:type="dxa" w:w="2500"/>
            <w:shd w:color="F2F2F2" w:val="solid"/>
          </w:tcPr>
          <w:p>
            <w:r>
              <w:rPr>
                <w:b/>
                <w:bCs/>
                <w:sz w:val="20"/>
                <w:szCs w:val="20"/>
              </w:rPr>
              <w:t xml:space="preserve">Tote pricing (volume)</w:t>
            </w:r>
          </w:p>
        </w:tc>
        <w:tc>
          <w:tcPr>
            <w:tcW w:type="dxa" w:w="7000"/>
          </w:tcPr>
          <w:p>
            <w:r>
              <w:rPr>
                <w:sz w:val="20"/>
                <w:szCs w:val="20"/>
              </w:rPr>
              <w:t xml:space="preserve">Woven oversized tote: $1.00 at 25-100 units, $0.94 at 1,000</w:t>
            </w:r>
          </w:p>
        </w:tc>
      </w:tr>
      <w:tr>
        <w:tc>
          <w:tcPr>
            <w:tcW w:type="dxa" w:w="2500"/>
            <w:shd w:color="F2F2F2" w:val="solid"/>
          </w:tcPr>
          <w:p>
            <w:r>
              <w:rPr>
                <w:b/>
                <w:bCs/>
                <w:sz w:val="20"/>
                <w:szCs w:val="20"/>
              </w:rPr>
              <w:t xml:space="preserve">Parka pricing</w:t>
            </w:r>
          </w:p>
        </w:tc>
        <w:tc>
          <w:tcPr>
            <w:tcW w:type="dxa" w:w="7000"/>
          </w:tcPr>
          <w:p>
            <w:r>
              <w:rPr>
                <w:sz w:val="20"/>
                <w:szCs w:val="20"/>
              </w:rPr>
              <w:t xml:space="preserve">$61/unit at 25-100 qty — high-ticket apparel benchmark</w:t>
            </w:r>
          </w:p>
        </w:tc>
      </w:tr>
      <w:tr>
        <w:tc>
          <w:tcPr>
            <w:tcW w:type="dxa" w:w="2500"/>
            <w:shd w:color="F2F2F2" w:val="solid"/>
          </w:tcPr>
          <w:p>
            <w:r>
              <w:rPr>
                <w:b/>
                <w:bCs/>
                <w:sz w:val="20"/>
                <w:szCs w:val="20"/>
              </w:rPr>
              <w:t xml:space="preserve">Use for agent</w:t>
            </w:r>
          </w:p>
        </w:tc>
        <w:tc>
          <w:tcPr>
            <w:tcW w:type="dxa" w:w="7000"/>
          </w:tcPr>
          <w:p>
            <w:r>
              <w:rPr>
                <w:sz w:val="20"/>
                <w:szCs w:val="20"/>
              </w:rPr>
              <w:t xml:space="preserve">Feed into Pricing Agent as baseline cost structure for Cody's margin tool</w:t>
            </w:r>
          </w:p>
        </w:tc>
      </w:tr>
    </w:tbl>
    <w:p/>
    <w:p>
      <w:pPr>
        <w:spacing w:after="100"/>
      </w:pPr>
      <w:r>
        <w:rPr>
          <w:color w:val="000000"/>
          <w:sz w:val="22"/>
          <w:szCs w:val="22"/>
        </w:rPr>
        <w:t xml:space="preserve">The Pricing Agent in Sprint 3 should reference a version of this data when estimating deal margins during Go/No-Go analysis. Cody Perry should review this data and confirm whether these prices are current or need updating before using them as benchmarks.</w:t>
      </w:r>
    </w:p>
    <w:p/>
    <w:p>
      <w:pPr>
        <w:pStyle w:val="Heading1"/>
        <w:spacing w:after="120" w:before="360"/>
      </w:pPr>
      <w:r>
        <w:t xml:space="preserve">AUTOPILOT Content Goldmine — What to Add to config.py NOW</w:t>
      </w:r>
    </w:p>
    <w:p>
      <w:pPr>
        <w:spacing w:after="100"/>
      </w:pPr>
      <w:r>
        <w:rPr>
          <w:color w:val="000000"/>
          <w:sz w:val="22"/>
          <w:szCs w:val="22"/>
        </w:rPr>
        <w:t xml:space="preserve">The Crunch Fitness response file contains the most complete set of real, approved CustomInk boilerplate answers in the three files. These should be pasted directly into config.py's AUTOPILOT_CONTENT dictionary today — before building Sprint 2.</w:t>
      </w:r>
    </w:p>
    <w:p/>
    <w:p>
      <w:pPr>
        <w:pStyle w:val="Heading2"/>
        <w:spacing w:after="80" w:before="240"/>
      </w:pPr>
      <w:r>
        <w:t xml:space="preserve">Answers ready to paste into config.py as AUTOPILOT_CONTENT</w:t>
      </w:r>
    </w:p>
    <w:p/>
    <w:p>
      <w:pPr>
        <w:shd w:color="2E75B6" w:val="solid"/>
        <w:spacing w:after="80" w:before="200"/>
      </w:pPr>
      <w:r>
        <w:rPr>
          <w:b/>
          <w:bCs/>
          <w:color w:val="FFFFFF"/>
          <w:sz w:val="24"/>
          <w:szCs w:val="24"/>
        </w:rPr>
        <w:t xml:space="preserve">company_overview</w:t>
      </w:r>
    </w:p>
    <w:p>
      <w:pPr>
        <w:spacing w:after="100"/>
      </w:pPr>
      <w:r>
        <w:rPr>
          <w:color w:val="000000"/>
          <w:sz w:val="22"/>
          <w:szCs w:val="22"/>
        </w:rPr>
        <w:t xml:space="preserve">"CustomInk Parent, LLC / CustomInk, LLC. 1640 Boro Place, STE 301, McLean VA 22102. 25 years in business. 600+ employees. Over 100,000 customers served annually. CEO: David Doctorow. CRO: Ryan Massimo."</w:t>
      </w:r>
    </w:p>
    <w:p/>
    <w:p>
      <w:pPr>
        <w:shd w:color="2E75B6" w:val="solid"/>
        <w:spacing w:after="80" w:before="200"/>
      </w:pPr>
      <w:r>
        <w:rPr>
          <w:b/>
          <w:bCs/>
          <w:color w:val="FFFFFF"/>
          <w:sz w:val="24"/>
          <w:szCs w:val="24"/>
        </w:rPr>
        <w:t xml:space="preserve">fulfillment_process</w:t>
      </w:r>
    </w:p>
    <w:p>
      <w:pPr>
        <w:spacing w:after="100"/>
      </w:pPr>
      <w:r>
        <w:rPr>
          <w:color w:val="000000"/>
          <w:sz w:val="22"/>
          <w:szCs w:val="22"/>
        </w:rPr>
        <w:t xml:space="preserve">"CustomInk efficiently manages its order-to-fulfillment process using advanced in-house systems. Standard bulk orders are guaranteed to deliver within 14 days (free shipping). Rush options available. Online Stores: 12-14 days after order fulfillment. We have an unlimited amount of capacity supporting 100,000+ customers per year."</w:t>
      </w:r>
    </w:p>
    <w:p/>
    <w:p>
      <w:pPr>
        <w:shd w:color="2E75B6" w:val="solid"/>
        <w:spacing w:after="80" w:before="200"/>
      </w:pPr>
      <w:r>
        <w:rPr>
          <w:b/>
          <w:bCs/>
          <w:color w:val="FFFFFF"/>
          <w:sz w:val="24"/>
          <w:szCs w:val="24"/>
        </w:rPr>
        <w:t xml:space="preserve">design_capabilities</w:t>
      </w:r>
    </w:p>
    <w:p>
      <w:pPr>
        <w:spacing w:after="100"/>
      </w:pPr>
      <w:r>
        <w:rPr>
          <w:color w:val="000000"/>
          <w:sz w:val="22"/>
          <w:szCs w:val="22"/>
        </w:rPr>
        <w:t xml:space="preserve">"CustomInk has multiple teams of expert artists who assist with designs at no additional charge depending on order type. Our team reviews every design for quality and ensures all logos, colors, and approved fonts are accurate before production. Artists can generally turn around a proof within a day's notice."</w:t>
      </w:r>
    </w:p>
    <w:p/>
    <w:p>
      <w:pPr>
        <w:shd w:color="2E75B6" w:val="solid"/>
        <w:spacing w:after="80" w:before="200"/>
      </w:pPr>
      <w:r>
        <w:rPr>
          <w:b/>
          <w:bCs/>
          <w:color w:val="FFFFFF"/>
          <w:sz w:val="24"/>
          <w:szCs w:val="24"/>
        </w:rPr>
        <w:t xml:space="preserve">portal_capabilities</w:t>
      </w:r>
    </w:p>
    <w:p>
      <w:pPr>
        <w:spacing w:after="100"/>
      </w:pPr>
      <w:r>
        <w:rPr>
          <w:color w:val="000000"/>
          <w:sz w:val="22"/>
          <w:szCs w:val="22"/>
        </w:rPr>
        <w:t xml:space="preserve">"Yes, CustomInk can set up an online ordering portal within 2 business days. No setup fee. No ongoing licensing fee (print minimums must be met). Portal includes reporting and analytics: buyer name, order number, timestamps, quantities, product details. Portal organizer has full dashboard access."</w:t>
      </w:r>
    </w:p>
    <w:p/>
    <w:p>
      <w:pPr>
        <w:shd w:color="2E75B6" w:val="solid"/>
        <w:spacing w:after="80" w:before="200"/>
      </w:pPr>
      <w:r>
        <w:rPr>
          <w:b/>
          <w:bCs/>
          <w:color w:val="FFFFFF"/>
          <w:sz w:val="24"/>
          <w:szCs w:val="24"/>
        </w:rPr>
        <w:t xml:space="preserve">sustainability</w:t>
      </w:r>
    </w:p>
    <w:p>
      <w:pPr>
        <w:spacing w:after="100"/>
      </w:pPr>
      <w:r>
        <w:rPr>
          <w:color w:val="000000"/>
          <w:sz w:val="22"/>
          <w:szCs w:val="22"/>
        </w:rPr>
        <w:t xml:space="preserve">"CustomInk's sustainability initiatives include packaging that uses less plastic and cardboard, shifting to recycled materials, and ongoing supply chain sustainability programs. We disclose our practices annually and can provide a current sustainability report upon request."</w:t>
      </w:r>
    </w:p>
    <w:p/>
    <w:p>
      <w:pPr>
        <w:shd w:color="2E75B6" w:val="solid"/>
        <w:spacing w:after="80" w:before="200"/>
      </w:pPr>
      <w:r>
        <w:rPr>
          <w:b/>
          <w:bCs/>
          <w:color w:val="FFFFFF"/>
          <w:sz w:val="24"/>
          <w:szCs w:val="24"/>
        </w:rPr>
        <w:t xml:space="preserve">payment_terms_standard</w:t>
      </w:r>
    </w:p>
    <w:p>
      <w:pPr>
        <w:spacing w:after="100"/>
      </w:pPr>
      <w:r>
        <w:rPr>
          <w:color w:val="000000"/>
          <w:sz w:val="22"/>
          <w:szCs w:val="22"/>
        </w:rPr>
        <w:t xml:space="preserve">"CustomInk accepts ACH, credit card, and other standard payment methods. We can accommodate Net 30/60/90 terms with creditworthiness verification for qualified enterprise accounts. We do not accept Net 90 without a credit review and Finance approval."</w:t>
      </w:r>
    </w:p>
    <w:p/>
    <w:p>
      <w:pPr>
        <w:shd w:color="2E75B6" w:val="solid"/>
        <w:spacing w:after="80" w:before="200"/>
      </w:pPr>
      <w:r>
        <w:rPr>
          <w:b/>
          <w:bCs/>
          <w:color w:val="FFFFFF"/>
          <w:sz w:val="24"/>
          <w:szCs w:val="24"/>
        </w:rPr>
        <w:t xml:space="preserve">competitor_reference_policy</w:t>
      </w:r>
    </w:p>
    <w:p>
      <w:pPr>
        <w:spacing w:after="100"/>
      </w:pPr>
      <w:r>
        <w:rPr>
          <w:color w:val="000000"/>
          <w:sz w:val="22"/>
          <w:szCs w:val="22"/>
        </w:rPr>
        <w:t xml:space="preserve">"We are not at liberty to disclose any of our customer base without their prior approval. We can provide references upon request with advance notice."</w:t>
      </w:r>
    </w:p>
    <w:p/>
    <w:p>
      <w:pPr>
        <w:shd w:color="2E75B6" w:val="solid"/>
        <w:spacing w:after="80" w:before="200"/>
      </w:pPr>
      <w:r>
        <w:rPr>
          <w:b/>
          <w:bCs/>
          <w:color w:val="FFFFFF"/>
          <w:sz w:val="24"/>
          <w:szCs w:val="24"/>
        </w:rPr>
        <w:t xml:space="preserve">background_checks</w:t>
      </w:r>
    </w:p>
    <w:p>
      <w:pPr>
        <w:spacing w:after="100"/>
      </w:pPr>
      <w:r>
        <w:rPr>
          <w:color w:val="000000"/>
          <w:sz w:val="22"/>
          <w:szCs w:val="22"/>
        </w:rPr>
        <w:t xml:space="preserve">"We perform background checks on every new US-based full-time or part-time employee at time of hire."</w:t>
      </w:r>
    </w:p>
    <w:p/>
    <w:p>
      <w:pPr>
        <w:shd w:color="2E75B6" w:val="solid"/>
        <w:spacing w:after="80" w:before="200"/>
      </w:pPr>
      <w:r>
        <w:rPr>
          <w:b/>
          <w:bCs/>
          <w:color w:val="FFFFFF"/>
          <w:sz w:val="24"/>
          <w:szCs w:val="24"/>
        </w:rPr>
        <w:t xml:space="preserve">litigation_and_financial</w:t>
      </w:r>
    </w:p>
    <w:p>
      <w:pPr>
        <w:spacing w:after="100"/>
      </w:pPr>
      <w:r>
        <w:rPr>
          <w:color w:val="000000"/>
          <w:sz w:val="22"/>
          <w:szCs w:val="22"/>
        </w:rPr>
        <w:t xml:space="preserve">"CustomInk has not filed for bankruptcy in the past 10 years. No liens have been placed against the company outside of traditional financing. No significant litigation in the last 3 years. We are a privately held company and do not disclose financial statements publicly; we can provide a bank reference letter or D&amp;B report upon request."</w:t>
      </w:r>
    </w:p>
    <w:p/>
    <w:p>
      <w:pPr>
        <w:shd w:color="2E75B6" w:val="solid"/>
        <w:spacing w:after="80" w:before="200"/>
      </w:pPr>
      <w:r>
        <w:rPr>
          <w:b/>
          <w:bCs/>
          <w:color w:val="FFFFFF"/>
          <w:sz w:val="24"/>
          <w:szCs w:val="24"/>
        </w:rPr>
        <w:t xml:space="preserve">sla_and_satisfaction_guarantee</w:t>
      </w:r>
    </w:p>
    <w:p>
      <w:pPr>
        <w:spacing w:after="100"/>
      </w:pPr>
      <w:r>
        <w:rPr>
          <w:color w:val="000000"/>
          <w:sz w:val="22"/>
          <w:szCs w:val="22"/>
        </w:rPr>
        <w:t xml:space="preserve">"CustomInk delivers high-quality products that match what you designed on our site. If for any reason you're not satisfied, we'll work with you to make it right — reprinting or issuing a credit. We do not accept penalty/liquidated damages clauses; our Satisfaction Guarantee covers defects and quality issues."</w:t>
      </w:r>
    </w:p>
    <w:p/>
    <w:p>
      <w:pPr>
        <w:pStyle w:val="Heading1"/>
        <w:spacing w:after="120" w:before="360"/>
      </w:pPr>
      <w:r>
        <w:t xml:space="preserve">Recommended Next Steps</w:t>
      </w:r>
    </w:p>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color="F2F2F2" w:val="solid"/>
          </w:tcPr>
          <w:p>
            <w:r>
              <w:rPr>
                <w:b/>
                <w:bCs/>
                <w:sz w:val="20"/>
                <w:szCs w:val="20"/>
              </w:rPr>
              <w:t xml:space="preserve">This week</w:t>
            </w:r>
          </w:p>
        </w:tc>
        <w:tc>
          <w:tcPr>
            <w:tcW w:type="dxa" w:w="7000"/>
          </w:tcPr>
          <w:p>
            <w:r>
              <w:rPr>
                <w:sz w:val="20"/>
                <w:szCs w:val="20"/>
              </w:rPr>
              <w:t xml:space="preserve">Open config.py. Paste the AUTOPILOT_CONTENT blocks above into the AUTOPILOT_CONTENT dict. Replace the placeholder strings with the real approved text. This makes every future RFP run with real content.</w:t>
            </w:r>
          </w:p>
        </w:tc>
      </w:tr>
      <w:tr>
        <w:tc>
          <w:tcPr>
            <w:tcW w:type="dxa" w:w="2500"/>
            <w:shd w:color="F2F2F2" w:val="solid"/>
          </w:tcPr>
          <w:p>
            <w:r>
              <w:rPr>
                <w:b/>
                <w:bCs/>
                <w:sz w:val="20"/>
                <w:szCs w:val="20"/>
              </w:rPr>
              <w:t xml:space="preserve">This week</w:t>
            </w:r>
          </w:p>
        </w:tc>
        <w:tc>
          <w:tcPr>
            <w:tcW w:type="dxa" w:w="7000"/>
          </w:tcPr>
          <w:p>
            <w:r>
              <w:rPr>
                <w:sz w:val="20"/>
                <w:szCs w:val="20"/>
              </w:rPr>
              <w:t xml:space="preserve">Have Cody Perry review the Simon bid pricing to confirm whether those margin structures are still current. If yes, add a 'pricing_benchmarks' section to config.py.</w:t>
            </w:r>
          </w:p>
        </w:tc>
      </w:tr>
      <w:tr>
        <w:tc>
          <w:tcPr>
            <w:tcW w:type="dxa" w:w="2500"/>
            <w:shd w:color="F2F2F2" w:val="solid"/>
          </w:tcPr>
          <w:p>
            <w:r>
              <w:rPr>
                <w:b/>
                <w:bCs/>
                <w:sz w:val="20"/>
                <w:szCs w:val="20"/>
              </w:rPr>
              <w:t xml:space="preserve">Before Sprint 2</w:t>
            </w:r>
          </w:p>
        </w:tc>
        <w:tc>
          <w:tcPr>
            <w:tcW w:type="dxa" w:w="7000"/>
          </w:tcPr>
          <w:p>
            <w:r>
              <w:rPr>
                <w:sz w:val="20"/>
                <w:szCs w:val="20"/>
              </w:rPr>
              <w:t xml:space="preserve">Send the Crunch Fitness Preliminary Q&amp;A tab to Legal — it shows three terms CustomInk already declined (2.5% allowance, penalty policy, sponsorship commitment). Confirm these are standard positions.</w:t>
            </w:r>
          </w:p>
        </w:tc>
      </w:tr>
      <w:tr>
        <w:tc>
          <w:tcPr>
            <w:tcW w:type="dxa" w:w="2500"/>
            <w:shd w:color="F2F2F2" w:val="solid"/>
          </w:tcPr>
          <w:p>
            <w:r>
              <w:rPr>
                <w:b/>
                <w:bCs/>
                <w:sz w:val="20"/>
                <w:szCs w:val="20"/>
              </w:rPr>
              <w:t xml:space="preserve">Sprint 2 priority</w:t>
            </w:r>
          </w:p>
        </w:tc>
        <w:tc>
          <w:tcPr>
            <w:tcW w:type="dxa" w:w="7000"/>
          </w:tcPr>
          <w:p>
            <w:r>
              <w:rPr>
                <w:sz w:val="20"/>
                <w:szCs w:val="20"/>
              </w:rPr>
              <w:t xml:space="preserve">The Crunch Fitness response also reveals a capability gap: no franchise model experience (Q 5.8.13). Flag this for Ryan — is this now a standard NEEDS_INPUT flag whenever an RFP mentions franchise/franchisee?</w:t>
            </w:r>
          </w:p>
        </w:tc>
      </w:tr>
      <w:tr>
        <w:tc>
          <w:tcPr>
            <w:tcW w:type="dxa" w:w="2500"/>
            <w:shd w:color="F2F2F2" w:val="solid"/>
          </w:tcPr>
          <w:p>
            <w:r>
              <w:rPr>
                <w:b/>
                <w:bCs/>
                <w:sz w:val="20"/>
                <w:szCs w:val="20"/>
              </w:rPr>
              <w:t xml:space="preserve">KVYO follow-up</w:t>
            </w:r>
          </w:p>
        </w:tc>
        <w:tc>
          <w:tcPr>
            <w:tcW w:type="dxa" w:w="7000"/>
          </w:tcPr>
          <w:p>
            <w:r>
              <w:rPr>
                <w:sz w:val="20"/>
                <w:szCs w:val="20"/>
              </w:rPr>
              <w:t xml:space="preserve">The Klaviyo Product Cost Comparison tab has 55 items with no pricing filled in. Either this was left blank intentionally or was a miss. Worth checking with Kate Morton.</w:t>
            </w:r>
          </w:p>
        </w:tc>
      </w:tr>
    </w:tbl>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2026-04-24T22:41:05.749Z</dcterms:created>
  <dcterms:modified xsi:type="dcterms:W3CDTF">2026-04-24T22:41:05.749Z</dcterms:modified>
</cp:coreProperties>
</file>

<file path=docProps/custom.xml><?xml version="1.0" encoding="utf-8"?>
<Properties xmlns="http://schemas.openxmlformats.org/officeDocument/2006/custom-properties" xmlns:vt="http://schemas.openxmlformats.org/officeDocument/2006/docPropsVTypes"/>
</file>