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91F7EF" w14:textId="514F4F57" w:rsidR="00D3146A" w:rsidRDefault="00D3146A" w:rsidP="00D3146A">
      <w:pPr>
        <w:jc w:val="center"/>
        <w:rPr>
          <w:color w:val="01AB8E"/>
          <w:sz w:val="48"/>
          <w:szCs w:val="48"/>
        </w:rPr>
      </w:pPr>
      <w:bookmarkStart w:id="0" w:name="_Toc191623173"/>
      <w:r w:rsidRPr="00CE7730">
        <w:rPr>
          <w:color w:val="01AB8E"/>
          <w:sz w:val="48"/>
          <w:szCs w:val="48"/>
        </w:rPr>
        <w:t xml:space="preserve">Reference Program </w:t>
      </w:r>
      <w:r w:rsidR="00031F0A">
        <w:rPr>
          <w:color w:val="01AB8E"/>
          <w:sz w:val="48"/>
          <w:szCs w:val="48"/>
        </w:rPr>
        <w:t>Brief</w:t>
      </w:r>
    </w:p>
    <w:p w14:paraId="4AB40FCF" w14:textId="58D74659" w:rsidR="00D3146A" w:rsidRDefault="00D3146A" w:rsidP="00AE6F05">
      <w:pPr>
        <w:jc w:val="center"/>
        <w:rPr>
          <w:rStyle w:val="Hyperlink"/>
          <w:rFonts w:cs="Arial"/>
          <w:bCs/>
          <w:kern w:val="32"/>
          <w:sz w:val="28"/>
          <w:szCs w:val="32"/>
          <w:lang w:val="x-none" w:eastAsia="x-none"/>
        </w:rPr>
      </w:pPr>
      <w:r w:rsidRPr="00515F76">
        <w:rPr>
          <w:color w:val="01AB8E"/>
          <w:sz w:val="22"/>
        </w:rPr>
        <w:t xml:space="preserve">Version 1.0 – </w:t>
      </w:r>
      <w:r w:rsidR="008C7831">
        <w:rPr>
          <w:color w:val="01AB8E"/>
          <w:sz w:val="22"/>
        </w:rPr>
        <w:t>05</w:t>
      </w:r>
      <w:r w:rsidRPr="00515F76">
        <w:rPr>
          <w:color w:val="01AB8E"/>
          <w:sz w:val="22"/>
        </w:rPr>
        <w:t>/2016</w:t>
      </w:r>
      <w:bookmarkStart w:id="1" w:name="_Toc451940141"/>
    </w:p>
    <w:bookmarkEnd w:id="1"/>
    <w:p w14:paraId="46CFC12E" w14:textId="77777777" w:rsidR="00D3146A" w:rsidRDefault="00D3146A" w:rsidP="00D3146A">
      <w:pPr>
        <w:pStyle w:val="Heading2NM"/>
        <w:rPr>
          <w:rFonts w:ascii="Calibri" w:hAnsi="Calibri"/>
          <w:b w:val="0"/>
          <w:sz w:val="21"/>
          <w:szCs w:val="21"/>
        </w:rPr>
      </w:pPr>
    </w:p>
    <w:p w14:paraId="319DCFB1" w14:textId="77777777" w:rsidR="00AE6F05" w:rsidRDefault="00AE6F05" w:rsidP="00D3146A">
      <w:pPr>
        <w:pStyle w:val="Heading2NM"/>
        <w:rPr>
          <w:rFonts w:ascii="Calibri" w:hAnsi="Calibri"/>
          <w:b w:val="0"/>
          <w:sz w:val="21"/>
          <w:szCs w:val="21"/>
        </w:rPr>
      </w:pPr>
    </w:p>
    <w:p w14:paraId="0E3595C4" w14:textId="77777777" w:rsidR="00AE6F05" w:rsidRPr="00165983" w:rsidRDefault="00AE6F05" w:rsidP="00D3146A">
      <w:pPr>
        <w:pStyle w:val="Heading2NM"/>
        <w:rPr>
          <w:rFonts w:ascii="Calibri" w:hAnsi="Calibri"/>
          <w:b w:val="0"/>
          <w:sz w:val="21"/>
          <w:szCs w:val="21"/>
        </w:rPr>
      </w:pPr>
    </w:p>
    <w:p w14:paraId="0B1BEE8F" w14:textId="1DB2F2D9" w:rsidR="00345AD2" w:rsidRPr="00321B13" w:rsidRDefault="001D2DCC" w:rsidP="00321B13">
      <w:pPr>
        <w:pStyle w:val="Heading1"/>
        <w:rPr>
          <w:rFonts w:ascii="Calibri" w:hAnsi="Calibri"/>
          <w:sz w:val="32"/>
          <w:lang w:val="en-US"/>
        </w:rPr>
      </w:pPr>
      <w:r w:rsidRPr="001D2DCC">
        <w:rPr>
          <w:rFonts w:ascii="Calibri" w:hAnsi="Calibri"/>
          <w:sz w:val="32"/>
          <w:lang w:val="en-US"/>
        </w:rPr>
        <w:t xml:space="preserve">1. </w:t>
      </w:r>
      <w:r w:rsidR="00194401">
        <w:rPr>
          <w:rFonts w:ascii="Calibri" w:hAnsi="Calibri"/>
          <w:sz w:val="32"/>
          <w:lang w:val="en-US"/>
        </w:rPr>
        <w:t xml:space="preserve"> </w:t>
      </w:r>
      <w:r w:rsidR="00345AD2" w:rsidRPr="001D2DCC">
        <w:rPr>
          <w:rFonts w:ascii="Calibri" w:hAnsi="Calibri"/>
          <w:sz w:val="32"/>
          <w:lang w:val="en-US"/>
        </w:rPr>
        <w:t>SUMMARY</w:t>
      </w:r>
    </w:p>
    <w:p w14:paraId="0CAFFFFC" w14:textId="77777777" w:rsidR="00345AD2" w:rsidRDefault="00345AD2" w:rsidP="00345AD2">
      <w:pPr>
        <w:rPr>
          <w:b/>
        </w:rPr>
      </w:pPr>
    </w:p>
    <w:p w14:paraId="7044E9A8" w14:textId="2E7DEFE7" w:rsidR="00345AD2" w:rsidRDefault="00345AD2" w:rsidP="0021450B">
      <w:pPr>
        <w:pStyle w:val="ListParagraph"/>
        <w:numPr>
          <w:ilvl w:val="0"/>
          <w:numId w:val="8"/>
        </w:numPr>
      </w:pPr>
      <w:r>
        <w:t>Build trust with and demonstrate value to prospective customers</w:t>
      </w:r>
    </w:p>
    <w:p w14:paraId="5537FF8C" w14:textId="6053942B" w:rsidR="00345AD2" w:rsidRDefault="00345AD2" w:rsidP="0021450B">
      <w:pPr>
        <w:pStyle w:val="ListParagraph"/>
        <w:numPr>
          <w:ilvl w:val="0"/>
          <w:numId w:val="8"/>
        </w:numPr>
      </w:pPr>
      <w:r>
        <w:t>Enable the sharing of positive testimony</w:t>
      </w:r>
    </w:p>
    <w:p w14:paraId="01682E8F" w14:textId="6C8882C9" w:rsidR="00345AD2" w:rsidRDefault="00345AD2" w:rsidP="0021450B">
      <w:pPr>
        <w:pStyle w:val="ListParagraph"/>
        <w:numPr>
          <w:ilvl w:val="0"/>
          <w:numId w:val="8"/>
        </w:numPr>
      </w:pPr>
      <w:r>
        <w:t>Celebrate, reward and amplify client successes and help build the personal brand of client champions</w:t>
      </w:r>
    </w:p>
    <w:p w14:paraId="0DAFA769" w14:textId="1916A685" w:rsidR="00345AD2" w:rsidRDefault="00345AD2" w:rsidP="0021450B">
      <w:pPr>
        <w:pStyle w:val="ListParagraph"/>
        <w:numPr>
          <w:ilvl w:val="0"/>
          <w:numId w:val="8"/>
        </w:numPr>
      </w:pPr>
      <w:r>
        <w:t>Differentiate from competition</w:t>
      </w:r>
    </w:p>
    <w:p w14:paraId="1EC4C8CC" w14:textId="52DBA0D8" w:rsidR="00345AD2" w:rsidRDefault="00345AD2" w:rsidP="0021450B">
      <w:pPr>
        <w:pStyle w:val="ListParagraph"/>
        <w:numPr>
          <w:ilvl w:val="0"/>
          <w:numId w:val="8"/>
        </w:numPr>
      </w:pPr>
      <w:r>
        <w:t>Increase the sales, revenue and average deal size</w:t>
      </w:r>
    </w:p>
    <w:p w14:paraId="751B247A" w14:textId="4016BC2F" w:rsidR="00321B13" w:rsidRDefault="00345AD2" w:rsidP="00321B13">
      <w:pPr>
        <w:pStyle w:val="ListParagraph"/>
        <w:numPr>
          <w:ilvl w:val="0"/>
          <w:numId w:val="8"/>
        </w:numPr>
      </w:pPr>
      <w:r>
        <w:t>Shorten the sales cycle</w:t>
      </w:r>
    </w:p>
    <w:p w14:paraId="433E1E7B" w14:textId="5D123B84" w:rsidR="00321B13" w:rsidRPr="00345AD2" w:rsidRDefault="00321B13" w:rsidP="00321B13">
      <w:pPr>
        <w:pStyle w:val="ListParagraph"/>
        <w:numPr>
          <w:ilvl w:val="0"/>
          <w:numId w:val="8"/>
        </w:numPr>
      </w:pPr>
      <w:r>
        <w:t>Internally: expand the number of client participants to include more types and avoid exhaustion</w:t>
      </w:r>
    </w:p>
    <w:p w14:paraId="0FBAC4C8" w14:textId="77777777" w:rsidR="00345AD2" w:rsidRDefault="00345AD2" w:rsidP="00D3146A">
      <w:pPr>
        <w:rPr>
          <w:b/>
        </w:rPr>
      </w:pPr>
    </w:p>
    <w:p w14:paraId="56FC147A" w14:textId="77777777" w:rsidR="00345AD2" w:rsidRDefault="00345AD2" w:rsidP="00D3146A">
      <w:pPr>
        <w:rPr>
          <w:b/>
        </w:rPr>
      </w:pPr>
    </w:p>
    <w:p w14:paraId="6B178652" w14:textId="2959704E" w:rsidR="00345AD2" w:rsidRDefault="00345AD2" w:rsidP="00D3146A">
      <w:pPr>
        <w:rPr>
          <w:b/>
        </w:rPr>
      </w:pPr>
      <w:r>
        <w:rPr>
          <w:b/>
        </w:rPr>
        <w:t>REVAMP PROCESS</w:t>
      </w:r>
    </w:p>
    <w:p w14:paraId="42C7266C" w14:textId="77777777" w:rsidR="00345AD2" w:rsidRPr="00345AD2" w:rsidRDefault="00345AD2" w:rsidP="00D3146A"/>
    <w:p w14:paraId="691ACDAC" w14:textId="7B52C2FA" w:rsidR="00345AD2" w:rsidRDefault="00345AD2" w:rsidP="00345AD2">
      <w:pPr>
        <w:pStyle w:val="ListParagraph"/>
        <w:numPr>
          <w:ilvl w:val="0"/>
          <w:numId w:val="10"/>
        </w:numPr>
      </w:pPr>
      <w:r>
        <w:t xml:space="preserve">Evaluate </w:t>
      </w:r>
      <w:r w:rsidR="004503AB">
        <w:t>the current reference efforts</w:t>
      </w:r>
      <w:r>
        <w:t xml:space="preserve"> via discovery sessions with stakeholders and </w:t>
      </w:r>
      <w:r w:rsidR="004503AB">
        <w:t>any other team</w:t>
      </w:r>
      <w:r>
        <w:t xml:space="preserve"> involved in the process</w:t>
      </w:r>
    </w:p>
    <w:p w14:paraId="1C6B6C69" w14:textId="6E39D116" w:rsidR="00345AD2" w:rsidRDefault="00345AD2" w:rsidP="00345AD2">
      <w:pPr>
        <w:pStyle w:val="ListParagraph"/>
        <w:numPr>
          <w:ilvl w:val="0"/>
          <w:numId w:val="10"/>
        </w:numPr>
      </w:pPr>
      <w:r>
        <w:t xml:space="preserve">Identify how the program can </w:t>
      </w:r>
      <w:r w:rsidR="00C44E81">
        <w:t xml:space="preserve">be improved to </w:t>
      </w:r>
      <w:r>
        <w:t xml:space="preserve">better aid other teams </w:t>
      </w:r>
      <w:r w:rsidR="00C44E81">
        <w:t>in</w:t>
      </w:r>
      <w:r>
        <w:t xml:space="preserve"> addressing their challenges, priorities and goals</w:t>
      </w:r>
    </w:p>
    <w:p w14:paraId="5F01E69E" w14:textId="653EB9D4" w:rsidR="00C44E81" w:rsidRDefault="00C44E81" w:rsidP="00345AD2">
      <w:pPr>
        <w:pStyle w:val="ListParagraph"/>
        <w:numPr>
          <w:ilvl w:val="0"/>
          <w:numId w:val="10"/>
        </w:numPr>
      </w:pPr>
      <w:r>
        <w:t>Secure incentive budget (if needed), get buy-in from the decision-makers and communicate the plan</w:t>
      </w:r>
    </w:p>
    <w:p w14:paraId="5F33D272" w14:textId="7F29122A" w:rsidR="00C44E81" w:rsidRDefault="004503AB" w:rsidP="00345AD2">
      <w:pPr>
        <w:pStyle w:val="ListParagraph"/>
        <w:numPr>
          <w:ilvl w:val="0"/>
          <w:numId w:val="10"/>
        </w:numPr>
      </w:pPr>
      <w:r>
        <w:t>Implement/</w:t>
      </w:r>
      <w:r w:rsidR="00C44E81">
        <w:t>adjust the program where needed</w:t>
      </w:r>
    </w:p>
    <w:p w14:paraId="11D4B70A" w14:textId="0DBFA79E" w:rsidR="004503AB" w:rsidRPr="00345AD2" w:rsidRDefault="004503AB" w:rsidP="00345AD2">
      <w:pPr>
        <w:pStyle w:val="ListParagraph"/>
        <w:numPr>
          <w:ilvl w:val="0"/>
          <w:numId w:val="10"/>
        </w:numPr>
      </w:pPr>
      <w:r>
        <w:t>Meet regularly with key stakeholders and provide internal communication when needed</w:t>
      </w:r>
    </w:p>
    <w:p w14:paraId="08D33308" w14:textId="77777777" w:rsidR="00345AD2" w:rsidRDefault="00345AD2" w:rsidP="00D3146A">
      <w:pPr>
        <w:rPr>
          <w:b/>
        </w:rPr>
      </w:pPr>
    </w:p>
    <w:p w14:paraId="64E08C90" w14:textId="77777777" w:rsidR="00345AD2" w:rsidRDefault="00345AD2" w:rsidP="00D3146A">
      <w:pPr>
        <w:rPr>
          <w:b/>
        </w:rPr>
      </w:pPr>
    </w:p>
    <w:p w14:paraId="6736353A" w14:textId="25A4EA8F" w:rsidR="00345AD2" w:rsidRDefault="00345AD2" w:rsidP="00D3146A">
      <w:pPr>
        <w:rPr>
          <w:b/>
        </w:rPr>
      </w:pPr>
      <w:r>
        <w:rPr>
          <w:b/>
        </w:rPr>
        <w:t>KEY STAKEHOLDERS</w:t>
      </w:r>
    </w:p>
    <w:p w14:paraId="63BB7B42" w14:textId="77777777" w:rsidR="00345AD2" w:rsidRDefault="00345AD2" w:rsidP="00D3146A">
      <w:pPr>
        <w:rPr>
          <w:b/>
        </w:rPr>
      </w:pPr>
    </w:p>
    <w:p w14:paraId="6D19D918" w14:textId="1559056A" w:rsidR="00345AD2" w:rsidRDefault="00345AD2" w:rsidP="00D3146A">
      <w:r>
        <w:t xml:space="preserve">Though the program supports </w:t>
      </w:r>
      <w:r w:rsidRPr="00345AD2">
        <w:t xml:space="preserve">the company as a whole, the following departments have the most </w:t>
      </w:r>
      <w:r>
        <w:t xml:space="preserve">significant </w:t>
      </w:r>
      <w:r w:rsidRPr="00345AD2">
        <w:t>involvement</w:t>
      </w:r>
      <w:r>
        <w:t>.</w:t>
      </w:r>
    </w:p>
    <w:p w14:paraId="139D51D5" w14:textId="77777777" w:rsidR="00345AD2" w:rsidRDefault="00345AD2" w:rsidP="00D3146A"/>
    <w:p w14:paraId="00396446" w14:textId="71E37E6C" w:rsidR="00345AD2" w:rsidRDefault="00345AD2" w:rsidP="0021450B">
      <w:pPr>
        <w:pStyle w:val="ListParagraph"/>
        <w:numPr>
          <w:ilvl w:val="0"/>
          <w:numId w:val="9"/>
        </w:numPr>
        <w:ind w:left="720"/>
      </w:pPr>
      <w:r>
        <w:t>Sales</w:t>
      </w:r>
    </w:p>
    <w:p w14:paraId="13C7C529" w14:textId="12955ED7" w:rsidR="00345AD2" w:rsidRDefault="00345AD2" w:rsidP="0021450B">
      <w:pPr>
        <w:pStyle w:val="ListParagraph"/>
        <w:numPr>
          <w:ilvl w:val="0"/>
          <w:numId w:val="9"/>
        </w:numPr>
        <w:ind w:left="720"/>
      </w:pPr>
      <w:r>
        <w:t>Client Success and Renewals</w:t>
      </w:r>
    </w:p>
    <w:p w14:paraId="3F75EED8" w14:textId="2368454C" w:rsidR="00345AD2" w:rsidRDefault="00345AD2" w:rsidP="0021450B">
      <w:pPr>
        <w:pStyle w:val="ListParagraph"/>
        <w:numPr>
          <w:ilvl w:val="0"/>
          <w:numId w:val="9"/>
        </w:numPr>
        <w:ind w:left="720"/>
      </w:pPr>
      <w:r>
        <w:t>Marketing</w:t>
      </w:r>
    </w:p>
    <w:p w14:paraId="2974E49C" w14:textId="0472F185" w:rsidR="00A614C1" w:rsidRPr="00345AD2" w:rsidRDefault="00A614C1" w:rsidP="0021450B">
      <w:pPr>
        <w:pStyle w:val="ListParagraph"/>
        <w:numPr>
          <w:ilvl w:val="0"/>
          <w:numId w:val="9"/>
        </w:numPr>
        <w:ind w:left="720"/>
      </w:pPr>
      <w:r>
        <w:t xml:space="preserve">Brand &amp; </w:t>
      </w:r>
      <w:proofErr w:type="spellStart"/>
      <w:r>
        <w:t>Comms</w:t>
      </w:r>
      <w:proofErr w:type="spellEnd"/>
    </w:p>
    <w:p w14:paraId="13AA6216" w14:textId="77777777" w:rsidR="00345AD2" w:rsidRDefault="00345AD2" w:rsidP="00D3146A">
      <w:pPr>
        <w:rPr>
          <w:b/>
        </w:rPr>
      </w:pPr>
    </w:p>
    <w:p w14:paraId="34E21968" w14:textId="77777777" w:rsidR="009A0B2B" w:rsidRDefault="009A0B2B" w:rsidP="00D3146A">
      <w:pPr>
        <w:rPr>
          <w:b/>
        </w:rPr>
      </w:pPr>
    </w:p>
    <w:p w14:paraId="1FAA736D" w14:textId="77777777" w:rsidR="00345AD2" w:rsidRDefault="00345AD2" w:rsidP="00D3146A">
      <w:pPr>
        <w:rPr>
          <w:b/>
        </w:rPr>
      </w:pPr>
    </w:p>
    <w:p w14:paraId="1D4BEEE3" w14:textId="4F90479E" w:rsidR="00345AD2" w:rsidRPr="001D2DCC" w:rsidRDefault="001D2DCC" w:rsidP="00345AD2">
      <w:pPr>
        <w:pStyle w:val="Heading1"/>
        <w:rPr>
          <w:rFonts w:ascii="Calibri" w:hAnsi="Calibri"/>
          <w:sz w:val="32"/>
          <w:lang w:val="en-US"/>
        </w:rPr>
      </w:pPr>
      <w:r w:rsidRPr="001D2DCC">
        <w:rPr>
          <w:rFonts w:ascii="Calibri" w:hAnsi="Calibri"/>
          <w:sz w:val="32"/>
          <w:lang w:val="en-US"/>
        </w:rPr>
        <w:t xml:space="preserve">2. </w:t>
      </w:r>
      <w:r w:rsidR="00194401">
        <w:rPr>
          <w:rFonts w:ascii="Calibri" w:hAnsi="Calibri"/>
          <w:sz w:val="32"/>
          <w:lang w:val="en-US"/>
        </w:rPr>
        <w:t xml:space="preserve"> </w:t>
      </w:r>
      <w:r w:rsidR="00345AD2" w:rsidRPr="001D2DCC">
        <w:rPr>
          <w:rFonts w:ascii="Calibri" w:hAnsi="Calibri"/>
          <w:sz w:val="32"/>
          <w:lang w:val="en-US"/>
        </w:rPr>
        <w:t>PROGRAM REPOSITIONING</w:t>
      </w:r>
    </w:p>
    <w:p w14:paraId="0088DB26" w14:textId="77777777" w:rsidR="00345AD2" w:rsidRDefault="00345AD2" w:rsidP="00D3146A">
      <w:pPr>
        <w:rPr>
          <w:b/>
        </w:rPr>
      </w:pPr>
    </w:p>
    <w:p w14:paraId="3DBE6A02" w14:textId="39E107D6" w:rsidR="00345AD2" w:rsidRPr="00C44E81" w:rsidRDefault="00D3146A" w:rsidP="00D3146A">
      <w:r>
        <w:t xml:space="preserve">“Client Reference Program” is a misnomer, as it </w:t>
      </w:r>
      <w:r w:rsidRPr="00165983">
        <w:t xml:space="preserve">sends the impression that the </w:t>
      </w:r>
      <w:r>
        <w:t>program</w:t>
      </w:r>
      <w:r w:rsidRPr="00165983">
        <w:t xml:space="preserve"> is limited in </w:t>
      </w:r>
      <w:r>
        <w:t xml:space="preserve">scope and does not fully convey what it is comprised of, what it can do, what company efforts it supports and the multitude of stakeholders. “Serving as a reference” is just one of many manifestations of a client who is willing to champion Bazaarvoice. The real </w:t>
      </w:r>
      <w:r w:rsidRPr="00165983">
        <w:t>int</w:t>
      </w:r>
      <w:r>
        <w:t>ent is an Advocacy Marketing Program – a base of clients</w:t>
      </w:r>
      <w:r w:rsidRPr="00165983">
        <w:t xml:space="preserve"> who would be willing </w:t>
      </w:r>
      <w:r>
        <w:t>to be more vocal and supportive of Bazaarvoice, beyond just fielding reference request emails, phone calls, RFPs and various one-off requests.</w:t>
      </w:r>
    </w:p>
    <w:p w14:paraId="00A8A177" w14:textId="77777777" w:rsidR="00345AD2" w:rsidRDefault="00345AD2" w:rsidP="00D3146A"/>
    <w:p w14:paraId="1CC23F67" w14:textId="13F4027C" w:rsidR="00D3146A" w:rsidRPr="00165983" w:rsidRDefault="00D3146A" w:rsidP="00D3146A">
      <w:r>
        <w:lastRenderedPageBreak/>
        <w:t>The program should be broadened in where it sources advocates and how it leverages them.</w:t>
      </w:r>
      <w:r w:rsidR="00744AD1">
        <w:t xml:space="preserve"> It should also have a unique “branded” name.</w:t>
      </w:r>
    </w:p>
    <w:p w14:paraId="63070B5D" w14:textId="77777777" w:rsidR="00D3146A" w:rsidRDefault="00D3146A" w:rsidP="00D3146A"/>
    <w:p w14:paraId="204BCA6D" w14:textId="77777777" w:rsidR="00D3146A" w:rsidRDefault="00D3146A" w:rsidP="0021450B">
      <w:pPr>
        <w:numPr>
          <w:ilvl w:val="0"/>
          <w:numId w:val="5"/>
        </w:numPr>
        <w:ind w:left="720"/>
      </w:pPr>
      <w:r w:rsidRPr="007853E1">
        <w:t>Partner more closely with CS</w:t>
      </w:r>
      <w:r>
        <w:t xml:space="preserve"> to identify potential candidates and for outreach/client communication; partner more closely with Sales and Renewals for formal agreements</w:t>
      </w:r>
    </w:p>
    <w:p w14:paraId="16A170B2" w14:textId="77777777" w:rsidR="00D3146A" w:rsidRDefault="00D3146A" w:rsidP="0021450B">
      <w:pPr>
        <w:numPr>
          <w:ilvl w:val="0"/>
          <w:numId w:val="5"/>
        </w:numPr>
        <w:ind w:left="720"/>
      </w:pPr>
      <w:r>
        <w:t>Expand the scope of involvement of our current client participants by asking them to do more than be just field reference calls/emails/RFPs</w:t>
      </w:r>
    </w:p>
    <w:p w14:paraId="4A6D1FE0" w14:textId="77777777" w:rsidR="00D3146A" w:rsidRDefault="00D3146A" w:rsidP="0021450B">
      <w:pPr>
        <w:numPr>
          <w:ilvl w:val="0"/>
          <w:numId w:val="5"/>
        </w:numPr>
        <w:ind w:left="720"/>
      </w:pPr>
      <w:r>
        <w:t>Include more internal incentivization</w:t>
      </w:r>
    </w:p>
    <w:p w14:paraId="576CAB97" w14:textId="77777777" w:rsidR="00D3146A" w:rsidRDefault="00D3146A" w:rsidP="0021450B">
      <w:pPr>
        <w:numPr>
          <w:ilvl w:val="0"/>
          <w:numId w:val="5"/>
        </w:numPr>
        <w:ind w:left="720"/>
      </w:pPr>
      <w:r>
        <w:t>Improve messaging to shift from an Ask to an Invitation, while better communicating what’s in it for them</w:t>
      </w:r>
    </w:p>
    <w:p w14:paraId="7EFFAA2D" w14:textId="77777777" w:rsidR="00D3146A" w:rsidRDefault="00D3146A" w:rsidP="0021450B">
      <w:pPr>
        <w:numPr>
          <w:ilvl w:val="0"/>
          <w:numId w:val="5"/>
        </w:numPr>
        <w:ind w:left="720"/>
      </w:pPr>
      <w:r>
        <w:t xml:space="preserve">Focus more on high-impact involvement, including case studies, </w:t>
      </w:r>
      <w:proofErr w:type="gramStart"/>
      <w:r>
        <w:t>Inspire</w:t>
      </w:r>
      <w:proofErr w:type="gramEnd"/>
      <w:r>
        <w:t xml:space="preserve"> speaking engagements, co-hosted webinars, press, etc.</w:t>
      </w:r>
    </w:p>
    <w:p w14:paraId="466C7A03" w14:textId="77777777" w:rsidR="00C44E81" w:rsidRDefault="00D3146A" w:rsidP="0021450B">
      <w:pPr>
        <w:numPr>
          <w:ilvl w:val="0"/>
          <w:numId w:val="5"/>
        </w:numPr>
        <w:ind w:left="720"/>
      </w:pPr>
      <w:r>
        <w:t>Identify industries, topics</w:t>
      </w:r>
      <w:r w:rsidR="00C44E81">
        <w:t>/stories</w:t>
      </w:r>
      <w:r>
        <w:t xml:space="preserve"> and Bazaarvoice products</w:t>
      </w:r>
      <w:r w:rsidR="00C44E81">
        <w:t>/solutions</w:t>
      </w:r>
      <w:r>
        <w:t xml:space="preserve"> to target more aggressively and coordinate with Sales to identify what the team needs</w:t>
      </w:r>
      <w:bookmarkStart w:id="2" w:name="_Toc451940142"/>
    </w:p>
    <w:p w14:paraId="7AFC6453" w14:textId="1D5807B9" w:rsidR="00C44E81" w:rsidRDefault="00C44E81" w:rsidP="0021450B">
      <w:pPr>
        <w:numPr>
          <w:ilvl w:val="0"/>
          <w:numId w:val="5"/>
        </w:numPr>
        <w:ind w:left="720"/>
      </w:pPr>
      <w:r>
        <w:t>Track reference-attributed sales</w:t>
      </w:r>
    </w:p>
    <w:bookmarkEnd w:id="2"/>
    <w:p w14:paraId="4AA6DF57" w14:textId="77777777" w:rsidR="00C44E81" w:rsidRPr="00C44E81" w:rsidRDefault="00C44E81" w:rsidP="00C44E81"/>
    <w:p w14:paraId="12503EF7" w14:textId="77777777" w:rsidR="00C44E81" w:rsidRDefault="00C44E81" w:rsidP="00C44E81"/>
    <w:p w14:paraId="60F570EA" w14:textId="77777777" w:rsidR="009A0B2B" w:rsidRPr="00C44E81" w:rsidRDefault="009A0B2B" w:rsidP="00C44E81"/>
    <w:p w14:paraId="3CE8D101" w14:textId="0C846E83" w:rsidR="00C44E81" w:rsidRPr="001D2DCC" w:rsidRDefault="001D2DCC" w:rsidP="00C44E81">
      <w:pPr>
        <w:pStyle w:val="Heading1"/>
        <w:rPr>
          <w:rFonts w:ascii="Calibri" w:hAnsi="Calibri"/>
          <w:sz w:val="32"/>
          <w:lang w:val="en-US"/>
        </w:rPr>
      </w:pPr>
      <w:r w:rsidRPr="001D2DCC">
        <w:rPr>
          <w:rFonts w:ascii="Calibri" w:hAnsi="Calibri"/>
          <w:sz w:val="32"/>
          <w:lang w:val="en-US"/>
        </w:rPr>
        <w:t xml:space="preserve">3. </w:t>
      </w:r>
      <w:r w:rsidR="00194401">
        <w:rPr>
          <w:rFonts w:ascii="Calibri" w:hAnsi="Calibri"/>
          <w:sz w:val="32"/>
          <w:lang w:val="en-US"/>
        </w:rPr>
        <w:t xml:space="preserve"> </w:t>
      </w:r>
      <w:r w:rsidR="00C44E81" w:rsidRPr="001D2DCC">
        <w:rPr>
          <w:rFonts w:ascii="Calibri" w:hAnsi="Calibri"/>
          <w:sz w:val="32"/>
          <w:lang w:val="en-US"/>
        </w:rPr>
        <w:t>SOURCES</w:t>
      </w:r>
    </w:p>
    <w:p w14:paraId="5B99000A" w14:textId="48D601A6" w:rsidR="00C44E81" w:rsidRPr="00C44E81" w:rsidRDefault="00D3146A" w:rsidP="00D3146A">
      <w:pPr>
        <w:pStyle w:val="Heading2NM"/>
        <w:rPr>
          <w:rFonts w:ascii="Calibri" w:hAnsi="Calibri"/>
          <w:b w:val="0"/>
          <w:sz w:val="21"/>
          <w:szCs w:val="21"/>
        </w:rPr>
      </w:pPr>
      <w:r w:rsidRPr="00515F76">
        <w:rPr>
          <w:rFonts w:ascii="Calibri" w:hAnsi="Calibri"/>
          <w:sz w:val="21"/>
          <w:szCs w:val="21"/>
        </w:rPr>
        <w:br/>
      </w:r>
      <w:bookmarkStart w:id="3" w:name="_Toc451940143"/>
      <w:r w:rsidR="002D1C0E">
        <w:rPr>
          <w:rFonts w:ascii="Calibri" w:hAnsi="Calibri"/>
          <w:b w:val="0"/>
          <w:sz w:val="21"/>
          <w:szCs w:val="21"/>
        </w:rPr>
        <w:t>In an effort to expand the types of references and avoid exhausting any, a primary focus of the program is to constantly add more references.</w:t>
      </w:r>
    </w:p>
    <w:p w14:paraId="50FC52AC" w14:textId="77777777" w:rsidR="00C44E81" w:rsidRDefault="00C44E81" w:rsidP="00D3146A">
      <w:pPr>
        <w:pStyle w:val="Heading2NM"/>
        <w:rPr>
          <w:rFonts w:ascii="Calibri" w:hAnsi="Calibri"/>
          <w:sz w:val="21"/>
          <w:szCs w:val="21"/>
        </w:rPr>
      </w:pPr>
    </w:p>
    <w:p w14:paraId="73DD4FFA" w14:textId="17A3719A" w:rsidR="00D3146A" w:rsidRDefault="00D3146A" w:rsidP="00D3146A">
      <w:pPr>
        <w:pStyle w:val="Heading2NM"/>
        <w:rPr>
          <w:rFonts w:ascii="Calibri" w:hAnsi="Calibri"/>
          <w:sz w:val="21"/>
          <w:szCs w:val="21"/>
        </w:rPr>
      </w:pPr>
      <w:r>
        <w:rPr>
          <w:rFonts w:ascii="Calibri" w:hAnsi="Calibri"/>
          <w:sz w:val="21"/>
          <w:szCs w:val="21"/>
        </w:rPr>
        <w:t>CLIENT SUCCESS</w:t>
      </w:r>
      <w:bookmarkEnd w:id="3"/>
      <w:r w:rsidRPr="00515F76">
        <w:rPr>
          <w:rFonts w:ascii="Calibri" w:hAnsi="Calibri"/>
          <w:sz w:val="21"/>
          <w:szCs w:val="21"/>
        </w:rPr>
        <w:t xml:space="preserve"> </w:t>
      </w:r>
    </w:p>
    <w:p w14:paraId="1964E493" w14:textId="77777777" w:rsidR="00FA3200" w:rsidRPr="00515F76" w:rsidRDefault="00FA3200" w:rsidP="00D3146A">
      <w:pPr>
        <w:pStyle w:val="Heading2NM"/>
        <w:rPr>
          <w:rFonts w:ascii="Calibri" w:hAnsi="Calibri"/>
          <w:sz w:val="21"/>
          <w:szCs w:val="21"/>
          <w:lang w:val="en-US"/>
        </w:rPr>
      </w:pPr>
    </w:p>
    <w:p w14:paraId="0C52169F" w14:textId="70A67975" w:rsidR="00D3146A" w:rsidRDefault="00D3146A" w:rsidP="00194401">
      <w:pPr>
        <w:numPr>
          <w:ilvl w:val="0"/>
          <w:numId w:val="2"/>
        </w:numPr>
        <w:ind w:left="360"/>
      </w:pPr>
      <w:r w:rsidRPr="00F14897">
        <w:rPr>
          <w:b/>
        </w:rPr>
        <w:t>Client Stories</w:t>
      </w:r>
      <w:r>
        <w:t xml:space="preserve">: This will likely be the primary and most effective source. Currently, the quarterly stories are generally housed only internally and not being utilized by other Bazaarvoice teams, </w:t>
      </w:r>
      <w:r w:rsidR="00EE4B92">
        <w:t>limiting the value of the them</w:t>
      </w:r>
      <w:r>
        <w:t>.</w:t>
      </w:r>
    </w:p>
    <w:p w14:paraId="443A7B59" w14:textId="77777777" w:rsidR="00D3146A" w:rsidRDefault="00D3146A" w:rsidP="00194401">
      <w:pPr>
        <w:numPr>
          <w:ilvl w:val="1"/>
          <w:numId w:val="3"/>
        </w:numPr>
        <w:ind w:left="1080"/>
      </w:pPr>
      <w:r>
        <w:t>Training CSDs on strategy for asking the clients for permission to share externally</w:t>
      </w:r>
    </w:p>
    <w:p w14:paraId="129AD7E8" w14:textId="77777777" w:rsidR="00D3146A" w:rsidRDefault="00D3146A" w:rsidP="00194401">
      <w:pPr>
        <w:numPr>
          <w:ilvl w:val="1"/>
          <w:numId w:val="3"/>
        </w:numPr>
        <w:ind w:left="1080"/>
      </w:pPr>
      <w:r>
        <w:t>Mine previous client stories for opportunities</w:t>
      </w:r>
    </w:p>
    <w:p w14:paraId="59599933" w14:textId="77777777" w:rsidR="00D3146A" w:rsidRDefault="00D3146A" w:rsidP="00194401">
      <w:pPr>
        <w:numPr>
          <w:ilvl w:val="1"/>
          <w:numId w:val="3"/>
        </w:numPr>
        <w:ind w:left="1080"/>
      </w:pPr>
      <w:r>
        <w:t>Incentivize CSDs for supporting the reference program by reallocating current prize money budget to pay out CSDs who support the reference program in some fashion. This could be direct payment to all supporters or entrance into a sweepstakes and could be tiered based on the result (one amount for getting approval to share externally, a higher amount of willingness to serve as reference and another higher amount for case studies, webinars and other more valuable initiatives.</w:t>
      </w:r>
    </w:p>
    <w:p w14:paraId="5D572306" w14:textId="5FF322CB" w:rsidR="00D3146A" w:rsidRDefault="00D3146A" w:rsidP="00194401">
      <w:pPr>
        <w:numPr>
          <w:ilvl w:val="1"/>
          <w:numId w:val="3"/>
        </w:numPr>
        <w:ind w:left="1080"/>
      </w:pPr>
      <w:r>
        <w:t>Mold the stories into a format that is</w:t>
      </w:r>
      <w:r w:rsidR="00183044">
        <w:t xml:space="preserve"> preferred by sales (one-pager PDFs and</w:t>
      </w:r>
      <w:r>
        <w:t xml:space="preserve"> single slides</w:t>
      </w:r>
      <w:r w:rsidR="004503AB">
        <w:t>)</w:t>
      </w:r>
    </w:p>
    <w:p w14:paraId="72E793CA" w14:textId="77777777" w:rsidR="00D3146A" w:rsidRDefault="00D3146A" w:rsidP="00194401">
      <w:pPr>
        <w:ind w:left="1080"/>
      </w:pPr>
    </w:p>
    <w:p w14:paraId="391D9AD4" w14:textId="60A7C19F" w:rsidR="00D3146A" w:rsidRDefault="00D3146A" w:rsidP="00194401">
      <w:pPr>
        <w:numPr>
          <w:ilvl w:val="0"/>
          <w:numId w:val="2"/>
        </w:numPr>
        <w:ind w:left="360"/>
      </w:pPr>
      <w:r w:rsidRPr="00F91269">
        <w:rPr>
          <w:b/>
        </w:rPr>
        <w:t>Gainsight health scores</w:t>
      </w:r>
      <w:r>
        <w:t xml:space="preserve">: This </w:t>
      </w:r>
      <w:r w:rsidR="00027395">
        <w:t>source</w:t>
      </w:r>
      <w:r>
        <w:t xml:space="preserve"> is contingent on CSDs keeping scores updated</w:t>
      </w:r>
    </w:p>
    <w:p w14:paraId="3FC986F7" w14:textId="741069A3" w:rsidR="00D3146A" w:rsidRDefault="00D3146A" w:rsidP="00194401">
      <w:pPr>
        <w:numPr>
          <w:ilvl w:val="2"/>
          <w:numId w:val="2"/>
        </w:numPr>
        <w:ind w:left="1080"/>
      </w:pPr>
      <w:r>
        <w:t>Quarterly</w:t>
      </w:r>
      <w:r w:rsidRPr="004E2114">
        <w:t xml:space="preserve"> </w:t>
      </w:r>
      <w:r w:rsidRPr="00F91269">
        <w:t xml:space="preserve">reports </w:t>
      </w:r>
      <w:r>
        <w:t xml:space="preserve">on </w:t>
      </w:r>
      <w:r w:rsidR="00F776C7">
        <w:t>high</w:t>
      </w:r>
      <w:r>
        <w:t xml:space="preserve"> overall scores, with special consideration given to the Champion Present field score, followed by outreach to CSD for confirmation</w:t>
      </w:r>
    </w:p>
    <w:p w14:paraId="0448FE5A" w14:textId="77777777" w:rsidR="003848A4" w:rsidRPr="003848A4" w:rsidRDefault="003848A4" w:rsidP="00194401">
      <w:pPr>
        <w:ind w:left="360"/>
      </w:pPr>
    </w:p>
    <w:p w14:paraId="198BAE96" w14:textId="77777777" w:rsidR="004503AB" w:rsidRDefault="003848A4" w:rsidP="004503AB">
      <w:pPr>
        <w:numPr>
          <w:ilvl w:val="0"/>
          <w:numId w:val="2"/>
        </w:numPr>
        <w:ind w:left="360"/>
      </w:pPr>
      <w:r>
        <w:rPr>
          <w:b/>
        </w:rPr>
        <w:t>Renewals</w:t>
      </w:r>
      <w:r>
        <w:t>: Add point incentive for RSDs when reference item is added to agreement (similar to EDR and other points)</w:t>
      </w:r>
    </w:p>
    <w:p w14:paraId="329A7F44" w14:textId="7A406FF5" w:rsidR="004503AB" w:rsidRDefault="004503AB" w:rsidP="004503AB">
      <w:pPr>
        <w:numPr>
          <w:ilvl w:val="0"/>
          <w:numId w:val="2"/>
        </w:numPr>
        <w:ind w:left="360"/>
      </w:pPr>
      <w:r w:rsidRPr="004503AB">
        <w:rPr>
          <w:b/>
        </w:rPr>
        <w:t>Solicitation:</w:t>
      </w:r>
      <w:r>
        <w:t xml:space="preserve"> </w:t>
      </w:r>
      <w:r w:rsidRPr="004503AB">
        <w:t xml:space="preserve">occasional direct outreach </w:t>
      </w:r>
      <w:r>
        <w:t>to CSDs</w:t>
      </w:r>
    </w:p>
    <w:p w14:paraId="3D8E6356" w14:textId="77777777" w:rsidR="00EE4B92" w:rsidRDefault="00EE4B92" w:rsidP="00EE4B92"/>
    <w:p w14:paraId="1A859EF4" w14:textId="5D1C3169" w:rsidR="00EE4B92" w:rsidRDefault="00EE4B92" w:rsidP="00EE4B92">
      <w:r>
        <w:t>Consider providing visibility into CSD individual participation to foster “competition” and showcase top contributors.</w:t>
      </w:r>
    </w:p>
    <w:p w14:paraId="036FCD1E" w14:textId="77777777" w:rsidR="00D3146A" w:rsidRDefault="00D3146A" w:rsidP="00027395"/>
    <w:p w14:paraId="731CA1C8" w14:textId="77777777" w:rsidR="00D3146A" w:rsidRDefault="00D3146A" w:rsidP="00D3146A"/>
    <w:p w14:paraId="2C77641A" w14:textId="77777777" w:rsidR="00D3146A" w:rsidRDefault="00D3146A" w:rsidP="00D3146A">
      <w:pPr>
        <w:rPr>
          <w:b/>
        </w:rPr>
      </w:pPr>
      <w:r>
        <w:rPr>
          <w:b/>
        </w:rPr>
        <w:t>SALES</w:t>
      </w:r>
    </w:p>
    <w:p w14:paraId="7DA4482D" w14:textId="77777777" w:rsidR="003848A4" w:rsidRPr="00473457" w:rsidRDefault="003848A4" w:rsidP="00D3146A">
      <w:pPr>
        <w:rPr>
          <w:b/>
        </w:rPr>
      </w:pPr>
    </w:p>
    <w:p w14:paraId="7B480964" w14:textId="77777777" w:rsidR="00D3146A" w:rsidRDefault="00D3146A" w:rsidP="00194401">
      <w:r w:rsidRPr="00283F5E">
        <w:rPr>
          <w:b/>
        </w:rPr>
        <w:t>Service Orders</w:t>
      </w:r>
      <w:r>
        <w:t xml:space="preserve">: </w:t>
      </w:r>
      <w:r w:rsidRPr="00283F5E">
        <w:t>Continue including Client Collaboration clause in SOs and create a way for RSDs and CSDs to be cognizant of which clients have this agreement and a way to follow-up bi-annually or during renewal negotiations</w:t>
      </w:r>
      <w:r>
        <w:t xml:space="preserve"> (similar to RSDs success with EDR)</w:t>
      </w:r>
    </w:p>
    <w:p w14:paraId="2271EEB8" w14:textId="7A3CFE35" w:rsidR="003848A4" w:rsidRPr="00194401" w:rsidRDefault="003848A4" w:rsidP="00194401"/>
    <w:p w14:paraId="50700269" w14:textId="77777777" w:rsidR="00D3146A" w:rsidRPr="00CE7730" w:rsidRDefault="00D3146A" w:rsidP="00D3146A"/>
    <w:p w14:paraId="7419658F" w14:textId="77777777" w:rsidR="00D3146A" w:rsidRDefault="00D3146A" w:rsidP="00D3146A">
      <w:pPr>
        <w:rPr>
          <w:b/>
        </w:rPr>
      </w:pPr>
      <w:r>
        <w:rPr>
          <w:b/>
        </w:rPr>
        <w:t>OTHER</w:t>
      </w:r>
    </w:p>
    <w:p w14:paraId="07DFD2CD" w14:textId="77777777" w:rsidR="003848A4" w:rsidRPr="00283F5E" w:rsidRDefault="003848A4" w:rsidP="00D3146A">
      <w:pPr>
        <w:rPr>
          <w:b/>
        </w:rPr>
      </w:pPr>
    </w:p>
    <w:p w14:paraId="0D5A22FA" w14:textId="77777777" w:rsidR="00D3146A" w:rsidRDefault="00D3146A" w:rsidP="00194401">
      <w:pPr>
        <w:numPr>
          <w:ilvl w:val="0"/>
          <w:numId w:val="6"/>
        </w:numPr>
        <w:ind w:left="360"/>
      </w:pPr>
      <w:r>
        <w:rPr>
          <w:b/>
        </w:rPr>
        <w:t>CSATs</w:t>
      </w:r>
      <w:r>
        <w:t>: Powered by the Strategic Programs team and includes field for NPS</w:t>
      </w:r>
    </w:p>
    <w:p w14:paraId="55FC8665" w14:textId="77777777" w:rsidR="00D3146A" w:rsidRPr="00F3429F" w:rsidRDefault="00D3146A" w:rsidP="00194401">
      <w:pPr>
        <w:numPr>
          <w:ilvl w:val="0"/>
          <w:numId w:val="6"/>
        </w:numPr>
        <w:ind w:left="360"/>
      </w:pPr>
      <w:r w:rsidRPr="0042203E">
        <w:rPr>
          <w:b/>
        </w:rPr>
        <w:t>Expand</w:t>
      </w:r>
      <w:r>
        <w:t xml:space="preserve"> </w:t>
      </w:r>
      <w:r w:rsidRPr="0042203E">
        <w:rPr>
          <w:b/>
        </w:rPr>
        <w:t>commitment level of current members</w:t>
      </w:r>
    </w:p>
    <w:p w14:paraId="78930D42" w14:textId="4F5829D2" w:rsidR="00F3429F" w:rsidRDefault="00F3429F" w:rsidP="00194401">
      <w:pPr>
        <w:numPr>
          <w:ilvl w:val="0"/>
          <w:numId w:val="6"/>
        </w:numPr>
        <w:ind w:left="360"/>
      </w:pPr>
      <w:r>
        <w:rPr>
          <w:b/>
        </w:rPr>
        <w:t xml:space="preserve">SO tracking/notifications: </w:t>
      </w:r>
      <w:r w:rsidRPr="00F3429F">
        <w:t>Make IPM, CSD a</w:t>
      </w:r>
      <w:r>
        <w:t xml:space="preserve">nd RSD aware of clients with service order reference clauses (see above) to ensure high quality service; </w:t>
      </w:r>
      <w:r w:rsidR="00FF209A">
        <w:t>Occasional</w:t>
      </w:r>
      <w:r>
        <w:t xml:space="preserve"> </w:t>
      </w:r>
      <w:r w:rsidR="00FF209A">
        <w:t xml:space="preserve">Gainsight </w:t>
      </w:r>
      <w:r>
        <w:t>alerts/reminders</w:t>
      </w:r>
      <w:r w:rsidR="00FF209A">
        <w:t xml:space="preserve"> to CSD</w:t>
      </w:r>
      <w:r w:rsidR="00194401">
        <w:t xml:space="preserve"> and to RSD at time of renewal</w:t>
      </w:r>
    </w:p>
    <w:p w14:paraId="53BCA5A9" w14:textId="1FEF18E3" w:rsidR="00D3146A" w:rsidRPr="002D1C0E" w:rsidRDefault="00194401" w:rsidP="002D1C0E">
      <w:pPr>
        <w:numPr>
          <w:ilvl w:val="0"/>
          <w:numId w:val="6"/>
        </w:numPr>
        <w:ind w:left="360"/>
      </w:pPr>
      <w:r>
        <w:rPr>
          <w:b/>
        </w:rPr>
        <w:t>Inspire feedback surveys:</w:t>
      </w:r>
      <w:r>
        <w:t xml:space="preserve"> </w:t>
      </w:r>
      <w:r w:rsidRPr="00194401">
        <w:t>digitize the</w:t>
      </w:r>
      <w:r>
        <w:rPr>
          <w:b/>
        </w:rPr>
        <w:t xml:space="preserve"> </w:t>
      </w:r>
      <w:r>
        <w:t>survey, add a relevant field/question to include NPS or “how likely are you to recommend Bazaarvoice…” type question, CSD outreach to all attendees and consider incentivizing CSDs on client attendance</w:t>
      </w:r>
    </w:p>
    <w:p w14:paraId="072C1D7D" w14:textId="77777777" w:rsidR="00D3146A" w:rsidRPr="002D1C0E" w:rsidRDefault="00D3146A" w:rsidP="002D1C0E"/>
    <w:p w14:paraId="4273F6C3" w14:textId="77777777" w:rsidR="00D3146A" w:rsidRPr="002D1C0E" w:rsidRDefault="00D3146A" w:rsidP="002D1C0E"/>
    <w:p w14:paraId="75CE7313" w14:textId="15663177" w:rsidR="00D3146A" w:rsidRPr="001D2DCC" w:rsidRDefault="001D2DCC" w:rsidP="00D3146A">
      <w:pPr>
        <w:pStyle w:val="Heading1"/>
        <w:rPr>
          <w:rFonts w:ascii="Calibri" w:hAnsi="Calibri"/>
          <w:sz w:val="32"/>
          <w:lang w:val="en-US"/>
        </w:rPr>
      </w:pPr>
      <w:r w:rsidRPr="001D2DCC">
        <w:rPr>
          <w:rFonts w:ascii="Calibri" w:hAnsi="Calibri"/>
          <w:sz w:val="32"/>
        </w:rPr>
        <w:t xml:space="preserve">4. </w:t>
      </w:r>
      <w:bookmarkStart w:id="4" w:name="_Toc451940144"/>
      <w:r w:rsidR="00194401">
        <w:rPr>
          <w:rFonts w:ascii="Calibri" w:hAnsi="Calibri"/>
          <w:sz w:val="32"/>
        </w:rPr>
        <w:t xml:space="preserve"> </w:t>
      </w:r>
      <w:r w:rsidR="00D3146A" w:rsidRPr="001D2DCC">
        <w:rPr>
          <w:rFonts w:ascii="Calibri" w:hAnsi="Calibri"/>
          <w:sz w:val="32"/>
        </w:rPr>
        <w:t>PRIORITIZED COMMITMENT LEVELS</w:t>
      </w:r>
      <w:bookmarkEnd w:id="4"/>
      <w:r w:rsidR="007F604F" w:rsidRPr="001D2DCC">
        <w:rPr>
          <w:rFonts w:ascii="Calibri" w:hAnsi="Calibri"/>
          <w:sz w:val="32"/>
        </w:rPr>
        <w:t xml:space="preserve"> AND INDUSTRIES</w:t>
      </w:r>
    </w:p>
    <w:p w14:paraId="0C2190BF" w14:textId="340F2823" w:rsidR="00D3146A" w:rsidRPr="009514D1" w:rsidRDefault="00D3146A" w:rsidP="00D3146A">
      <w:pPr>
        <w:pStyle w:val="Heading2NM"/>
        <w:rPr>
          <w:rFonts w:ascii="Calibri" w:hAnsi="Calibri"/>
          <w:sz w:val="21"/>
          <w:szCs w:val="21"/>
        </w:rPr>
      </w:pPr>
    </w:p>
    <w:p w14:paraId="22494BEA" w14:textId="5A73F811" w:rsidR="009514D1" w:rsidRPr="007F604F" w:rsidRDefault="009514D1" w:rsidP="007F604F">
      <w:r w:rsidRPr="007F604F">
        <w:t xml:space="preserve">The current reference program is comprised </w:t>
      </w:r>
      <w:r w:rsidR="00977E29" w:rsidRPr="007F604F">
        <w:t xml:space="preserve">primarily </w:t>
      </w:r>
      <w:r w:rsidRPr="007F604F">
        <w:t>of low-impact commitments</w:t>
      </w:r>
      <w:r w:rsidR="00977E29" w:rsidRPr="007F604F">
        <w:t>, with ~57% of participants having only agreed to provide a l</w:t>
      </w:r>
      <w:r w:rsidR="007F604F">
        <w:t>ogo or field reference requests</w:t>
      </w:r>
      <w:r w:rsidR="00917ACE">
        <w:t xml:space="preserve">, and 39 Bazaarvoice industries have no references. </w:t>
      </w:r>
    </w:p>
    <w:p w14:paraId="5B8BEE7E" w14:textId="77777777" w:rsidR="009514D1" w:rsidRDefault="009514D1" w:rsidP="00D3146A">
      <w:pPr>
        <w:pStyle w:val="Heading2NM"/>
      </w:pPr>
    </w:p>
    <w:p w14:paraId="6996DC3D" w14:textId="59B95A35" w:rsidR="009514D1" w:rsidRDefault="009514D1" w:rsidP="00D3146A">
      <w:pPr>
        <w:pStyle w:val="Heading2NM"/>
      </w:pPr>
      <w:r>
        <w:rPr>
          <w:noProof/>
          <w:lang w:val="en-US" w:eastAsia="en-US"/>
        </w:rPr>
        <w:drawing>
          <wp:inline distT="0" distB="0" distL="0" distR="0" wp14:anchorId="36C69A8A" wp14:editId="5C19D263">
            <wp:extent cx="5943600" cy="338582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7E9477C" w14:textId="77777777" w:rsidR="00030EB2" w:rsidRDefault="00030EB2" w:rsidP="00D3146A">
      <w:pPr>
        <w:jc w:val="center"/>
      </w:pPr>
    </w:p>
    <w:p w14:paraId="055BCFD1" w14:textId="77777777" w:rsidR="00737D81" w:rsidRDefault="00A27D36" w:rsidP="00737D81">
      <w:pPr>
        <w:jc w:val="center"/>
        <w:rPr>
          <w:b/>
          <w:color w:val="404040" w:themeColor="text1" w:themeTint="BF"/>
        </w:rPr>
      </w:pPr>
      <w:r w:rsidRPr="00737D81">
        <w:rPr>
          <w:b/>
          <w:color w:val="404040" w:themeColor="text1" w:themeTint="BF"/>
        </w:rPr>
        <w:t>The ranking of impact by commitment level</w:t>
      </w:r>
    </w:p>
    <w:p w14:paraId="16FF3B3F" w14:textId="2E40328F" w:rsidR="00A27D36" w:rsidRPr="00737D81" w:rsidRDefault="007F604F" w:rsidP="00737D81">
      <w:pPr>
        <w:jc w:val="center"/>
        <w:rPr>
          <w:b/>
          <w:color w:val="404040" w:themeColor="text1" w:themeTint="BF"/>
        </w:rPr>
      </w:pPr>
      <w:r w:rsidRPr="00737D81">
        <w:rPr>
          <w:b/>
          <w:color w:val="404040" w:themeColor="text1" w:themeTint="BF"/>
        </w:rPr>
        <w:t xml:space="preserve">(Source: Gainsight - </w:t>
      </w:r>
      <w:r w:rsidRPr="00737D81">
        <w:rPr>
          <w:b/>
          <w:bCs/>
          <w:color w:val="404040" w:themeColor="text1" w:themeTint="BF"/>
        </w:rPr>
        <w:t>Views on the State of Marketing and Advocacy)</w:t>
      </w:r>
    </w:p>
    <w:p w14:paraId="58909250" w14:textId="77777777" w:rsidR="00A27D36" w:rsidRDefault="00A27D36" w:rsidP="00D3146A">
      <w:pPr>
        <w:jc w:val="center"/>
      </w:pPr>
    </w:p>
    <w:p w14:paraId="7EBAB823" w14:textId="33973952" w:rsidR="00D3146A" w:rsidRDefault="009514D1" w:rsidP="00D3146A">
      <w:pPr>
        <w:jc w:val="center"/>
      </w:pPr>
      <w:r>
        <w:rPr>
          <w:noProof/>
        </w:rPr>
        <w:drawing>
          <wp:inline distT="0" distB="0" distL="0" distR="0" wp14:anchorId="4B7EC778" wp14:editId="630AE564">
            <wp:extent cx="3379720" cy="22408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16-05-25_1139.png"/>
                    <pic:cNvPicPr/>
                  </pic:nvPicPr>
                  <pic:blipFill>
                    <a:blip r:embed="rId8">
                      <a:extLst>
                        <a:ext uri="{28A0092B-C50C-407E-A947-70E740481C1C}">
                          <a14:useLocalDpi xmlns:a14="http://schemas.microsoft.com/office/drawing/2010/main" val="0"/>
                        </a:ext>
                      </a:extLst>
                    </a:blip>
                    <a:stretch>
                      <a:fillRect/>
                    </a:stretch>
                  </pic:blipFill>
                  <pic:spPr>
                    <a:xfrm>
                      <a:off x="0" y="0"/>
                      <a:ext cx="3420778" cy="2268093"/>
                    </a:xfrm>
                    <a:prstGeom prst="rect">
                      <a:avLst/>
                    </a:prstGeom>
                  </pic:spPr>
                </pic:pic>
              </a:graphicData>
            </a:graphic>
          </wp:inline>
        </w:drawing>
      </w:r>
    </w:p>
    <w:p w14:paraId="4A9C0E7E" w14:textId="77777777" w:rsidR="00D3146A" w:rsidRPr="00CE7730" w:rsidRDefault="00D3146A" w:rsidP="009514D1"/>
    <w:p w14:paraId="3FF246AC" w14:textId="77777777" w:rsidR="007F604F" w:rsidRDefault="007F604F" w:rsidP="007F604F"/>
    <w:p w14:paraId="01C2780A" w14:textId="77777777" w:rsidR="007F604F" w:rsidRDefault="007F604F" w:rsidP="007F604F">
      <w:r>
        <w:rPr>
          <w:noProof/>
        </w:rPr>
        <w:drawing>
          <wp:inline distT="0" distB="0" distL="0" distR="0" wp14:anchorId="09F151A5" wp14:editId="1BA3628E">
            <wp:extent cx="5943600" cy="361053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C83DBBF" w14:textId="77777777" w:rsidR="007F604F" w:rsidRDefault="007F604F" w:rsidP="007F604F"/>
    <w:p w14:paraId="0991E624" w14:textId="77777777" w:rsidR="007F604F" w:rsidRDefault="007F604F" w:rsidP="007F604F"/>
    <w:p w14:paraId="3D369C97" w14:textId="3CC62A4F" w:rsidR="007F604F" w:rsidRPr="00737D81" w:rsidRDefault="007F604F" w:rsidP="007F604F">
      <w:pPr>
        <w:jc w:val="center"/>
        <w:rPr>
          <w:b/>
          <w:color w:val="404040" w:themeColor="text1" w:themeTint="BF"/>
        </w:rPr>
      </w:pPr>
      <w:r w:rsidRPr="00737D81">
        <w:rPr>
          <w:b/>
          <w:color w:val="404040" w:themeColor="text1" w:themeTint="BF"/>
        </w:rPr>
        <w:t xml:space="preserve">Current </w:t>
      </w:r>
      <w:r w:rsidR="00375CA1">
        <w:rPr>
          <w:b/>
          <w:color w:val="404040" w:themeColor="text1" w:themeTint="BF"/>
        </w:rPr>
        <w:t>Reference View</w:t>
      </w:r>
      <w:r w:rsidRPr="00737D81">
        <w:rPr>
          <w:b/>
          <w:color w:val="404040" w:themeColor="text1" w:themeTint="BF"/>
        </w:rPr>
        <w:t xml:space="preserve"> </w:t>
      </w:r>
      <w:r w:rsidR="00375CA1">
        <w:rPr>
          <w:b/>
          <w:color w:val="404040" w:themeColor="text1" w:themeTint="BF"/>
        </w:rPr>
        <w:t>Count by I</w:t>
      </w:r>
      <w:r w:rsidRPr="00737D81">
        <w:rPr>
          <w:b/>
          <w:color w:val="404040" w:themeColor="text1" w:themeTint="BF"/>
        </w:rPr>
        <w:t>ndustry (less than 10 clients):</w:t>
      </w:r>
    </w:p>
    <w:p w14:paraId="73221875" w14:textId="77777777" w:rsidR="007F604F" w:rsidRDefault="007F604F" w:rsidP="007F604F"/>
    <w:tbl>
      <w:tblPr>
        <w:tblW w:w="9132" w:type="dxa"/>
        <w:tblInd w:w="220" w:type="dxa"/>
        <w:tblLook w:val="04A0" w:firstRow="1" w:lastRow="0" w:firstColumn="1" w:lastColumn="0" w:noHBand="0" w:noVBand="1"/>
      </w:tblPr>
      <w:tblGrid>
        <w:gridCol w:w="2602"/>
        <w:gridCol w:w="3690"/>
        <w:gridCol w:w="2840"/>
      </w:tblGrid>
      <w:tr w:rsidR="007F604F" w:rsidRPr="007F604F" w14:paraId="50AA8BDB" w14:textId="77777777" w:rsidTr="000330D5">
        <w:trPr>
          <w:trHeight w:val="144"/>
        </w:trPr>
        <w:tc>
          <w:tcPr>
            <w:tcW w:w="2602" w:type="dxa"/>
            <w:shd w:val="clear" w:color="auto" w:fill="auto"/>
            <w:noWrap/>
            <w:vAlign w:val="bottom"/>
            <w:hideMark/>
          </w:tcPr>
          <w:p w14:paraId="7E1124E8"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Office Supplies (8)</w:t>
            </w:r>
          </w:p>
        </w:tc>
        <w:tc>
          <w:tcPr>
            <w:tcW w:w="3690" w:type="dxa"/>
            <w:shd w:val="clear" w:color="auto" w:fill="auto"/>
            <w:noWrap/>
            <w:vAlign w:val="bottom"/>
            <w:hideMark/>
          </w:tcPr>
          <w:p w14:paraId="72C1C167"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Automotive - Services (3)</w:t>
            </w:r>
          </w:p>
        </w:tc>
        <w:tc>
          <w:tcPr>
            <w:tcW w:w="2840" w:type="dxa"/>
            <w:shd w:val="clear" w:color="auto" w:fill="auto"/>
            <w:noWrap/>
            <w:vAlign w:val="bottom"/>
            <w:hideMark/>
          </w:tcPr>
          <w:p w14:paraId="0E2586A1"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Legal &amp; Tax Services (2)</w:t>
            </w:r>
          </w:p>
        </w:tc>
      </w:tr>
      <w:tr w:rsidR="007F604F" w:rsidRPr="007F604F" w14:paraId="6321D70E" w14:textId="77777777" w:rsidTr="000330D5">
        <w:trPr>
          <w:trHeight w:val="144"/>
        </w:trPr>
        <w:tc>
          <w:tcPr>
            <w:tcW w:w="2602" w:type="dxa"/>
            <w:shd w:val="clear" w:color="auto" w:fill="auto"/>
            <w:noWrap/>
            <w:vAlign w:val="bottom"/>
            <w:hideMark/>
          </w:tcPr>
          <w:p w14:paraId="39C42155"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Software (8)</w:t>
            </w:r>
          </w:p>
        </w:tc>
        <w:tc>
          <w:tcPr>
            <w:tcW w:w="3690" w:type="dxa"/>
            <w:shd w:val="clear" w:color="auto" w:fill="auto"/>
            <w:noWrap/>
            <w:vAlign w:val="bottom"/>
            <w:hideMark/>
          </w:tcPr>
          <w:p w14:paraId="343F8C60"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Automotive - Vehicle Manufacturer (3)</w:t>
            </w:r>
          </w:p>
        </w:tc>
        <w:tc>
          <w:tcPr>
            <w:tcW w:w="2840" w:type="dxa"/>
            <w:shd w:val="clear" w:color="auto" w:fill="auto"/>
            <w:noWrap/>
            <w:vAlign w:val="bottom"/>
            <w:hideMark/>
          </w:tcPr>
          <w:p w14:paraId="04F91832"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Pharmaceuticals (2)</w:t>
            </w:r>
          </w:p>
        </w:tc>
      </w:tr>
      <w:tr w:rsidR="007F604F" w:rsidRPr="007F604F" w14:paraId="2EB46614" w14:textId="77777777" w:rsidTr="000330D5">
        <w:trPr>
          <w:trHeight w:val="144"/>
        </w:trPr>
        <w:tc>
          <w:tcPr>
            <w:tcW w:w="2602" w:type="dxa"/>
            <w:shd w:val="clear" w:color="auto" w:fill="auto"/>
            <w:noWrap/>
            <w:vAlign w:val="bottom"/>
            <w:hideMark/>
          </w:tcPr>
          <w:p w14:paraId="24442A53"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Telecommunications (8)</w:t>
            </w:r>
          </w:p>
        </w:tc>
        <w:tc>
          <w:tcPr>
            <w:tcW w:w="3690" w:type="dxa"/>
            <w:shd w:val="clear" w:color="auto" w:fill="auto"/>
            <w:noWrap/>
            <w:vAlign w:val="bottom"/>
            <w:hideMark/>
          </w:tcPr>
          <w:p w14:paraId="66187DC1"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Diversified Manufacturing Conglomerate (3)</w:t>
            </w:r>
          </w:p>
        </w:tc>
        <w:tc>
          <w:tcPr>
            <w:tcW w:w="2840" w:type="dxa"/>
            <w:shd w:val="clear" w:color="auto" w:fill="auto"/>
            <w:noWrap/>
            <w:vAlign w:val="bottom"/>
            <w:hideMark/>
          </w:tcPr>
          <w:p w14:paraId="549D3984"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Automotive (1)</w:t>
            </w:r>
          </w:p>
        </w:tc>
      </w:tr>
      <w:tr w:rsidR="007F604F" w:rsidRPr="007F604F" w14:paraId="5F8676B4" w14:textId="77777777" w:rsidTr="000330D5">
        <w:trPr>
          <w:trHeight w:val="144"/>
        </w:trPr>
        <w:tc>
          <w:tcPr>
            <w:tcW w:w="2602" w:type="dxa"/>
            <w:shd w:val="clear" w:color="auto" w:fill="auto"/>
            <w:noWrap/>
            <w:vAlign w:val="bottom"/>
            <w:hideMark/>
          </w:tcPr>
          <w:p w14:paraId="59BCE109"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Toys / Games / Hobbies (8)</w:t>
            </w:r>
          </w:p>
        </w:tc>
        <w:tc>
          <w:tcPr>
            <w:tcW w:w="3690" w:type="dxa"/>
            <w:shd w:val="clear" w:color="auto" w:fill="auto"/>
            <w:noWrap/>
            <w:vAlign w:val="bottom"/>
            <w:hideMark/>
          </w:tcPr>
          <w:p w14:paraId="3E11F2F5"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Travel - Destination (3)</w:t>
            </w:r>
          </w:p>
        </w:tc>
        <w:tc>
          <w:tcPr>
            <w:tcW w:w="2840" w:type="dxa"/>
            <w:shd w:val="clear" w:color="auto" w:fill="auto"/>
            <w:noWrap/>
            <w:vAlign w:val="bottom"/>
            <w:hideMark/>
          </w:tcPr>
          <w:p w14:paraId="51A26EEE"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Books/CDs/</w:t>
            </w:r>
            <w:proofErr w:type="spellStart"/>
            <w:r w:rsidRPr="00E16E43">
              <w:rPr>
                <w:color w:val="404040" w:themeColor="text1" w:themeTint="BF"/>
                <w:sz w:val="17"/>
                <w:szCs w:val="17"/>
              </w:rPr>
              <w:t>Dvds</w:t>
            </w:r>
            <w:proofErr w:type="spellEnd"/>
            <w:r w:rsidRPr="00E16E43">
              <w:rPr>
                <w:color w:val="404040" w:themeColor="text1" w:themeTint="BF"/>
                <w:sz w:val="17"/>
                <w:szCs w:val="17"/>
              </w:rPr>
              <w:t>/Music/Games (1)</w:t>
            </w:r>
          </w:p>
        </w:tc>
      </w:tr>
      <w:tr w:rsidR="007F604F" w:rsidRPr="007F604F" w14:paraId="224AC0DA" w14:textId="77777777" w:rsidTr="000330D5">
        <w:trPr>
          <w:trHeight w:val="144"/>
        </w:trPr>
        <w:tc>
          <w:tcPr>
            <w:tcW w:w="2602" w:type="dxa"/>
            <w:shd w:val="clear" w:color="auto" w:fill="auto"/>
            <w:noWrap/>
            <w:vAlign w:val="bottom"/>
            <w:hideMark/>
          </w:tcPr>
          <w:p w14:paraId="4484B3DA"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Credit Unions (6)</w:t>
            </w:r>
          </w:p>
        </w:tc>
        <w:tc>
          <w:tcPr>
            <w:tcW w:w="3690" w:type="dxa"/>
            <w:shd w:val="clear" w:color="auto" w:fill="auto"/>
            <w:noWrap/>
            <w:vAlign w:val="bottom"/>
            <w:hideMark/>
          </w:tcPr>
          <w:p w14:paraId="31F49195"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Travel - Hotels (3)</w:t>
            </w:r>
          </w:p>
        </w:tc>
        <w:tc>
          <w:tcPr>
            <w:tcW w:w="2840" w:type="dxa"/>
            <w:shd w:val="clear" w:color="auto" w:fill="auto"/>
            <w:noWrap/>
            <w:vAlign w:val="bottom"/>
            <w:hideMark/>
          </w:tcPr>
          <w:p w14:paraId="0E81BD60"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Building Materials (1)</w:t>
            </w:r>
          </w:p>
        </w:tc>
      </w:tr>
      <w:tr w:rsidR="007F604F" w:rsidRPr="007F604F" w14:paraId="3F28908E" w14:textId="77777777" w:rsidTr="000330D5">
        <w:trPr>
          <w:trHeight w:val="144"/>
        </w:trPr>
        <w:tc>
          <w:tcPr>
            <w:tcW w:w="2602" w:type="dxa"/>
            <w:shd w:val="clear" w:color="auto" w:fill="auto"/>
            <w:noWrap/>
            <w:vAlign w:val="bottom"/>
            <w:hideMark/>
          </w:tcPr>
          <w:p w14:paraId="28D52EC8"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Insurance (6)</w:t>
            </w:r>
          </w:p>
        </w:tc>
        <w:tc>
          <w:tcPr>
            <w:tcW w:w="3690" w:type="dxa"/>
            <w:shd w:val="clear" w:color="auto" w:fill="auto"/>
            <w:noWrap/>
            <w:vAlign w:val="bottom"/>
            <w:hideMark/>
          </w:tcPr>
          <w:p w14:paraId="1570825B"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Advertising (3)</w:t>
            </w:r>
          </w:p>
        </w:tc>
        <w:tc>
          <w:tcPr>
            <w:tcW w:w="2840" w:type="dxa"/>
            <w:shd w:val="clear" w:color="auto" w:fill="auto"/>
            <w:noWrap/>
            <w:vAlign w:val="bottom"/>
            <w:hideMark/>
          </w:tcPr>
          <w:p w14:paraId="18458C6B"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Capital Markets (1)</w:t>
            </w:r>
          </w:p>
        </w:tc>
      </w:tr>
      <w:tr w:rsidR="007F604F" w:rsidRPr="007F604F" w14:paraId="640CFFFB" w14:textId="77777777" w:rsidTr="000330D5">
        <w:trPr>
          <w:trHeight w:val="144"/>
        </w:trPr>
        <w:tc>
          <w:tcPr>
            <w:tcW w:w="2602" w:type="dxa"/>
            <w:shd w:val="clear" w:color="auto" w:fill="auto"/>
            <w:noWrap/>
            <w:vAlign w:val="bottom"/>
            <w:hideMark/>
          </w:tcPr>
          <w:p w14:paraId="123E6D75"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Banking (5)</w:t>
            </w:r>
          </w:p>
        </w:tc>
        <w:tc>
          <w:tcPr>
            <w:tcW w:w="3690" w:type="dxa"/>
            <w:shd w:val="clear" w:color="auto" w:fill="auto"/>
            <w:noWrap/>
            <w:vAlign w:val="bottom"/>
            <w:hideMark/>
          </w:tcPr>
          <w:p w14:paraId="7FF9DB1F"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B2B Electronics (3)</w:t>
            </w:r>
          </w:p>
        </w:tc>
        <w:tc>
          <w:tcPr>
            <w:tcW w:w="2840" w:type="dxa"/>
            <w:shd w:val="clear" w:color="auto" w:fill="auto"/>
            <w:noWrap/>
            <w:vAlign w:val="bottom"/>
            <w:hideMark/>
          </w:tcPr>
          <w:p w14:paraId="2F582841"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Chemicals (1)</w:t>
            </w:r>
          </w:p>
        </w:tc>
      </w:tr>
      <w:tr w:rsidR="007F604F" w:rsidRPr="007F604F" w14:paraId="3F51516C" w14:textId="77777777" w:rsidTr="000330D5">
        <w:trPr>
          <w:trHeight w:val="144"/>
        </w:trPr>
        <w:tc>
          <w:tcPr>
            <w:tcW w:w="2602" w:type="dxa"/>
            <w:shd w:val="clear" w:color="auto" w:fill="auto"/>
            <w:noWrap/>
            <w:vAlign w:val="bottom"/>
            <w:hideMark/>
          </w:tcPr>
          <w:p w14:paraId="61C52D21"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Jewelry (5)</w:t>
            </w:r>
          </w:p>
        </w:tc>
        <w:tc>
          <w:tcPr>
            <w:tcW w:w="3690" w:type="dxa"/>
            <w:shd w:val="clear" w:color="auto" w:fill="auto"/>
            <w:noWrap/>
            <w:vAlign w:val="bottom"/>
            <w:hideMark/>
          </w:tcPr>
          <w:p w14:paraId="646128DF"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Construction/Engineering (2)</w:t>
            </w:r>
          </w:p>
        </w:tc>
        <w:tc>
          <w:tcPr>
            <w:tcW w:w="2840" w:type="dxa"/>
            <w:shd w:val="clear" w:color="auto" w:fill="auto"/>
            <w:noWrap/>
            <w:vAlign w:val="bottom"/>
            <w:hideMark/>
          </w:tcPr>
          <w:p w14:paraId="7E69E3B3"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Furniture (1)</w:t>
            </w:r>
          </w:p>
        </w:tc>
      </w:tr>
      <w:tr w:rsidR="007F604F" w:rsidRPr="007F604F" w14:paraId="730CB990" w14:textId="77777777" w:rsidTr="000330D5">
        <w:trPr>
          <w:trHeight w:val="144"/>
        </w:trPr>
        <w:tc>
          <w:tcPr>
            <w:tcW w:w="2602" w:type="dxa"/>
            <w:shd w:val="clear" w:color="auto" w:fill="auto"/>
            <w:noWrap/>
            <w:vAlign w:val="bottom"/>
            <w:hideMark/>
          </w:tcPr>
          <w:p w14:paraId="2DAD7EC4"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Leisure (5)</w:t>
            </w:r>
          </w:p>
        </w:tc>
        <w:tc>
          <w:tcPr>
            <w:tcW w:w="3690" w:type="dxa"/>
            <w:shd w:val="clear" w:color="auto" w:fill="auto"/>
            <w:noWrap/>
            <w:vAlign w:val="bottom"/>
            <w:hideMark/>
          </w:tcPr>
          <w:p w14:paraId="73E4F992"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Dietary Supplements (2)</w:t>
            </w:r>
          </w:p>
        </w:tc>
        <w:tc>
          <w:tcPr>
            <w:tcW w:w="2840" w:type="dxa"/>
            <w:shd w:val="clear" w:color="auto" w:fill="auto"/>
            <w:noWrap/>
            <w:vAlign w:val="bottom"/>
            <w:hideMark/>
          </w:tcPr>
          <w:p w14:paraId="3247441C"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Health Care - Health Plan (1)</w:t>
            </w:r>
          </w:p>
        </w:tc>
      </w:tr>
      <w:tr w:rsidR="007F604F" w:rsidRPr="007F604F" w14:paraId="3ED5EC6A" w14:textId="77777777" w:rsidTr="000330D5">
        <w:trPr>
          <w:trHeight w:val="144"/>
        </w:trPr>
        <w:tc>
          <w:tcPr>
            <w:tcW w:w="2602" w:type="dxa"/>
            <w:shd w:val="clear" w:color="auto" w:fill="auto"/>
            <w:noWrap/>
            <w:vAlign w:val="bottom"/>
            <w:hideMark/>
          </w:tcPr>
          <w:p w14:paraId="4A37CFE2"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Education (4)</w:t>
            </w:r>
          </w:p>
        </w:tc>
        <w:tc>
          <w:tcPr>
            <w:tcW w:w="3690" w:type="dxa"/>
            <w:shd w:val="clear" w:color="auto" w:fill="auto"/>
            <w:noWrap/>
            <w:vAlign w:val="bottom"/>
            <w:hideMark/>
          </w:tcPr>
          <w:p w14:paraId="5A2EF3A2"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Energy / Petroleum (2)</w:t>
            </w:r>
          </w:p>
        </w:tc>
        <w:tc>
          <w:tcPr>
            <w:tcW w:w="2840" w:type="dxa"/>
            <w:shd w:val="clear" w:color="auto" w:fill="auto"/>
            <w:noWrap/>
            <w:vAlign w:val="bottom"/>
            <w:hideMark/>
          </w:tcPr>
          <w:p w14:paraId="56456238"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Health Care - Other (1)</w:t>
            </w:r>
          </w:p>
        </w:tc>
      </w:tr>
      <w:tr w:rsidR="007F604F" w:rsidRPr="007F604F" w14:paraId="79E7DBB2" w14:textId="77777777" w:rsidTr="000330D5">
        <w:trPr>
          <w:trHeight w:val="144"/>
        </w:trPr>
        <w:tc>
          <w:tcPr>
            <w:tcW w:w="2602" w:type="dxa"/>
            <w:shd w:val="clear" w:color="auto" w:fill="auto"/>
            <w:noWrap/>
            <w:vAlign w:val="bottom"/>
            <w:hideMark/>
          </w:tcPr>
          <w:p w14:paraId="2FDB71D4"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Media (4)</w:t>
            </w:r>
          </w:p>
        </w:tc>
        <w:tc>
          <w:tcPr>
            <w:tcW w:w="3690" w:type="dxa"/>
            <w:shd w:val="clear" w:color="auto" w:fill="auto"/>
            <w:noWrap/>
            <w:vAlign w:val="bottom"/>
            <w:hideMark/>
          </w:tcPr>
          <w:p w14:paraId="10AAAB42"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Flowers/Gifts (2)</w:t>
            </w:r>
          </w:p>
        </w:tc>
        <w:tc>
          <w:tcPr>
            <w:tcW w:w="2840" w:type="dxa"/>
            <w:shd w:val="clear" w:color="auto" w:fill="auto"/>
            <w:noWrap/>
            <w:vAlign w:val="bottom"/>
            <w:hideMark/>
          </w:tcPr>
          <w:p w14:paraId="7E78C343"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Lending Entity (1)</w:t>
            </w:r>
          </w:p>
        </w:tc>
      </w:tr>
      <w:tr w:rsidR="007F604F" w:rsidRPr="007F604F" w14:paraId="5DD3797D" w14:textId="77777777" w:rsidTr="000330D5">
        <w:trPr>
          <w:trHeight w:val="144"/>
        </w:trPr>
        <w:tc>
          <w:tcPr>
            <w:tcW w:w="2602" w:type="dxa"/>
            <w:shd w:val="clear" w:color="auto" w:fill="auto"/>
            <w:noWrap/>
            <w:vAlign w:val="bottom"/>
            <w:hideMark/>
          </w:tcPr>
          <w:p w14:paraId="4EE42D54"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Professional Services (4)</w:t>
            </w:r>
          </w:p>
        </w:tc>
        <w:tc>
          <w:tcPr>
            <w:tcW w:w="3690" w:type="dxa"/>
            <w:shd w:val="clear" w:color="auto" w:fill="auto"/>
            <w:noWrap/>
            <w:vAlign w:val="bottom"/>
            <w:hideMark/>
          </w:tcPr>
          <w:p w14:paraId="22ABDE7D"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Health Care - Hospital (2)</w:t>
            </w:r>
          </w:p>
        </w:tc>
        <w:tc>
          <w:tcPr>
            <w:tcW w:w="2840" w:type="dxa"/>
            <w:shd w:val="clear" w:color="auto" w:fill="auto"/>
            <w:noWrap/>
            <w:vAlign w:val="bottom"/>
            <w:hideMark/>
          </w:tcPr>
          <w:p w14:paraId="36831543"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Luxury Apparel (1)</w:t>
            </w:r>
          </w:p>
        </w:tc>
      </w:tr>
      <w:tr w:rsidR="007F604F" w:rsidRPr="007F604F" w14:paraId="57564DB0" w14:textId="77777777" w:rsidTr="000330D5">
        <w:trPr>
          <w:trHeight w:val="144"/>
        </w:trPr>
        <w:tc>
          <w:tcPr>
            <w:tcW w:w="2602" w:type="dxa"/>
            <w:shd w:val="clear" w:color="auto" w:fill="auto"/>
            <w:noWrap/>
            <w:vAlign w:val="bottom"/>
            <w:hideMark/>
          </w:tcPr>
          <w:p w14:paraId="14E89B90" w14:textId="77777777" w:rsidR="007F604F" w:rsidRPr="00E16E43" w:rsidRDefault="007F604F" w:rsidP="000330D5">
            <w:pPr>
              <w:rPr>
                <w:color w:val="404040" w:themeColor="text1" w:themeTint="BF"/>
                <w:sz w:val="17"/>
                <w:szCs w:val="17"/>
              </w:rPr>
            </w:pPr>
            <w:proofErr w:type="spellStart"/>
            <w:r w:rsidRPr="00E16E43">
              <w:rPr>
                <w:color w:val="404040" w:themeColor="text1" w:themeTint="BF"/>
                <w:sz w:val="17"/>
                <w:szCs w:val="17"/>
              </w:rPr>
              <w:t>Speciality</w:t>
            </w:r>
            <w:proofErr w:type="spellEnd"/>
            <w:r w:rsidRPr="00E16E43">
              <w:rPr>
                <w:color w:val="404040" w:themeColor="text1" w:themeTint="BF"/>
                <w:sz w:val="17"/>
                <w:szCs w:val="17"/>
              </w:rPr>
              <w:t xml:space="preserve"> / Crafts / Art (4)</w:t>
            </w:r>
          </w:p>
        </w:tc>
        <w:tc>
          <w:tcPr>
            <w:tcW w:w="3690" w:type="dxa"/>
            <w:shd w:val="clear" w:color="auto" w:fill="auto"/>
            <w:noWrap/>
            <w:vAlign w:val="bottom"/>
            <w:hideMark/>
          </w:tcPr>
          <w:p w14:paraId="3AA48D0C"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Health Care - Medical Devices (2)</w:t>
            </w:r>
          </w:p>
        </w:tc>
        <w:tc>
          <w:tcPr>
            <w:tcW w:w="2840" w:type="dxa"/>
            <w:shd w:val="clear" w:color="auto" w:fill="auto"/>
            <w:noWrap/>
            <w:vAlign w:val="bottom"/>
            <w:hideMark/>
          </w:tcPr>
          <w:p w14:paraId="55C3E5DE" w14:textId="77777777" w:rsidR="007F604F" w:rsidRPr="00E16E43" w:rsidRDefault="007F604F" w:rsidP="000330D5">
            <w:pPr>
              <w:rPr>
                <w:color w:val="404040" w:themeColor="text1" w:themeTint="BF"/>
                <w:sz w:val="17"/>
                <w:szCs w:val="17"/>
              </w:rPr>
            </w:pPr>
            <w:r w:rsidRPr="00E16E43">
              <w:rPr>
                <w:color w:val="404040" w:themeColor="text1" w:themeTint="BF"/>
                <w:sz w:val="17"/>
                <w:szCs w:val="17"/>
              </w:rPr>
              <w:t>Transport / Shipping / Storage (1)</w:t>
            </w:r>
          </w:p>
        </w:tc>
      </w:tr>
    </w:tbl>
    <w:p w14:paraId="24EF4330" w14:textId="77777777" w:rsidR="007F604F" w:rsidRDefault="007F604F" w:rsidP="007F604F"/>
    <w:p w14:paraId="00D67FD2" w14:textId="77777777" w:rsidR="007F604F" w:rsidRPr="009A0B2B" w:rsidRDefault="007F604F" w:rsidP="009A0B2B"/>
    <w:p w14:paraId="3DD33F19" w14:textId="77777777" w:rsidR="009514D1" w:rsidRPr="009A0B2B" w:rsidRDefault="009514D1" w:rsidP="009A0B2B"/>
    <w:bookmarkEnd w:id="0"/>
    <w:p w14:paraId="1012A3AF" w14:textId="37FA38EA" w:rsidR="009A0B2B" w:rsidRPr="001D2DCC" w:rsidRDefault="001D2DCC" w:rsidP="009A0B2B">
      <w:pPr>
        <w:pStyle w:val="Heading1"/>
        <w:rPr>
          <w:rFonts w:ascii="Calibri" w:hAnsi="Calibri"/>
          <w:sz w:val="32"/>
          <w:lang w:val="en-US"/>
        </w:rPr>
      </w:pPr>
      <w:r w:rsidRPr="001D2DCC">
        <w:rPr>
          <w:rFonts w:ascii="Calibri" w:hAnsi="Calibri"/>
          <w:sz w:val="32"/>
        </w:rPr>
        <w:t xml:space="preserve">5. </w:t>
      </w:r>
      <w:r w:rsidR="00194401">
        <w:rPr>
          <w:rFonts w:ascii="Calibri" w:hAnsi="Calibri"/>
          <w:sz w:val="32"/>
        </w:rPr>
        <w:t xml:space="preserve"> </w:t>
      </w:r>
      <w:r w:rsidR="009A0B2B" w:rsidRPr="001D2DCC">
        <w:rPr>
          <w:rFonts w:ascii="Calibri" w:hAnsi="Calibri"/>
          <w:sz w:val="32"/>
        </w:rPr>
        <w:t>SALES ENABLEMENT</w:t>
      </w:r>
    </w:p>
    <w:p w14:paraId="2B3CA3C5" w14:textId="77777777" w:rsidR="00345AD2" w:rsidRDefault="00345AD2" w:rsidP="00345AD2">
      <w:pPr>
        <w:pStyle w:val="Heading2NM"/>
        <w:rPr>
          <w:rFonts w:ascii="Calibri" w:hAnsi="Calibri"/>
          <w:sz w:val="21"/>
          <w:szCs w:val="21"/>
        </w:rPr>
      </w:pPr>
    </w:p>
    <w:p w14:paraId="358FD807" w14:textId="078B0217" w:rsidR="0060147D" w:rsidRDefault="006B1926" w:rsidP="00345AD2">
      <w:pPr>
        <w:pStyle w:val="Heading2NM"/>
        <w:rPr>
          <w:rFonts w:ascii="Calibri" w:hAnsi="Calibri"/>
          <w:b w:val="0"/>
          <w:sz w:val="21"/>
          <w:szCs w:val="21"/>
        </w:rPr>
      </w:pPr>
      <w:r>
        <w:rPr>
          <w:rFonts w:ascii="Calibri" w:hAnsi="Calibri"/>
          <w:b w:val="0"/>
          <w:sz w:val="21"/>
          <w:szCs w:val="21"/>
        </w:rPr>
        <w:t>Following discovery sessions with sales, the following changes will be considered.</w:t>
      </w:r>
    </w:p>
    <w:p w14:paraId="1889B187" w14:textId="77777777" w:rsidR="006B1926" w:rsidRDefault="006B1926" w:rsidP="00345AD2">
      <w:pPr>
        <w:pStyle w:val="Heading2NM"/>
        <w:rPr>
          <w:rFonts w:ascii="Calibri" w:hAnsi="Calibri"/>
          <w:b w:val="0"/>
          <w:sz w:val="21"/>
          <w:szCs w:val="21"/>
        </w:rPr>
      </w:pPr>
    </w:p>
    <w:p w14:paraId="54CF6801" w14:textId="645D9AF1" w:rsidR="006B1926" w:rsidRDefault="006B1926" w:rsidP="0021450B">
      <w:pPr>
        <w:pStyle w:val="Heading2NM"/>
        <w:numPr>
          <w:ilvl w:val="0"/>
          <w:numId w:val="11"/>
        </w:numPr>
        <w:rPr>
          <w:rFonts w:ascii="Calibri" w:hAnsi="Calibri"/>
          <w:b w:val="0"/>
          <w:sz w:val="21"/>
          <w:szCs w:val="21"/>
        </w:rPr>
      </w:pPr>
      <w:r>
        <w:rPr>
          <w:rFonts w:ascii="Calibri" w:hAnsi="Calibri"/>
          <w:b w:val="0"/>
          <w:sz w:val="21"/>
          <w:szCs w:val="21"/>
        </w:rPr>
        <w:t>Create more client-friendly/external versions of client stories, including one-pager PDFs and single PPT slides</w:t>
      </w:r>
    </w:p>
    <w:p w14:paraId="0F26F3A4" w14:textId="630BBF90" w:rsidR="006B1926" w:rsidRDefault="006B1926" w:rsidP="0021450B">
      <w:pPr>
        <w:pStyle w:val="Heading2NM"/>
        <w:numPr>
          <w:ilvl w:val="0"/>
          <w:numId w:val="11"/>
        </w:numPr>
        <w:rPr>
          <w:rFonts w:ascii="Calibri" w:hAnsi="Calibri"/>
          <w:b w:val="0"/>
          <w:sz w:val="21"/>
          <w:szCs w:val="21"/>
        </w:rPr>
      </w:pPr>
      <w:r>
        <w:rPr>
          <w:rFonts w:ascii="Calibri" w:hAnsi="Calibri"/>
          <w:b w:val="0"/>
          <w:sz w:val="21"/>
          <w:szCs w:val="21"/>
        </w:rPr>
        <w:t>Adjust the internal SLA to speed up the process of fulfilling reference requests (contingent on SDs submitting requests earlier in the process, as soon as they anticipate the upcoming need)</w:t>
      </w:r>
    </w:p>
    <w:p w14:paraId="20D1D58C" w14:textId="2CFA3028" w:rsidR="00AD4AA0" w:rsidRPr="0060147D" w:rsidRDefault="00AD4AA0" w:rsidP="0021450B">
      <w:pPr>
        <w:pStyle w:val="Heading2NM"/>
        <w:numPr>
          <w:ilvl w:val="0"/>
          <w:numId w:val="11"/>
        </w:numPr>
        <w:rPr>
          <w:rFonts w:ascii="Calibri" w:hAnsi="Calibri"/>
          <w:b w:val="0"/>
          <w:sz w:val="21"/>
          <w:szCs w:val="21"/>
        </w:rPr>
      </w:pPr>
      <w:r>
        <w:rPr>
          <w:rFonts w:ascii="Calibri" w:hAnsi="Calibri"/>
          <w:b w:val="0"/>
          <w:sz w:val="21"/>
          <w:szCs w:val="21"/>
        </w:rPr>
        <w:t>Create internal reports sent to sales leaders showing # of requests, % fulfilled, # of nominations, newely available references and material and references recently removed from the program</w:t>
      </w:r>
    </w:p>
    <w:p w14:paraId="1485C860" w14:textId="77777777" w:rsidR="00345AD2" w:rsidRDefault="00345AD2" w:rsidP="00917ACE">
      <w:pPr>
        <w:rPr>
          <w:szCs w:val="21"/>
        </w:rPr>
      </w:pPr>
    </w:p>
    <w:p w14:paraId="515150F3" w14:textId="77777777" w:rsidR="00917ACE" w:rsidRPr="00917ACE" w:rsidRDefault="00917ACE" w:rsidP="00917ACE">
      <w:pPr>
        <w:rPr>
          <w:szCs w:val="21"/>
        </w:rPr>
      </w:pPr>
    </w:p>
    <w:p w14:paraId="313AB96A" w14:textId="77777777" w:rsidR="009833D5" w:rsidRPr="00917ACE" w:rsidRDefault="009833D5" w:rsidP="00917ACE">
      <w:pPr>
        <w:pStyle w:val="Heading1"/>
        <w:spacing w:before="0" w:after="0"/>
        <w:rPr>
          <w:rFonts w:ascii="Calibri" w:hAnsi="Calibri"/>
          <w:sz w:val="21"/>
          <w:szCs w:val="21"/>
        </w:rPr>
      </w:pPr>
    </w:p>
    <w:p w14:paraId="5E5C637C" w14:textId="0779FC2B" w:rsidR="009833D5" w:rsidRPr="001D2DCC" w:rsidRDefault="001D2DCC" w:rsidP="009833D5">
      <w:pPr>
        <w:pStyle w:val="Heading1"/>
        <w:rPr>
          <w:rFonts w:ascii="Calibri" w:hAnsi="Calibri"/>
          <w:sz w:val="32"/>
          <w:lang w:val="en-US"/>
        </w:rPr>
      </w:pPr>
      <w:r w:rsidRPr="001D2DCC">
        <w:rPr>
          <w:rFonts w:ascii="Calibri" w:hAnsi="Calibri"/>
          <w:sz w:val="32"/>
        </w:rPr>
        <w:t xml:space="preserve">6. </w:t>
      </w:r>
      <w:r w:rsidR="00194401">
        <w:rPr>
          <w:rFonts w:ascii="Calibri" w:hAnsi="Calibri"/>
          <w:sz w:val="32"/>
        </w:rPr>
        <w:t xml:space="preserve"> </w:t>
      </w:r>
      <w:r w:rsidR="009833D5" w:rsidRPr="001D2DCC">
        <w:rPr>
          <w:rFonts w:ascii="Calibri" w:hAnsi="Calibri"/>
          <w:sz w:val="32"/>
        </w:rPr>
        <w:t>LOGISTICS</w:t>
      </w:r>
    </w:p>
    <w:p w14:paraId="196164B1" w14:textId="77777777" w:rsidR="009833D5" w:rsidRPr="009514D1" w:rsidRDefault="009833D5" w:rsidP="009833D5">
      <w:pPr>
        <w:pStyle w:val="Heading2NM"/>
        <w:rPr>
          <w:rFonts w:ascii="Calibri" w:hAnsi="Calibri"/>
          <w:sz w:val="21"/>
          <w:szCs w:val="21"/>
        </w:rPr>
      </w:pPr>
    </w:p>
    <w:p w14:paraId="79676B6E" w14:textId="77777777" w:rsidR="009A0B2B" w:rsidRDefault="00B2206F" w:rsidP="009833D5">
      <w:r>
        <w:t>Process will be</w:t>
      </w:r>
      <w:r w:rsidR="005D45DD">
        <w:t xml:space="preserve"> adjusted to allow for more speed, require less internal adoption of tools and allow for more direct communication between prospect and reference rather than Bazaarvoice owning all coordination and call kick-offs (though accountability must be considered to ensure the prospects are actually following t</w:t>
      </w:r>
      <w:r w:rsidR="00FB4EB9">
        <w:t>hrough with reference meetings).</w:t>
      </w:r>
      <w:r w:rsidR="009A0B2B">
        <w:t xml:space="preserve"> </w:t>
      </w:r>
    </w:p>
    <w:p w14:paraId="54C81E6C" w14:textId="77777777" w:rsidR="009A0B2B" w:rsidRDefault="009A0B2B" w:rsidP="009833D5">
      <w:bookmarkStart w:id="5" w:name="_GoBack"/>
      <w:bookmarkEnd w:id="5"/>
    </w:p>
    <w:p w14:paraId="5433B2BA" w14:textId="1BB35CE1" w:rsidR="009833D5" w:rsidRDefault="004503AB" w:rsidP="009833D5">
      <w:r>
        <w:t xml:space="preserve">The program might include a client </w:t>
      </w:r>
      <w:r w:rsidR="009A0B2B">
        <w:t>enrollment process</w:t>
      </w:r>
      <w:r>
        <w:t xml:space="preserve"> (standardized email, landing page and self-selection</w:t>
      </w:r>
      <w:r w:rsidR="009A0B2B">
        <w:t xml:space="preserve"> of commitment levels. A rewards program for new members will be implemented, likely a “Thank you for joi</w:t>
      </w:r>
      <w:r>
        <w:t>ning the advocacy program” gift, might also include an annual reward or reward when a reference actually fulfills a reference request.</w:t>
      </w:r>
    </w:p>
    <w:p w14:paraId="0C20B24D" w14:textId="77777777" w:rsidR="00FB4EB9" w:rsidRPr="00454221" w:rsidRDefault="00FB4EB9" w:rsidP="009833D5">
      <w:pPr>
        <w:rPr>
          <w:szCs w:val="21"/>
        </w:rPr>
      </w:pPr>
    </w:p>
    <w:p w14:paraId="0613853E" w14:textId="77777777" w:rsidR="00917ACE" w:rsidRDefault="00917ACE" w:rsidP="00917ACE">
      <w:r>
        <w:t>The following abilities are key considerations in selecting a tool/platform for management:</w:t>
      </w:r>
    </w:p>
    <w:p w14:paraId="35EB5345" w14:textId="77777777" w:rsidR="00917ACE" w:rsidRDefault="00917ACE" w:rsidP="00917ACE"/>
    <w:p w14:paraId="1FE65D4D" w14:textId="77777777" w:rsidR="00917ACE" w:rsidRDefault="00917ACE" w:rsidP="0021450B">
      <w:pPr>
        <w:numPr>
          <w:ilvl w:val="0"/>
          <w:numId w:val="5"/>
        </w:numPr>
        <w:ind w:left="720"/>
      </w:pPr>
      <w:r>
        <w:t>Integration with SFDC</w:t>
      </w:r>
    </w:p>
    <w:p w14:paraId="0C8E202F" w14:textId="7CDC34CF" w:rsidR="004503AB" w:rsidRDefault="00917ACE" w:rsidP="004503AB">
      <w:pPr>
        <w:numPr>
          <w:ilvl w:val="0"/>
          <w:numId w:val="5"/>
        </w:numPr>
        <w:ind w:left="720"/>
      </w:pPr>
      <w:r>
        <w:t>Request a</w:t>
      </w:r>
      <w:r w:rsidR="004503AB">
        <w:t>nd nominate</w:t>
      </w:r>
      <w:r>
        <w:t xml:space="preserve"> reference</w:t>
      </w:r>
    </w:p>
    <w:p w14:paraId="127BA229" w14:textId="77777777" w:rsidR="00917ACE" w:rsidRDefault="00917ACE" w:rsidP="0021450B">
      <w:pPr>
        <w:numPr>
          <w:ilvl w:val="0"/>
          <w:numId w:val="5"/>
        </w:numPr>
        <w:ind w:left="720"/>
      </w:pPr>
      <w:r>
        <w:t>Track levels of commitment and contact usage</w:t>
      </w:r>
    </w:p>
    <w:p w14:paraId="2C08C1BB" w14:textId="77777777" w:rsidR="00917ACE" w:rsidRDefault="00917ACE" w:rsidP="0021450B">
      <w:pPr>
        <w:numPr>
          <w:ilvl w:val="0"/>
          <w:numId w:val="5"/>
        </w:numPr>
        <w:ind w:left="720"/>
      </w:pPr>
      <w:r>
        <w:t>Track Closed Wins with reference attribution</w:t>
      </w:r>
    </w:p>
    <w:p w14:paraId="66FCFDAB" w14:textId="77777777" w:rsidR="00917ACE" w:rsidRDefault="00917ACE" w:rsidP="0021450B">
      <w:pPr>
        <w:numPr>
          <w:ilvl w:val="0"/>
          <w:numId w:val="5"/>
        </w:numPr>
        <w:ind w:left="720"/>
      </w:pPr>
      <w:r>
        <w:t>Easy searchability (tags, categories, products, industries, etc.)</w:t>
      </w:r>
    </w:p>
    <w:p w14:paraId="5D64DADC" w14:textId="77777777" w:rsidR="00FB4EB9" w:rsidRPr="00454221" w:rsidRDefault="00FB4EB9" w:rsidP="009833D5">
      <w:pPr>
        <w:rPr>
          <w:szCs w:val="21"/>
        </w:rPr>
      </w:pPr>
    </w:p>
    <w:p w14:paraId="1F616647" w14:textId="77777777" w:rsidR="00931AAA" w:rsidRPr="00454221" w:rsidRDefault="00931AAA" w:rsidP="00931AAA">
      <w:pPr>
        <w:pStyle w:val="Heading1"/>
        <w:rPr>
          <w:sz w:val="21"/>
          <w:szCs w:val="21"/>
        </w:rPr>
      </w:pPr>
    </w:p>
    <w:p w14:paraId="5963704F" w14:textId="6DCBA15C" w:rsidR="00931AAA" w:rsidRPr="001D2DCC" w:rsidRDefault="001D2DCC" w:rsidP="00931AAA">
      <w:pPr>
        <w:pStyle w:val="Heading1"/>
        <w:rPr>
          <w:rFonts w:ascii="Calibri" w:hAnsi="Calibri"/>
          <w:sz w:val="32"/>
          <w:lang w:val="en-US"/>
        </w:rPr>
      </w:pPr>
      <w:r w:rsidRPr="001D2DCC">
        <w:rPr>
          <w:rFonts w:ascii="Calibri" w:hAnsi="Calibri"/>
          <w:sz w:val="32"/>
        </w:rPr>
        <w:t xml:space="preserve">7. </w:t>
      </w:r>
      <w:r w:rsidR="00194401">
        <w:rPr>
          <w:rFonts w:ascii="Calibri" w:hAnsi="Calibri"/>
          <w:sz w:val="32"/>
        </w:rPr>
        <w:t xml:space="preserve"> </w:t>
      </w:r>
      <w:r w:rsidR="00931AAA" w:rsidRPr="001D2DCC">
        <w:rPr>
          <w:rFonts w:ascii="Calibri" w:hAnsi="Calibri"/>
          <w:sz w:val="32"/>
        </w:rPr>
        <w:t>NEAR-TERM NEXT STEPS</w:t>
      </w:r>
    </w:p>
    <w:p w14:paraId="56D8628F" w14:textId="77777777" w:rsidR="00931AAA" w:rsidRPr="009514D1" w:rsidRDefault="00931AAA" w:rsidP="00931AAA">
      <w:pPr>
        <w:pStyle w:val="Heading2NM"/>
        <w:rPr>
          <w:rFonts w:ascii="Calibri" w:hAnsi="Calibri"/>
          <w:sz w:val="21"/>
          <w:szCs w:val="21"/>
        </w:rPr>
      </w:pPr>
    </w:p>
    <w:p w14:paraId="09118B53" w14:textId="011AB3A4" w:rsidR="00931AAA" w:rsidRDefault="00931AAA" w:rsidP="00194401">
      <w:pPr>
        <w:pStyle w:val="ListParagraph"/>
        <w:numPr>
          <w:ilvl w:val="0"/>
          <w:numId w:val="16"/>
        </w:numPr>
      </w:pPr>
      <w:r>
        <w:t>Create internal tracking documents</w:t>
      </w:r>
    </w:p>
    <w:p w14:paraId="4649FC50" w14:textId="17F9EC54" w:rsidR="00931AAA" w:rsidRDefault="00931AAA" w:rsidP="00194401">
      <w:pPr>
        <w:pStyle w:val="ListParagraph"/>
        <w:numPr>
          <w:ilvl w:val="0"/>
          <w:numId w:val="16"/>
        </w:numPr>
      </w:pPr>
      <w:r>
        <w:t>Reduce licensing agreement with Reference View</w:t>
      </w:r>
      <w:r w:rsidR="00437DB0">
        <w:t>, including number of users, Nomination ability and most asset management</w:t>
      </w:r>
    </w:p>
    <w:p w14:paraId="5EEEA77E" w14:textId="049C7587" w:rsidR="001D2DCC" w:rsidRDefault="001D2DCC" w:rsidP="00194401">
      <w:pPr>
        <w:pStyle w:val="ListParagraph"/>
        <w:numPr>
          <w:ilvl w:val="0"/>
          <w:numId w:val="16"/>
        </w:numPr>
      </w:pPr>
      <w:r>
        <w:t>Remove former clients from Reference View</w:t>
      </w:r>
    </w:p>
    <w:p w14:paraId="5EAAC324" w14:textId="751DFB92" w:rsidR="00931AAA" w:rsidRDefault="00931AAA" w:rsidP="00194401">
      <w:pPr>
        <w:pStyle w:val="ListParagraph"/>
        <w:numPr>
          <w:ilvl w:val="0"/>
          <w:numId w:val="16"/>
        </w:numPr>
      </w:pPr>
      <w:r>
        <w:t>Implement incentives for CS</w:t>
      </w:r>
    </w:p>
    <w:p w14:paraId="08D52CA2" w14:textId="5812BBF6" w:rsidR="00931AAA" w:rsidRDefault="00931AAA" w:rsidP="00194401">
      <w:pPr>
        <w:pStyle w:val="ListParagraph"/>
        <w:numPr>
          <w:ilvl w:val="0"/>
          <w:numId w:val="16"/>
        </w:numPr>
      </w:pPr>
      <w:r>
        <w:t xml:space="preserve">Run reports for clients with contractual agreements to serve as reference and integrate with Gainsight/CSDs </w:t>
      </w:r>
    </w:p>
    <w:p w14:paraId="1A48FD23" w14:textId="4C867250" w:rsidR="00931AAA" w:rsidRDefault="00931AAA" w:rsidP="00194401">
      <w:pPr>
        <w:pStyle w:val="ListParagraph"/>
        <w:numPr>
          <w:ilvl w:val="0"/>
          <w:numId w:val="16"/>
        </w:numPr>
      </w:pPr>
      <w:r>
        <w:t>Create client-friendly slides and one-pager for high-impact client stories (request approvals from CSDs/clients when needed)</w:t>
      </w:r>
    </w:p>
    <w:p w14:paraId="5CDC435F" w14:textId="2E1E5A50" w:rsidR="00931AAA" w:rsidRDefault="00931AAA" w:rsidP="00194401">
      <w:pPr>
        <w:pStyle w:val="ListParagraph"/>
        <w:numPr>
          <w:ilvl w:val="0"/>
          <w:numId w:val="16"/>
        </w:numPr>
      </w:pPr>
      <w:r>
        <w:t>Identify clients to participate in Inspire session</w:t>
      </w:r>
    </w:p>
    <w:p w14:paraId="5D7B7FFC" w14:textId="4E7717FB" w:rsidR="00931AAA" w:rsidRDefault="00931AAA" w:rsidP="00194401">
      <w:pPr>
        <w:pStyle w:val="ListParagraph"/>
        <w:numPr>
          <w:ilvl w:val="0"/>
          <w:numId w:val="16"/>
        </w:numPr>
      </w:pPr>
      <w:r>
        <w:t>Continue progress on reference requests, invitations and case studies</w:t>
      </w:r>
    </w:p>
    <w:p w14:paraId="7521DEE7" w14:textId="2F714386" w:rsidR="002531FA" w:rsidRDefault="002531FA" w:rsidP="00194401">
      <w:pPr>
        <w:pStyle w:val="ListParagraph"/>
        <w:numPr>
          <w:ilvl w:val="0"/>
          <w:numId w:val="16"/>
        </w:numPr>
      </w:pPr>
      <w:r>
        <w:t>Create list of prioritized products, industries and topics</w:t>
      </w:r>
    </w:p>
    <w:p w14:paraId="3E8397CD" w14:textId="77777777" w:rsidR="00931AAA" w:rsidRDefault="00931AAA" w:rsidP="009833D5"/>
    <w:p w14:paraId="40003CA9" w14:textId="77777777" w:rsidR="008643B3" w:rsidRDefault="008643B3" w:rsidP="00FA3200"/>
    <w:sectPr w:rsidR="008643B3" w:rsidSect="00D3146A">
      <w:headerReference w:type="default" r:id="rId10"/>
      <w:footerReference w:type="default" r:id="rId11"/>
      <w:footerReference w:type="first" r:id="rId12"/>
      <w:pgSz w:w="12240" w:h="15840"/>
      <w:pgMar w:top="576" w:right="1296" w:bottom="720" w:left="1584" w:header="634" w:footer="432" w:gutter="0"/>
      <w:pgNumType w:start="0"/>
      <w:cols w:space="144"/>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D81B4F" w14:textId="77777777" w:rsidR="00C46727" w:rsidRDefault="00C46727">
      <w:r>
        <w:separator/>
      </w:r>
    </w:p>
  </w:endnote>
  <w:endnote w:type="continuationSeparator" w:id="0">
    <w:p w14:paraId="24D387FB" w14:textId="77777777" w:rsidR="00C46727" w:rsidRDefault="00C4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C11EF7" w14:textId="77777777" w:rsidR="0067605A" w:rsidRDefault="00D3146A" w:rsidP="00515F76">
    <w:pPr>
      <w:pStyle w:val="Footer"/>
      <w:ind w:left="-180"/>
    </w:pPr>
    <w:r w:rsidRPr="00F91E54">
      <w:rPr>
        <w:color w:val="AEAAAA"/>
        <w:sz w:val="20"/>
        <w:szCs w:val="20"/>
      </w:rPr>
      <w:t xml:space="preserve">Reference Program Manifesto         </w:t>
    </w:r>
    <w:r w:rsidRPr="00F91E54">
      <w:rPr>
        <w:color w:val="AEAAAA"/>
        <w:sz w:val="20"/>
        <w:szCs w:val="20"/>
      </w:rPr>
      <w:tab/>
    </w:r>
    <w:r w:rsidRPr="00F91E54">
      <w:rPr>
        <w:color w:val="AEAAAA"/>
        <w:sz w:val="20"/>
        <w:szCs w:val="20"/>
      </w:rPr>
      <w:tab/>
      <w:t>Bazaarvoice – Proprietary and Confidential</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71721B" w14:textId="77777777" w:rsidR="00CE7730" w:rsidRPr="00F91E54" w:rsidRDefault="00D3146A" w:rsidP="00CE7730">
    <w:pPr>
      <w:pStyle w:val="Footer"/>
      <w:jc w:val="right"/>
      <w:rPr>
        <w:color w:val="AEAAAA"/>
        <w:sz w:val="14"/>
        <w:szCs w:val="14"/>
      </w:rPr>
    </w:pPr>
    <w:r w:rsidRPr="00F91E54">
      <w:rPr>
        <w:color w:val="AEAAAA"/>
        <w:sz w:val="14"/>
        <w:szCs w:val="14"/>
      </w:rPr>
      <w:t xml:space="preserve">Reference Program Manifesto                       </w:t>
    </w:r>
    <w:r w:rsidRPr="00F91E54">
      <w:rPr>
        <w:color w:val="AEAAAA"/>
        <w:sz w:val="14"/>
        <w:szCs w:val="14"/>
      </w:rPr>
      <w:tab/>
    </w:r>
    <w:r w:rsidRPr="00F91E54">
      <w:rPr>
        <w:color w:val="AEAAAA"/>
        <w:sz w:val="14"/>
        <w:szCs w:val="14"/>
      </w:rPr>
      <w:tab/>
      <w:t xml:space="preserve">     Bazaarvoice – Proprietary and Confidential</w:t>
    </w:r>
  </w:p>
  <w:p w14:paraId="3D33363F" w14:textId="77777777" w:rsidR="00CE7730" w:rsidRDefault="00C46727">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4A77A5" w14:textId="77777777" w:rsidR="00C46727" w:rsidRDefault="00C46727">
      <w:r>
        <w:separator/>
      </w:r>
    </w:p>
  </w:footnote>
  <w:footnote w:type="continuationSeparator" w:id="0">
    <w:p w14:paraId="7EB5072A" w14:textId="77777777" w:rsidR="00C46727" w:rsidRDefault="00C4672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C38E9A" w14:textId="77777777" w:rsidR="0067605A" w:rsidRPr="00CE7730" w:rsidRDefault="00D3146A" w:rsidP="00CE7730">
    <w:pPr>
      <w:pStyle w:val="ParagraphText-BexarCounty"/>
      <w:tabs>
        <w:tab w:val="clear" w:pos="360"/>
        <w:tab w:val="left" w:pos="0"/>
      </w:tabs>
      <w:ind w:left="0"/>
      <w:rPr>
        <w:noProof/>
        <w:lang w:val="en-US"/>
      </w:rPr>
    </w:pPr>
    <w:r>
      <w:rPr>
        <w:noProof/>
        <w:lang w:val="en-US"/>
      </w:rPr>
      <w:tab/>
    </w:r>
    <w:r>
      <w:rPr>
        <w:noProof/>
        <w:lang w:val="en-US"/>
      </w:rPr>
      <w:tab/>
    </w:r>
    <w:r>
      <w:rPr>
        <w:noProof/>
        <w:lang w:val="en-US"/>
      </w:rPr>
      <w:tab/>
    </w:r>
    <w:r>
      <w:rPr>
        <w:noProof/>
        <w:lang w:val="en-US"/>
      </w:rPr>
      <w:tab/>
    </w:r>
    <w:r>
      <w:rPr>
        <w:noProof/>
        <w:lang w:val="en-US"/>
      </w:rPr>
      <w:tab/>
    </w:r>
    <w:r>
      <w:rPr>
        <w:noProof/>
        <w:lang w:val="en-US"/>
      </w:rPr>
      <w:tab/>
    </w:r>
    <w:r>
      <w:rPr>
        <w:noProof/>
        <w:lang w:val="en-US"/>
      </w:rPr>
      <w:tab/>
    </w:r>
    <w:r>
      <w:rPr>
        <w:noProof/>
        <w:lang w:val="en-US"/>
      </w:rPr>
      <w:tab/>
    </w:r>
    <w:r>
      <w:rPr>
        <w:noProof/>
        <w:lang w:val="en-US"/>
      </w:rP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067766"/>
    <w:multiLevelType w:val="hybridMultilevel"/>
    <w:tmpl w:val="8FA66CD4"/>
    <w:lvl w:ilvl="0" w:tplc="B1720BF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F10FFD"/>
    <w:multiLevelType w:val="hybridMultilevel"/>
    <w:tmpl w:val="1FD45EF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
    <w:nsid w:val="13316A3C"/>
    <w:multiLevelType w:val="hybridMultilevel"/>
    <w:tmpl w:val="80163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33579F"/>
    <w:multiLevelType w:val="hybridMultilevel"/>
    <w:tmpl w:val="81F4E0BC"/>
    <w:lvl w:ilvl="0" w:tplc="0409000F">
      <w:start w:val="1"/>
      <w:numFmt w:val="decimal"/>
      <w:lvlText w:val="%1."/>
      <w:lvlJc w:val="left"/>
      <w:pPr>
        <w:ind w:left="360" w:hanging="360"/>
      </w:pPr>
      <w:rPr>
        <w:rFonts w:hint="default"/>
      </w:rPr>
    </w:lvl>
    <w:lvl w:ilvl="1" w:tplc="04090001">
      <w:start w:val="1"/>
      <w:numFmt w:val="bullet"/>
      <w:lvlText w:val=""/>
      <w:lvlJc w:val="left"/>
      <w:pPr>
        <w:ind w:left="360" w:hanging="360"/>
      </w:pPr>
      <w:rPr>
        <w:rFonts w:ascii="Symbol" w:hAnsi="Symbol" w:hint="default"/>
      </w:rPr>
    </w:lvl>
    <w:lvl w:ilvl="2" w:tplc="04090019">
      <w:start w:val="1"/>
      <w:numFmt w:val="lowerLetter"/>
      <w:lvlText w:val="%3."/>
      <w:lvlJc w:val="left"/>
      <w:pPr>
        <w:ind w:left="1080" w:hanging="36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95214F5"/>
    <w:multiLevelType w:val="hybridMultilevel"/>
    <w:tmpl w:val="68D4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F57143D"/>
    <w:multiLevelType w:val="hybridMultilevel"/>
    <w:tmpl w:val="772E7F90"/>
    <w:lvl w:ilvl="0" w:tplc="0409000F">
      <w:start w:val="1"/>
      <w:numFmt w:val="decimal"/>
      <w:lvlText w:val="%1."/>
      <w:lvlJc w:val="left"/>
      <w:pPr>
        <w:ind w:left="1080" w:hanging="360"/>
      </w:pPr>
      <w:rPr>
        <w:rFonts w:hint="default"/>
      </w:rPr>
    </w:lvl>
    <w:lvl w:ilvl="1" w:tplc="0409000F">
      <w:start w:val="1"/>
      <w:numFmt w:val="decimal"/>
      <w:lvlText w:val="%2."/>
      <w:lvlJc w:val="left"/>
      <w:pPr>
        <w:ind w:left="1080" w:hanging="360"/>
      </w:pPr>
      <w:rPr>
        <w:rFonts w:hint="default"/>
      </w:rPr>
    </w:lvl>
    <w:lvl w:ilvl="2" w:tplc="04090019">
      <w:start w:val="1"/>
      <w:numFmt w:val="lowerLetter"/>
      <w:lvlText w:val="%3."/>
      <w:lvlJc w:val="left"/>
      <w:pPr>
        <w:ind w:left="1800" w:hanging="36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3BF00B8"/>
    <w:multiLevelType w:val="hybridMultilevel"/>
    <w:tmpl w:val="8B4E9B28"/>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19">
      <w:start w:val="1"/>
      <w:numFmt w:val="lowerLetter"/>
      <w:lvlText w:val="%3."/>
      <w:lvlJc w:val="left"/>
      <w:pPr>
        <w:ind w:left="1080" w:hanging="36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33D52C81"/>
    <w:multiLevelType w:val="hybridMultilevel"/>
    <w:tmpl w:val="35601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44F7297"/>
    <w:multiLevelType w:val="hybridMultilevel"/>
    <w:tmpl w:val="9932B0B8"/>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4C80E00"/>
    <w:multiLevelType w:val="hybridMultilevel"/>
    <w:tmpl w:val="A9965CF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0" w:hanging="360"/>
      </w:pPr>
      <w:rPr>
        <w:rFonts w:ascii="Symbol" w:hAnsi="Symbol" w:hint="default"/>
      </w:rPr>
    </w:lvl>
    <w:lvl w:ilvl="4" w:tplc="04090003" w:tentative="1">
      <w:start w:val="1"/>
      <w:numFmt w:val="bullet"/>
      <w:lvlText w:val="o"/>
      <w:lvlJc w:val="left"/>
      <w:pPr>
        <w:ind w:left="720" w:hanging="360"/>
      </w:pPr>
      <w:rPr>
        <w:rFonts w:ascii="Courier New" w:hAnsi="Courier New" w:cs="Courier New" w:hint="default"/>
      </w:rPr>
    </w:lvl>
    <w:lvl w:ilvl="5" w:tplc="04090005" w:tentative="1">
      <w:start w:val="1"/>
      <w:numFmt w:val="bullet"/>
      <w:lvlText w:val=""/>
      <w:lvlJc w:val="left"/>
      <w:pPr>
        <w:ind w:left="1440" w:hanging="360"/>
      </w:pPr>
      <w:rPr>
        <w:rFonts w:ascii="Wingdings" w:hAnsi="Wingdings" w:hint="default"/>
      </w:rPr>
    </w:lvl>
    <w:lvl w:ilvl="6" w:tplc="04090001" w:tentative="1">
      <w:start w:val="1"/>
      <w:numFmt w:val="bullet"/>
      <w:lvlText w:val=""/>
      <w:lvlJc w:val="left"/>
      <w:pPr>
        <w:ind w:left="2160" w:hanging="360"/>
      </w:pPr>
      <w:rPr>
        <w:rFonts w:ascii="Symbol" w:hAnsi="Symbol" w:hint="default"/>
      </w:rPr>
    </w:lvl>
    <w:lvl w:ilvl="7" w:tplc="04090003" w:tentative="1">
      <w:start w:val="1"/>
      <w:numFmt w:val="bullet"/>
      <w:lvlText w:val="o"/>
      <w:lvlJc w:val="left"/>
      <w:pPr>
        <w:ind w:left="2880" w:hanging="360"/>
      </w:pPr>
      <w:rPr>
        <w:rFonts w:ascii="Courier New" w:hAnsi="Courier New" w:cs="Courier New" w:hint="default"/>
      </w:rPr>
    </w:lvl>
    <w:lvl w:ilvl="8" w:tplc="04090005" w:tentative="1">
      <w:start w:val="1"/>
      <w:numFmt w:val="bullet"/>
      <w:lvlText w:val=""/>
      <w:lvlJc w:val="left"/>
      <w:pPr>
        <w:ind w:left="3600" w:hanging="360"/>
      </w:pPr>
      <w:rPr>
        <w:rFonts w:ascii="Wingdings" w:hAnsi="Wingdings" w:hint="default"/>
      </w:rPr>
    </w:lvl>
  </w:abstractNum>
  <w:abstractNum w:abstractNumId="10">
    <w:nsid w:val="3E784504"/>
    <w:multiLevelType w:val="hybridMultilevel"/>
    <w:tmpl w:val="EA5A1904"/>
    <w:lvl w:ilvl="0" w:tplc="0409000F">
      <w:start w:val="1"/>
      <w:numFmt w:val="decimal"/>
      <w:lvlText w:val="%1."/>
      <w:lvlJc w:val="left"/>
      <w:pPr>
        <w:ind w:left="1080" w:hanging="360"/>
      </w:pPr>
      <w:rPr>
        <w:rFonts w:hint="default"/>
      </w:rPr>
    </w:lvl>
    <w:lvl w:ilvl="1" w:tplc="04090019">
      <w:start w:val="1"/>
      <w:numFmt w:val="lowerLetter"/>
      <w:lvlText w:val="%2."/>
      <w:lvlJc w:val="left"/>
      <w:pPr>
        <w:ind w:left="1080" w:hanging="360"/>
      </w:pPr>
      <w:rPr>
        <w:rFonts w:hint="default"/>
      </w:rPr>
    </w:lvl>
    <w:lvl w:ilvl="2" w:tplc="04090019">
      <w:start w:val="1"/>
      <w:numFmt w:val="lowerLetter"/>
      <w:lvlText w:val="%3."/>
      <w:lvlJc w:val="left"/>
      <w:pPr>
        <w:ind w:left="1800" w:hanging="36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2E33965"/>
    <w:multiLevelType w:val="hybridMultilevel"/>
    <w:tmpl w:val="4A3AF906"/>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2">
    <w:nsid w:val="44081915"/>
    <w:multiLevelType w:val="hybridMultilevel"/>
    <w:tmpl w:val="F608339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6A8718B7"/>
    <w:multiLevelType w:val="hybridMultilevel"/>
    <w:tmpl w:val="BE80A79A"/>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7526104C"/>
    <w:multiLevelType w:val="hybridMultilevel"/>
    <w:tmpl w:val="CB5AF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7BC3D8A"/>
    <w:multiLevelType w:val="hybridMultilevel"/>
    <w:tmpl w:val="34644114"/>
    <w:lvl w:ilvl="0" w:tplc="0409000F">
      <w:start w:val="1"/>
      <w:numFmt w:val="decimal"/>
      <w:lvlText w:val="%1."/>
      <w:lvlJc w:val="left"/>
      <w:pPr>
        <w:ind w:left="-360" w:hanging="360"/>
      </w:pPr>
      <w:rPr>
        <w:rFonts w:hint="default"/>
      </w:rPr>
    </w:lvl>
    <w:lvl w:ilvl="1" w:tplc="0409000F">
      <w:start w:val="1"/>
      <w:numFmt w:val="decimal"/>
      <w:lvlText w:val="%2."/>
      <w:lvlJc w:val="left"/>
      <w:pPr>
        <w:ind w:left="360" w:hanging="360"/>
      </w:pPr>
      <w:rPr>
        <w:rFonts w:hint="default"/>
      </w:r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num w:numId="1">
    <w:abstractNumId w:val="0"/>
  </w:num>
  <w:num w:numId="2">
    <w:abstractNumId w:val="5"/>
  </w:num>
  <w:num w:numId="3">
    <w:abstractNumId w:val="8"/>
  </w:num>
  <w:num w:numId="4">
    <w:abstractNumId w:val="15"/>
  </w:num>
  <w:num w:numId="5">
    <w:abstractNumId w:val="13"/>
  </w:num>
  <w:num w:numId="6">
    <w:abstractNumId w:val="11"/>
  </w:num>
  <w:num w:numId="7">
    <w:abstractNumId w:val="12"/>
  </w:num>
  <w:num w:numId="8">
    <w:abstractNumId w:val="4"/>
  </w:num>
  <w:num w:numId="9">
    <w:abstractNumId w:val="9"/>
  </w:num>
  <w:num w:numId="10">
    <w:abstractNumId w:val="2"/>
  </w:num>
  <w:num w:numId="11">
    <w:abstractNumId w:val="7"/>
  </w:num>
  <w:num w:numId="12">
    <w:abstractNumId w:val="14"/>
  </w:num>
  <w:num w:numId="13">
    <w:abstractNumId w:val="10"/>
  </w:num>
  <w:num w:numId="14">
    <w:abstractNumId w:val="3"/>
  </w:num>
  <w:num w:numId="15">
    <w:abstractNumId w:val="6"/>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6"/>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46A"/>
    <w:rsid w:val="000258BF"/>
    <w:rsid w:val="00027395"/>
    <w:rsid w:val="00030EB2"/>
    <w:rsid w:val="00031F0A"/>
    <w:rsid w:val="000559AF"/>
    <w:rsid w:val="00055E96"/>
    <w:rsid w:val="000A28F7"/>
    <w:rsid w:val="000E001E"/>
    <w:rsid w:val="00183044"/>
    <w:rsid w:val="00194401"/>
    <w:rsid w:val="001C5271"/>
    <w:rsid w:val="001D2DCC"/>
    <w:rsid w:val="0021450B"/>
    <w:rsid w:val="00233FE7"/>
    <w:rsid w:val="002531FA"/>
    <w:rsid w:val="002659C9"/>
    <w:rsid w:val="00273CE1"/>
    <w:rsid w:val="002768B4"/>
    <w:rsid w:val="00297411"/>
    <w:rsid w:val="002D1C0E"/>
    <w:rsid w:val="0030132F"/>
    <w:rsid w:val="00321B13"/>
    <w:rsid w:val="00335F42"/>
    <w:rsid w:val="00345AD2"/>
    <w:rsid w:val="00375CA1"/>
    <w:rsid w:val="003848A4"/>
    <w:rsid w:val="003B1E78"/>
    <w:rsid w:val="003C1DDD"/>
    <w:rsid w:val="00402395"/>
    <w:rsid w:val="00437DB0"/>
    <w:rsid w:val="004503AB"/>
    <w:rsid w:val="00454221"/>
    <w:rsid w:val="00492BBC"/>
    <w:rsid w:val="004E3342"/>
    <w:rsid w:val="00511EEC"/>
    <w:rsid w:val="005335AA"/>
    <w:rsid w:val="00534025"/>
    <w:rsid w:val="00540818"/>
    <w:rsid w:val="00585CAE"/>
    <w:rsid w:val="005D45DD"/>
    <w:rsid w:val="0060147D"/>
    <w:rsid w:val="006B1926"/>
    <w:rsid w:val="00706FCC"/>
    <w:rsid w:val="00737D81"/>
    <w:rsid w:val="00744AD1"/>
    <w:rsid w:val="00750C25"/>
    <w:rsid w:val="007B6AB6"/>
    <w:rsid w:val="007F604F"/>
    <w:rsid w:val="007F75BF"/>
    <w:rsid w:val="00841654"/>
    <w:rsid w:val="00852C75"/>
    <w:rsid w:val="008643B3"/>
    <w:rsid w:val="0087078E"/>
    <w:rsid w:val="008951E2"/>
    <w:rsid w:val="008C7831"/>
    <w:rsid w:val="008E1ADE"/>
    <w:rsid w:val="00917ACE"/>
    <w:rsid w:val="00931AAA"/>
    <w:rsid w:val="009514D1"/>
    <w:rsid w:val="00977E29"/>
    <w:rsid w:val="009833D5"/>
    <w:rsid w:val="00985CA0"/>
    <w:rsid w:val="009A0B2B"/>
    <w:rsid w:val="009B4537"/>
    <w:rsid w:val="00A04778"/>
    <w:rsid w:val="00A2316A"/>
    <w:rsid w:val="00A27D36"/>
    <w:rsid w:val="00A35478"/>
    <w:rsid w:val="00A614C1"/>
    <w:rsid w:val="00AD4AA0"/>
    <w:rsid w:val="00AE6F05"/>
    <w:rsid w:val="00AE72DA"/>
    <w:rsid w:val="00B2206F"/>
    <w:rsid w:val="00B827B3"/>
    <w:rsid w:val="00BF2BE2"/>
    <w:rsid w:val="00C0343C"/>
    <w:rsid w:val="00C42C8C"/>
    <w:rsid w:val="00C44E81"/>
    <w:rsid w:val="00C46727"/>
    <w:rsid w:val="00C7571B"/>
    <w:rsid w:val="00CF7C93"/>
    <w:rsid w:val="00D01E59"/>
    <w:rsid w:val="00D26897"/>
    <w:rsid w:val="00D3146A"/>
    <w:rsid w:val="00DF35AC"/>
    <w:rsid w:val="00E16E43"/>
    <w:rsid w:val="00E65BE6"/>
    <w:rsid w:val="00EE4B92"/>
    <w:rsid w:val="00EE7CAA"/>
    <w:rsid w:val="00EF2F6A"/>
    <w:rsid w:val="00F32ECB"/>
    <w:rsid w:val="00F3429F"/>
    <w:rsid w:val="00F46E28"/>
    <w:rsid w:val="00F776C7"/>
    <w:rsid w:val="00FA3200"/>
    <w:rsid w:val="00FB4EB9"/>
    <w:rsid w:val="00FF2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28ED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146A"/>
    <w:rPr>
      <w:rFonts w:ascii="Calibri" w:eastAsia="Times New Roman" w:hAnsi="Calibri" w:cs="Times New Roman"/>
      <w:sz w:val="21"/>
      <w:szCs w:val="22"/>
    </w:rPr>
  </w:style>
  <w:style w:type="paragraph" w:styleId="Heading1">
    <w:name w:val="heading 1"/>
    <w:aliases w:val="Char Char Char"/>
    <w:basedOn w:val="Normal"/>
    <w:next w:val="Normal"/>
    <w:link w:val="Heading1Char"/>
    <w:qFormat/>
    <w:rsid w:val="00D3146A"/>
    <w:pPr>
      <w:keepNext/>
      <w:pBdr>
        <w:bottom w:val="single" w:sz="8" w:space="1" w:color="999999"/>
      </w:pBdr>
      <w:spacing w:before="120" w:after="120"/>
      <w:outlineLvl w:val="0"/>
    </w:pPr>
    <w:rPr>
      <w:rFonts w:ascii="Arial" w:hAnsi="Arial"/>
      <w:b/>
      <w:bCs/>
      <w:kern w:val="32"/>
      <w:sz w:val="28"/>
      <w:szCs w:val="32"/>
      <w:lang w:val="x-none" w:eastAsia="x-none"/>
    </w:rPr>
  </w:style>
  <w:style w:type="paragraph" w:styleId="Heading3">
    <w:name w:val="heading 3"/>
    <w:basedOn w:val="Normal"/>
    <w:next w:val="Normal"/>
    <w:link w:val="Heading3Char"/>
    <w:uiPriority w:val="9"/>
    <w:semiHidden/>
    <w:unhideWhenUsed/>
    <w:qFormat/>
    <w:rsid w:val="00D3146A"/>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r Char Char Char"/>
    <w:basedOn w:val="DefaultParagraphFont"/>
    <w:link w:val="Heading1"/>
    <w:rsid w:val="00D3146A"/>
    <w:rPr>
      <w:rFonts w:ascii="Arial" w:eastAsia="Times New Roman" w:hAnsi="Arial" w:cs="Times New Roman"/>
      <w:b/>
      <w:bCs/>
      <w:kern w:val="32"/>
      <w:sz w:val="28"/>
      <w:szCs w:val="32"/>
      <w:lang w:val="x-none" w:eastAsia="x-none"/>
    </w:rPr>
  </w:style>
  <w:style w:type="character" w:styleId="Hyperlink">
    <w:name w:val="Hyperlink"/>
    <w:uiPriority w:val="99"/>
    <w:rsid w:val="00D3146A"/>
    <w:rPr>
      <w:color w:val="0000FF"/>
      <w:u w:val="single"/>
    </w:rPr>
  </w:style>
  <w:style w:type="paragraph" w:styleId="TOC1">
    <w:name w:val="toc 1"/>
    <w:basedOn w:val="Normal"/>
    <w:next w:val="Normal"/>
    <w:link w:val="TOC1Char"/>
    <w:autoRedefine/>
    <w:uiPriority w:val="39"/>
    <w:qFormat/>
    <w:rsid w:val="00D3146A"/>
    <w:pPr>
      <w:tabs>
        <w:tab w:val="right" w:leader="dot" w:pos="9350"/>
      </w:tabs>
      <w:spacing w:before="360"/>
    </w:pPr>
    <w:rPr>
      <w:b/>
      <w:bCs/>
      <w:caps/>
      <w:sz w:val="24"/>
      <w:szCs w:val="24"/>
      <w:lang w:val="x-none" w:eastAsia="x-none"/>
    </w:rPr>
  </w:style>
  <w:style w:type="paragraph" w:styleId="Footer">
    <w:name w:val="footer"/>
    <w:basedOn w:val="Normal"/>
    <w:link w:val="FooterChar"/>
    <w:uiPriority w:val="99"/>
    <w:unhideWhenUsed/>
    <w:rsid w:val="00D3146A"/>
    <w:pPr>
      <w:tabs>
        <w:tab w:val="center" w:pos="4680"/>
        <w:tab w:val="right" w:pos="9360"/>
      </w:tabs>
    </w:pPr>
  </w:style>
  <w:style w:type="character" w:customStyle="1" w:styleId="FooterChar">
    <w:name w:val="Footer Char"/>
    <w:basedOn w:val="DefaultParagraphFont"/>
    <w:link w:val="Footer"/>
    <w:uiPriority w:val="99"/>
    <w:rsid w:val="00D3146A"/>
    <w:rPr>
      <w:rFonts w:ascii="Calibri" w:eastAsia="Times New Roman" w:hAnsi="Calibri" w:cs="Times New Roman"/>
      <w:sz w:val="21"/>
      <w:szCs w:val="22"/>
    </w:rPr>
  </w:style>
  <w:style w:type="paragraph" w:customStyle="1" w:styleId="ParagraphText-BexarCounty">
    <w:name w:val="Paragraph Text - Bexar County"/>
    <w:basedOn w:val="Normal"/>
    <w:link w:val="ParagraphText-BexarCountyChar"/>
    <w:qFormat/>
    <w:rsid w:val="00D3146A"/>
    <w:pPr>
      <w:tabs>
        <w:tab w:val="left" w:pos="360"/>
      </w:tabs>
      <w:autoSpaceDE w:val="0"/>
      <w:autoSpaceDN w:val="0"/>
      <w:adjustRightInd w:val="0"/>
      <w:spacing w:line="300" w:lineRule="exact"/>
      <w:ind w:left="360" w:right="43"/>
    </w:pPr>
    <w:rPr>
      <w:rFonts w:ascii="Arial" w:hAnsi="Arial"/>
      <w:szCs w:val="21"/>
      <w:lang w:val="x-none" w:eastAsia="x-none"/>
    </w:rPr>
  </w:style>
  <w:style w:type="character" w:customStyle="1" w:styleId="ParagraphText-BexarCountyChar">
    <w:name w:val="Paragraph Text - Bexar County Char"/>
    <w:link w:val="ParagraphText-BexarCounty"/>
    <w:rsid w:val="00D3146A"/>
    <w:rPr>
      <w:rFonts w:ascii="Arial" w:eastAsia="Times New Roman" w:hAnsi="Arial" w:cs="Times New Roman"/>
      <w:sz w:val="21"/>
      <w:szCs w:val="21"/>
      <w:lang w:val="x-none" w:eastAsia="x-none"/>
    </w:rPr>
  </w:style>
  <w:style w:type="paragraph" w:customStyle="1" w:styleId="Heading2NM">
    <w:name w:val="Heading 2 NM"/>
    <w:basedOn w:val="Heading3"/>
    <w:link w:val="Heading2NMChar"/>
    <w:qFormat/>
    <w:rsid w:val="00D3146A"/>
    <w:pPr>
      <w:keepLines w:val="0"/>
      <w:spacing w:before="0" w:after="60"/>
    </w:pPr>
    <w:rPr>
      <w:rFonts w:ascii="Arial" w:eastAsia="Times New Roman" w:hAnsi="Arial" w:cs="Times New Roman"/>
      <w:b/>
      <w:bCs/>
      <w:color w:val="auto"/>
      <w:szCs w:val="26"/>
      <w:lang w:val="x-none" w:eastAsia="x-none"/>
    </w:rPr>
  </w:style>
  <w:style w:type="character" w:customStyle="1" w:styleId="Heading2NMChar">
    <w:name w:val="Heading 2 NM Char"/>
    <w:link w:val="Heading2NM"/>
    <w:rsid w:val="00D3146A"/>
    <w:rPr>
      <w:rFonts w:ascii="Arial" w:eastAsia="Times New Roman" w:hAnsi="Arial" w:cs="Times New Roman"/>
      <w:b/>
      <w:bCs/>
      <w:szCs w:val="26"/>
      <w:lang w:val="x-none" w:eastAsia="x-none"/>
    </w:rPr>
  </w:style>
  <w:style w:type="paragraph" w:styleId="NormalWeb">
    <w:name w:val="Normal (Web)"/>
    <w:basedOn w:val="Normal"/>
    <w:uiPriority w:val="99"/>
    <w:unhideWhenUsed/>
    <w:rsid w:val="00D3146A"/>
    <w:pPr>
      <w:spacing w:before="100" w:beforeAutospacing="1" w:after="100" w:afterAutospacing="1"/>
    </w:pPr>
    <w:rPr>
      <w:rFonts w:ascii="Times New Roman" w:hAnsi="Times New Roman"/>
      <w:sz w:val="24"/>
      <w:szCs w:val="24"/>
    </w:rPr>
  </w:style>
  <w:style w:type="paragraph" w:customStyle="1" w:styleId="ProposalCaption">
    <w:name w:val="Proposal Caption"/>
    <w:basedOn w:val="Normal"/>
    <w:qFormat/>
    <w:rsid w:val="00D3146A"/>
    <w:pPr>
      <w:jc w:val="center"/>
    </w:pPr>
    <w:rPr>
      <w:i/>
    </w:rPr>
  </w:style>
  <w:style w:type="character" w:customStyle="1" w:styleId="TOC1Char">
    <w:name w:val="TOC 1 Char"/>
    <w:link w:val="TOC1"/>
    <w:uiPriority w:val="39"/>
    <w:rsid w:val="00D3146A"/>
    <w:rPr>
      <w:rFonts w:ascii="Calibri" w:eastAsia="Times New Roman" w:hAnsi="Calibri" w:cs="Times New Roman"/>
      <w:b/>
      <w:bCs/>
      <w:caps/>
      <w:lang w:val="x-none" w:eastAsia="x-none"/>
    </w:rPr>
  </w:style>
  <w:style w:type="character" w:customStyle="1" w:styleId="Heading3Char">
    <w:name w:val="Heading 3 Char"/>
    <w:basedOn w:val="DefaultParagraphFont"/>
    <w:link w:val="Heading3"/>
    <w:uiPriority w:val="9"/>
    <w:semiHidden/>
    <w:rsid w:val="00D3146A"/>
    <w:rPr>
      <w:rFonts w:asciiTheme="majorHAnsi" w:eastAsiaTheme="majorEastAsia" w:hAnsiTheme="majorHAnsi" w:cstheme="majorBidi"/>
      <w:color w:val="1F4D78" w:themeColor="accent1" w:themeShade="7F"/>
    </w:rPr>
  </w:style>
  <w:style w:type="paragraph" w:styleId="TOC3">
    <w:name w:val="toc 3"/>
    <w:basedOn w:val="Normal"/>
    <w:next w:val="Normal"/>
    <w:autoRedefine/>
    <w:uiPriority w:val="39"/>
    <w:unhideWhenUsed/>
    <w:rsid w:val="00D3146A"/>
    <w:pPr>
      <w:spacing w:after="100"/>
      <w:ind w:left="420"/>
    </w:pPr>
  </w:style>
  <w:style w:type="paragraph" w:styleId="ListParagraph">
    <w:name w:val="List Paragraph"/>
    <w:basedOn w:val="Normal"/>
    <w:uiPriority w:val="34"/>
    <w:qFormat/>
    <w:rsid w:val="00345A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085038">
      <w:bodyDiv w:val="1"/>
      <w:marLeft w:val="0"/>
      <w:marRight w:val="0"/>
      <w:marTop w:val="0"/>
      <w:marBottom w:val="0"/>
      <w:divBdr>
        <w:top w:val="none" w:sz="0" w:space="0" w:color="auto"/>
        <w:left w:val="none" w:sz="0" w:space="0" w:color="auto"/>
        <w:bottom w:val="none" w:sz="0" w:space="0" w:color="auto"/>
        <w:right w:val="none" w:sz="0" w:space="0" w:color="auto"/>
      </w:divBdr>
    </w:div>
    <w:div w:id="461268773">
      <w:bodyDiv w:val="1"/>
      <w:marLeft w:val="0"/>
      <w:marRight w:val="0"/>
      <w:marTop w:val="0"/>
      <w:marBottom w:val="0"/>
      <w:divBdr>
        <w:top w:val="none" w:sz="0" w:space="0" w:color="auto"/>
        <w:left w:val="none" w:sz="0" w:space="0" w:color="auto"/>
        <w:bottom w:val="none" w:sz="0" w:space="0" w:color="auto"/>
        <w:right w:val="none" w:sz="0" w:space="0" w:color="auto"/>
      </w:divBdr>
    </w:div>
    <w:div w:id="962426396">
      <w:bodyDiv w:val="1"/>
      <w:marLeft w:val="0"/>
      <w:marRight w:val="0"/>
      <w:marTop w:val="0"/>
      <w:marBottom w:val="0"/>
      <w:divBdr>
        <w:top w:val="none" w:sz="0" w:space="0" w:color="auto"/>
        <w:left w:val="none" w:sz="0" w:space="0" w:color="auto"/>
        <w:bottom w:val="none" w:sz="0" w:space="0" w:color="auto"/>
        <w:right w:val="none" w:sz="0" w:space="0" w:color="auto"/>
      </w:divBdr>
    </w:div>
    <w:div w:id="149005445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chart" Target="charts/chart1.xml"/><Relationship Id="rId8" Type="http://schemas.openxmlformats.org/officeDocument/2006/relationships/image" Target="media/image1.png"/><Relationship Id="rId9" Type="http://schemas.openxmlformats.org/officeDocument/2006/relationships/chart" Target="charts/chart2.xml"/><Relationship Id="rId10"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file://localhost/Users/todd.greenbaum/Downloads/ReferenceAssetSummary%20(2).xlsx" TargetMode="External"/></Relationships>
</file>

<file path=word/charts/_rels/chart2.xml.rels><?xml version="1.0" encoding="UTF-8" standalone="yes"?>
<Relationships xmlns="http://schemas.openxmlformats.org/package/2006/relationships"><Relationship Id="rId1" Type="http://schemas.microsoft.com/office/2011/relationships/chartStyle" Target="style2.xml"/><Relationship Id="rId2" Type="http://schemas.microsoft.com/office/2011/relationships/chartColorStyle" Target="colors2.xml"/><Relationship Id="rId3" Type="http://schemas.openxmlformats.org/officeDocument/2006/relationships/oleObject" Target="file://localhost/Users/todd.greenbaum/Downloads/Report%20(13).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75000"/>
                    <a:lumOff val="25000"/>
                  </a:schemeClr>
                </a:solidFill>
                <a:latin typeface="+mn-lt"/>
                <a:ea typeface="+mn-ea"/>
                <a:cs typeface="+mn-cs"/>
              </a:defRPr>
            </a:pPr>
            <a:r>
              <a:rPr lang="en-US" sz="1050" b="1">
                <a:solidFill>
                  <a:schemeClr val="tx1">
                    <a:lumMod val="75000"/>
                    <a:lumOff val="25000"/>
                  </a:schemeClr>
                </a:solidFill>
              </a:rPr>
              <a:t>Current</a:t>
            </a:r>
            <a:r>
              <a:rPr lang="en-US" sz="1050" b="1" baseline="0">
                <a:solidFill>
                  <a:schemeClr val="tx1">
                    <a:lumMod val="75000"/>
                    <a:lumOff val="25000"/>
                  </a:schemeClr>
                </a:solidFill>
              </a:rPr>
              <a:t> Reference View Commitment Levels</a:t>
            </a:r>
            <a:endParaRPr lang="en-US" sz="1050" b="1">
              <a:solidFill>
                <a:schemeClr val="tx1">
                  <a:lumMod val="75000"/>
                  <a:lumOff val="25000"/>
                </a:schemeClr>
              </a:solidFill>
            </a:endParaRPr>
          </a:p>
        </c:rich>
      </c:tx>
      <c:layout>
        <c:manualLayout>
          <c:xMode val="edge"/>
          <c:yMode val="edge"/>
          <c:x val="0.261201796890773"/>
          <c:y val="0.0"/>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75000"/>
                  <a:lumOff val="25000"/>
                </a:schemeClr>
              </a:solidFill>
              <a:latin typeface="+mn-lt"/>
              <a:ea typeface="+mn-ea"/>
              <a:cs typeface="+mn-cs"/>
            </a:defRPr>
          </a:pPr>
          <a:endParaRPr lang="en-US"/>
        </a:p>
      </c:txPr>
    </c:title>
    <c:autoTitleDeleted val="0"/>
    <c:plotArea>
      <c:layout/>
      <c:pieChart>
        <c:varyColors val="1"/>
        <c:ser>
          <c:idx val="0"/>
          <c:order val="0"/>
          <c:spPr>
            <a:ln w="12700"/>
          </c:spPr>
          <c:dPt>
            <c:idx val="0"/>
            <c:bubble3D val="0"/>
            <c:spPr>
              <a:solidFill>
                <a:schemeClr val="accent1"/>
              </a:solidFill>
              <a:ln w="12700">
                <a:solidFill>
                  <a:schemeClr val="lt1"/>
                </a:solidFill>
              </a:ln>
              <a:effectLst/>
            </c:spPr>
          </c:dPt>
          <c:dPt>
            <c:idx val="1"/>
            <c:bubble3D val="0"/>
            <c:spPr>
              <a:solidFill>
                <a:schemeClr val="accent3"/>
              </a:solidFill>
              <a:ln w="12700">
                <a:solidFill>
                  <a:schemeClr val="lt1"/>
                </a:solidFill>
              </a:ln>
              <a:effectLst/>
            </c:spPr>
          </c:dPt>
          <c:dPt>
            <c:idx val="2"/>
            <c:bubble3D val="0"/>
            <c:spPr>
              <a:solidFill>
                <a:schemeClr val="accent5"/>
              </a:solidFill>
              <a:ln w="12700">
                <a:solidFill>
                  <a:schemeClr val="lt1"/>
                </a:solidFill>
              </a:ln>
              <a:effectLst/>
            </c:spPr>
          </c:dPt>
          <c:dPt>
            <c:idx val="3"/>
            <c:bubble3D val="0"/>
            <c:spPr>
              <a:solidFill>
                <a:schemeClr val="accent1">
                  <a:lumMod val="60000"/>
                </a:schemeClr>
              </a:solidFill>
              <a:ln w="12700">
                <a:solidFill>
                  <a:schemeClr val="lt1"/>
                </a:solidFill>
              </a:ln>
              <a:effectLst/>
            </c:spPr>
          </c:dPt>
          <c:dPt>
            <c:idx val="4"/>
            <c:bubble3D val="0"/>
            <c:spPr>
              <a:solidFill>
                <a:schemeClr val="accent3">
                  <a:lumMod val="60000"/>
                </a:schemeClr>
              </a:solidFill>
              <a:ln w="12700">
                <a:solidFill>
                  <a:schemeClr val="lt1"/>
                </a:solidFill>
              </a:ln>
              <a:effectLst/>
            </c:spPr>
          </c:dPt>
          <c:dPt>
            <c:idx val="5"/>
            <c:bubble3D val="0"/>
            <c:spPr>
              <a:solidFill>
                <a:schemeClr val="accent5">
                  <a:lumMod val="60000"/>
                </a:schemeClr>
              </a:solidFill>
              <a:ln w="12700">
                <a:solidFill>
                  <a:schemeClr val="lt1"/>
                </a:solidFill>
              </a:ln>
              <a:effectLst/>
            </c:spPr>
          </c:dPt>
          <c:dPt>
            <c:idx val="6"/>
            <c:bubble3D val="0"/>
            <c:spPr>
              <a:solidFill>
                <a:schemeClr val="accent1">
                  <a:lumMod val="80000"/>
                  <a:lumOff val="20000"/>
                </a:schemeClr>
              </a:solidFill>
              <a:ln w="12700">
                <a:solidFill>
                  <a:schemeClr val="lt1"/>
                </a:solidFill>
              </a:ln>
              <a:effectLst/>
            </c:spPr>
          </c:dPt>
          <c:dPt>
            <c:idx val="7"/>
            <c:bubble3D val="0"/>
            <c:spPr>
              <a:solidFill>
                <a:schemeClr val="accent3">
                  <a:lumMod val="80000"/>
                  <a:lumOff val="20000"/>
                </a:schemeClr>
              </a:solidFill>
              <a:ln w="12700">
                <a:solidFill>
                  <a:schemeClr val="lt1"/>
                </a:solidFill>
              </a:ln>
              <a:effectLst/>
            </c:spPr>
          </c:dPt>
          <c:dPt>
            <c:idx val="8"/>
            <c:bubble3D val="0"/>
            <c:spPr>
              <a:solidFill>
                <a:schemeClr val="accent5">
                  <a:lumMod val="80000"/>
                  <a:lumOff val="20000"/>
                </a:schemeClr>
              </a:solidFill>
              <a:ln w="12700">
                <a:solidFill>
                  <a:schemeClr val="lt1"/>
                </a:solidFill>
              </a:ln>
              <a:effectLst/>
            </c:spPr>
          </c:dPt>
          <c:dPt>
            <c:idx val="9"/>
            <c:bubble3D val="0"/>
            <c:spPr>
              <a:solidFill>
                <a:schemeClr val="accent1">
                  <a:lumMod val="80000"/>
                </a:schemeClr>
              </a:solidFill>
              <a:ln w="12700">
                <a:solidFill>
                  <a:schemeClr val="lt1"/>
                </a:solidFill>
              </a:ln>
              <a:effectLst/>
            </c:spPr>
          </c:dPt>
          <c:dLbls>
            <c:dLbl>
              <c:idx val="0"/>
              <c:layout>
                <c:manualLayout>
                  <c:x val="0.0555555555555555"/>
                  <c:y val="-0.018754688672168"/>
                </c:manualLayout>
              </c:layout>
              <c:dLblPos val="bestFit"/>
              <c:showLegendKey val="0"/>
              <c:showVal val="0"/>
              <c:showCatName val="1"/>
              <c:showSerName val="0"/>
              <c:showPercent val="1"/>
              <c:showBubbleSize val="0"/>
              <c:extLst>
                <c:ext xmlns:c15="http://schemas.microsoft.com/office/drawing/2012/chart" uri="{CE6537A1-D6FC-4f65-9D91-7224C49458BB}"/>
              </c:extLst>
            </c:dLbl>
            <c:dLbl>
              <c:idx val="1"/>
              <c:layout>
                <c:manualLayout>
                  <c:x val="0.111111111111111"/>
                  <c:y val="0.112528132033008"/>
                </c:manualLayout>
              </c:layout>
              <c:dLblPos val="bestFit"/>
              <c:showLegendKey val="0"/>
              <c:showVal val="0"/>
              <c:showCatName val="1"/>
              <c:showSerName val="0"/>
              <c:showPercent val="1"/>
              <c:showBubbleSize val="0"/>
              <c:extLst>
                <c:ext xmlns:c15="http://schemas.microsoft.com/office/drawing/2012/chart" uri="{CE6537A1-D6FC-4f65-9D91-7224C49458BB}"/>
              </c:extLst>
            </c:dLbl>
            <c:dLbl>
              <c:idx val="2"/>
              <c:layout>
                <c:manualLayout>
                  <c:x val="0.047008547008547"/>
                  <c:y val="-0.00375093773443368"/>
                </c:manualLayout>
              </c:layout>
              <c:dLblPos val="bestFit"/>
              <c:showLegendKey val="0"/>
              <c:showVal val="0"/>
              <c:showCatName val="1"/>
              <c:showSerName val="0"/>
              <c:showPercent val="1"/>
              <c:showBubbleSize val="0"/>
              <c:extLst>
                <c:ext xmlns:c15="http://schemas.microsoft.com/office/drawing/2012/chart" uri="{CE6537A1-D6FC-4f65-9D91-7224C49458BB}"/>
              </c:extLst>
            </c:dLbl>
            <c:dLbl>
              <c:idx val="3"/>
              <c:layout>
                <c:manualLayout>
                  <c:x val="0.0854700854700855"/>
                  <c:y val="-0.0150037509377344"/>
                </c:manualLayout>
              </c:layout>
              <c:dLblPos val="bestFit"/>
              <c:showLegendKey val="0"/>
              <c:showVal val="0"/>
              <c:showCatName val="1"/>
              <c:showSerName val="0"/>
              <c:showPercent val="1"/>
              <c:showBubbleSize val="0"/>
              <c:extLst>
                <c:ext xmlns:c15="http://schemas.microsoft.com/office/drawing/2012/chart" uri="{CE6537A1-D6FC-4f65-9D91-7224C49458BB}"/>
              </c:extLst>
            </c:dLbl>
            <c:dLbl>
              <c:idx val="4"/>
              <c:layout>
                <c:manualLayout>
                  <c:x val="-0.0491452991452991"/>
                  <c:y val="-0.0187546886721682"/>
                </c:manualLayout>
              </c:layout>
              <c:dLblPos val="bestFit"/>
              <c:showLegendKey val="0"/>
              <c:showVal val="0"/>
              <c:showCatName val="1"/>
              <c:showSerName val="0"/>
              <c:showPercent val="1"/>
              <c:showBubbleSize val="0"/>
              <c:extLst>
                <c:ext xmlns:c15="http://schemas.microsoft.com/office/drawing/2012/chart" uri="{CE6537A1-D6FC-4f65-9D91-7224C49458BB}"/>
              </c:extLst>
            </c:dLbl>
            <c:dLbl>
              <c:idx val="5"/>
              <c:layout>
                <c:manualLayout>
                  <c:x val="-0.0320512820512821"/>
                  <c:y val="0.00375093773443361"/>
                </c:manualLayout>
              </c:layout>
              <c:dLblPos val="bestFit"/>
              <c:showLegendKey val="0"/>
              <c:showVal val="0"/>
              <c:showCatName val="1"/>
              <c:showSerName val="0"/>
              <c:showPercent val="1"/>
              <c:showBubbleSize val="0"/>
              <c:extLst>
                <c:ext xmlns:c15="http://schemas.microsoft.com/office/drawing/2012/chart" uri="{CE6537A1-D6FC-4f65-9D91-7224C49458BB}"/>
              </c:extLst>
            </c:dLbl>
            <c:dLbl>
              <c:idx val="6"/>
              <c:layout>
                <c:manualLayout>
                  <c:x val="-0.0405982905982906"/>
                  <c:y val="-0.0375093773443361"/>
                </c:manualLayout>
              </c:layout>
              <c:dLblPos val="bestFit"/>
              <c:showLegendKey val="0"/>
              <c:showVal val="0"/>
              <c:showCatName val="1"/>
              <c:showSerName val="0"/>
              <c:showPercent val="1"/>
              <c:showBubbleSize val="0"/>
              <c:extLst>
                <c:ext xmlns:c15="http://schemas.microsoft.com/office/drawing/2012/chart" uri="{CE6537A1-D6FC-4f65-9D91-7224C49458BB}"/>
              </c:extLst>
            </c:dLbl>
            <c:dLbl>
              <c:idx val="7"/>
              <c:layout>
                <c:manualLayout>
                  <c:x val="-0.0299145299145299"/>
                  <c:y val="0.00375093773443361"/>
                </c:manualLayout>
              </c:layout>
              <c:dLblPos val="bestFit"/>
              <c:showLegendKey val="0"/>
              <c:showVal val="0"/>
              <c:showCatName val="1"/>
              <c:showSerName val="0"/>
              <c:showPercent val="1"/>
              <c:showBubbleSize val="0"/>
              <c:extLst>
                <c:ext xmlns:c15="http://schemas.microsoft.com/office/drawing/2012/chart" uri="{CE6537A1-D6FC-4f65-9D91-7224C49458BB}"/>
              </c:extLst>
            </c:dLbl>
            <c:dLbl>
              <c:idx val="8"/>
              <c:layout>
                <c:manualLayout>
                  <c:x val="-0.0277777777777778"/>
                  <c:y val="0.0"/>
                </c:manualLayout>
              </c:layout>
              <c:dLblPos val="bestFit"/>
              <c:showLegendKey val="0"/>
              <c:showVal val="0"/>
              <c:showCatName val="1"/>
              <c:showSerName val="0"/>
              <c:showPercent val="1"/>
              <c:showBubbleSize val="0"/>
              <c:extLst>
                <c:ext xmlns:c15="http://schemas.microsoft.com/office/drawing/2012/chart" uri="{CE6537A1-D6FC-4f65-9D91-7224C49458BB}"/>
              </c:extLst>
            </c:dLbl>
            <c:dLbl>
              <c:idx val="9"/>
              <c:layout>
                <c:manualLayout>
                  <c:x val="-0.0256410256410256"/>
                  <c:y val="-0.018754688672168"/>
                </c:manualLayout>
              </c:layout>
              <c:dLblPos val="bestFit"/>
              <c:showLegendKey val="0"/>
              <c:showVal val="0"/>
              <c:showCatName val="1"/>
              <c:showSerName val="0"/>
              <c:showPercent val="1"/>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Sheet1!$B$7:$B$16</c:f>
              <c:strCache>
                <c:ptCount val="10"/>
                <c:pt idx="0">
                  <c:v>Participate in a Case Study</c:v>
                </c:pt>
                <c:pt idx="1">
                  <c:v>Participate in a Joint Thought Leadership</c:v>
                </c:pt>
                <c:pt idx="2">
                  <c:v>Provide a Logo</c:v>
                </c:pt>
                <c:pt idx="3">
                  <c:v>Provide a Quote</c:v>
                </c:pt>
                <c:pt idx="4">
                  <c:v>References Email, Phone Call or RFP</c:v>
                </c:pt>
                <c:pt idx="5">
                  <c:v>Speak at a Webinar</c:v>
                </c:pt>
                <c:pt idx="6">
                  <c:v>Speak at an Event</c:v>
                </c:pt>
                <c:pt idx="7">
                  <c:v>Speak with Industry Analyst</c:v>
                </c:pt>
                <c:pt idx="8">
                  <c:v>Speak with Media</c:v>
                </c:pt>
                <c:pt idx="9">
                  <c:v>Write a Blog Post</c:v>
                </c:pt>
              </c:strCache>
            </c:strRef>
          </c:cat>
          <c:val>
            <c:numRef>
              <c:f>Sheet1!$C$7:$C$16</c:f>
              <c:numCache>
                <c:formatCode>General</c:formatCode>
                <c:ptCount val="10"/>
                <c:pt idx="0">
                  <c:v>41.0</c:v>
                </c:pt>
                <c:pt idx="1">
                  <c:v>1.0</c:v>
                </c:pt>
                <c:pt idx="2">
                  <c:v>189.0</c:v>
                </c:pt>
                <c:pt idx="3">
                  <c:v>40.0</c:v>
                </c:pt>
                <c:pt idx="4">
                  <c:v>109.0</c:v>
                </c:pt>
                <c:pt idx="5">
                  <c:v>1.0</c:v>
                </c:pt>
                <c:pt idx="6">
                  <c:v>34.0</c:v>
                </c:pt>
                <c:pt idx="7">
                  <c:v>38.0</c:v>
                </c:pt>
                <c:pt idx="8">
                  <c:v>34.0</c:v>
                </c:pt>
                <c:pt idx="9">
                  <c:v>41.0</c:v>
                </c:pt>
              </c:numCache>
            </c:numRef>
          </c:val>
        </c:ser>
        <c:dLbls>
          <c:showLegendKey val="0"/>
          <c:showVal val="0"/>
          <c:showCatName val="1"/>
          <c:showSerName val="0"/>
          <c:showPercent val="1"/>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050" b="1">
                <a:solidFill>
                  <a:schemeClr val="tx1">
                    <a:lumMod val="75000"/>
                    <a:lumOff val="25000"/>
                  </a:schemeClr>
                </a:solidFill>
              </a:rPr>
              <a:t>Current Reference</a:t>
            </a:r>
            <a:r>
              <a:rPr lang="en-US" sz="1050" b="1" baseline="0">
                <a:solidFill>
                  <a:schemeClr val="tx1">
                    <a:lumMod val="75000"/>
                    <a:lumOff val="25000"/>
                  </a:schemeClr>
                </a:solidFill>
              </a:rPr>
              <a:t> View Count by Industry (10 or more clients)</a:t>
            </a:r>
            <a:endParaRPr lang="en-US" sz="1050" b="1">
              <a:solidFill>
                <a:schemeClr val="tx1">
                  <a:lumMod val="75000"/>
                  <a:lumOff val="25000"/>
                </a:schemeClr>
              </a:solidFill>
            </a:endParaRPr>
          </a:p>
        </c:rich>
      </c:tx>
      <c:layout>
        <c:manualLayout>
          <c:xMode val="edge"/>
          <c:yMode val="edge"/>
          <c:x val="0.203370684433677"/>
          <c:y val="0.0422163588390501"/>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Count of Customer</c:v>
                </c:pt>
              </c:strCache>
            </c:strRef>
          </c:tx>
          <c:spPr>
            <a:ln w="12700"/>
          </c:spPr>
          <c:dPt>
            <c:idx val="0"/>
            <c:bubble3D val="0"/>
            <c:spPr>
              <a:solidFill>
                <a:schemeClr val="accent1"/>
              </a:solidFill>
              <a:ln w="12700">
                <a:solidFill>
                  <a:schemeClr val="lt1"/>
                </a:solidFill>
              </a:ln>
              <a:effectLst/>
            </c:spPr>
          </c:dPt>
          <c:dPt>
            <c:idx val="1"/>
            <c:bubble3D val="0"/>
            <c:spPr>
              <a:solidFill>
                <a:schemeClr val="accent3"/>
              </a:solidFill>
              <a:ln w="12700">
                <a:solidFill>
                  <a:schemeClr val="lt1"/>
                </a:solidFill>
              </a:ln>
              <a:effectLst/>
            </c:spPr>
          </c:dPt>
          <c:dPt>
            <c:idx val="2"/>
            <c:bubble3D val="0"/>
            <c:spPr>
              <a:solidFill>
                <a:schemeClr val="accent5"/>
              </a:solidFill>
              <a:ln w="12700">
                <a:solidFill>
                  <a:schemeClr val="lt1"/>
                </a:solidFill>
              </a:ln>
              <a:effectLst/>
            </c:spPr>
          </c:dPt>
          <c:dPt>
            <c:idx val="3"/>
            <c:bubble3D val="0"/>
            <c:spPr>
              <a:solidFill>
                <a:schemeClr val="accent1">
                  <a:lumMod val="60000"/>
                </a:schemeClr>
              </a:solidFill>
              <a:ln w="12700">
                <a:solidFill>
                  <a:schemeClr val="lt1"/>
                </a:solidFill>
              </a:ln>
              <a:effectLst/>
            </c:spPr>
          </c:dPt>
          <c:dPt>
            <c:idx val="4"/>
            <c:bubble3D val="0"/>
            <c:spPr>
              <a:solidFill>
                <a:schemeClr val="accent3">
                  <a:lumMod val="60000"/>
                </a:schemeClr>
              </a:solidFill>
              <a:ln w="12700">
                <a:solidFill>
                  <a:schemeClr val="lt1"/>
                </a:solidFill>
              </a:ln>
              <a:effectLst/>
            </c:spPr>
          </c:dPt>
          <c:dPt>
            <c:idx val="5"/>
            <c:bubble3D val="0"/>
            <c:spPr>
              <a:solidFill>
                <a:schemeClr val="accent5">
                  <a:lumMod val="60000"/>
                </a:schemeClr>
              </a:solidFill>
              <a:ln w="12700">
                <a:solidFill>
                  <a:schemeClr val="lt1"/>
                </a:solidFill>
              </a:ln>
              <a:effectLst/>
            </c:spPr>
          </c:dPt>
          <c:dPt>
            <c:idx val="6"/>
            <c:bubble3D val="0"/>
            <c:spPr>
              <a:solidFill>
                <a:schemeClr val="accent1">
                  <a:lumMod val="80000"/>
                  <a:lumOff val="20000"/>
                </a:schemeClr>
              </a:solidFill>
              <a:ln w="12700">
                <a:solidFill>
                  <a:schemeClr val="lt1"/>
                </a:solidFill>
              </a:ln>
              <a:effectLst/>
            </c:spPr>
          </c:dPt>
          <c:dPt>
            <c:idx val="7"/>
            <c:bubble3D val="0"/>
            <c:spPr>
              <a:solidFill>
                <a:schemeClr val="accent3">
                  <a:lumMod val="80000"/>
                  <a:lumOff val="20000"/>
                </a:schemeClr>
              </a:solidFill>
              <a:ln w="12700">
                <a:solidFill>
                  <a:schemeClr val="lt1"/>
                </a:solidFill>
              </a:ln>
              <a:effectLst/>
            </c:spPr>
          </c:dPt>
          <c:dPt>
            <c:idx val="8"/>
            <c:bubble3D val="0"/>
            <c:spPr>
              <a:solidFill>
                <a:schemeClr val="accent5">
                  <a:lumMod val="80000"/>
                  <a:lumOff val="20000"/>
                </a:schemeClr>
              </a:solidFill>
              <a:ln w="12700">
                <a:solidFill>
                  <a:schemeClr val="lt1"/>
                </a:solidFill>
              </a:ln>
              <a:effectLst/>
            </c:spPr>
          </c:dPt>
          <c:dPt>
            <c:idx val="9"/>
            <c:bubble3D val="0"/>
            <c:spPr>
              <a:solidFill>
                <a:schemeClr val="accent1">
                  <a:lumMod val="80000"/>
                </a:schemeClr>
              </a:solidFill>
              <a:ln w="12700">
                <a:solidFill>
                  <a:schemeClr val="lt1"/>
                </a:solidFill>
              </a:ln>
              <a:effectLst/>
            </c:spPr>
          </c:dPt>
          <c:dPt>
            <c:idx val="10"/>
            <c:bubble3D val="0"/>
            <c:spPr>
              <a:solidFill>
                <a:schemeClr val="accent3">
                  <a:lumMod val="80000"/>
                </a:schemeClr>
              </a:solidFill>
              <a:ln w="12700">
                <a:solidFill>
                  <a:schemeClr val="lt1"/>
                </a:solidFill>
              </a:ln>
              <a:effectLst/>
            </c:spPr>
          </c:dPt>
          <c:dPt>
            <c:idx val="11"/>
            <c:bubble3D val="0"/>
            <c:spPr>
              <a:solidFill>
                <a:schemeClr val="accent5">
                  <a:lumMod val="80000"/>
                </a:schemeClr>
              </a:solidFill>
              <a:ln w="12700">
                <a:solidFill>
                  <a:schemeClr val="lt1"/>
                </a:solidFill>
              </a:ln>
              <a:effectLst/>
            </c:spPr>
          </c:dPt>
          <c:dPt>
            <c:idx val="12"/>
            <c:bubble3D val="0"/>
            <c:spPr>
              <a:solidFill>
                <a:schemeClr val="accent1">
                  <a:lumMod val="60000"/>
                  <a:lumOff val="40000"/>
                </a:schemeClr>
              </a:solidFill>
              <a:ln w="12700">
                <a:solidFill>
                  <a:schemeClr val="lt1"/>
                </a:solidFill>
              </a:ln>
              <a:effectLst/>
            </c:spPr>
          </c:dPt>
          <c:dPt>
            <c:idx val="13"/>
            <c:bubble3D val="0"/>
            <c:spPr>
              <a:solidFill>
                <a:schemeClr val="accent3">
                  <a:lumMod val="60000"/>
                  <a:lumOff val="40000"/>
                </a:schemeClr>
              </a:solidFill>
              <a:ln w="12700">
                <a:solidFill>
                  <a:schemeClr val="lt1"/>
                </a:solidFill>
              </a:ln>
              <a:effectLst/>
            </c:spPr>
          </c:dPt>
          <c:dLbls>
            <c:dLbl>
              <c:idx val="0"/>
              <c:layout>
                <c:manualLayout>
                  <c:x val="0.0299145299145297"/>
                  <c:y val="-0.0178507675830061"/>
                </c:manualLayout>
              </c:layout>
              <c:dLblPos val="bestFit"/>
              <c:showLegendKey val="0"/>
              <c:showVal val="1"/>
              <c:showCatName val="1"/>
              <c:showSerName val="0"/>
              <c:showPercent val="1"/>
              <c:showBubbleSize val="0"/>
              <c:extLst>
                <c:ext xmlns:c15="http://schemas.microsoft.com/office/drawing/2012/chart" uri="{CE6537A1-D6FC-4f65-9D91-7224C49458BB}"/>
              </c:extLst>
            </c:dLbl>
            <c:dLbl>
              <c:idx val="1"/>
              <c:layout>
                <c:manualLayout>
                  <c:x val="0.0491452991452991"/>
                  <c:y val="0.00357015351660121"/>
                </c:manualLayout>
              </c:layout>
              <c:dLblPos val="bestFit"/>
              <c:showLegendKey val="0"/>
              <c:showVal val="1"/>
              <c:showCatName val="1"/>
              <c:showSerName val="0"/>
              <c:showPercent val="1"/>
              <c:showBubbleSize val="0"/>
              <c:extLst>
                <c:ext xmlns:c15="http://schemas.microsoft.com/office/drawing/2012/chart" uri="{CE6537A1-D6FC-4f65-9D91-7224C49458BB}"/>
              </c:extLst>
            </c:dLbl>
            <c:dLbl>
              <c:idx val="2"/>
              <c:layout>
                <c:manualLayout>
                  <c:x val="0.0363247863247863"/>
                  <c:y val="-0.0107104605498036"/>
                </c:manualLayout>
              </c:layout>
              <c:dLblPos val="bestFit"/>
              <c:showLegendKey val="0"/>
              <c:showVal val="1"/>
              <c:showCatName val="1"/>
              <c:showSerName val="0"/>
              <c:showPercent val="1"/>
              <c:showBubbleSize val="0"/>
              <c:extLst>
                <c:ext xmlns:c15="http://schemas.microsoft.com/office/drawing/2012/chart" uri="{CE6537A1-D6FC-4f65-9D91-7224C49458BB}"/>
              </c:extLst>
            </c:dLbl>
            <c:dLbl>
              <c:idx val="3"/>
              <c:layout>
                <c:manualLayout>
                  <c:x val="0.0534188034188034"/>
                  <c:y val="-6.54520583632589E-17"/>
                </c:manualLayout>
              </c:layout>
              <c:dLblPos val="bestFit"/>
              <c:showLegendKey val="0"/>
              <c:showVal val="1"/>
              <c:showCatName val="1"/>
              <c:showSerName val="0"/>
              <c:showPercent val="1"/>
              <c:showBubbleSize val="0"/>
              <c:extLst>
                <c:ext xmlns:c15="http://schemas.microsoft.com/office/drawing/2012/chart" uri="{CE6537A1-D6FC-4f65-9D91-7224C49458BB}"/>
              </c:extLst>
            </c:dLbl>
            <c:dLbl>
              <c:idx val="4"/>
              <c:layout>
                <c:manualLayout>
                  <c:x val="0.0405982905982906"/>
                  <c:y val="0.0178507675830061"/>
                </c:manualLayout>
              </c:layout>
              <c:dLblPos val="bestFit"/>
              <c:showLegendKey val="0"/>
              <c:showVal val="1"/>
              <c:showCatName val="1"/>
              <c:showSerName val="0"/>
              <c:showPercent val="1"/>
              <c:showBubbleSize val="0"/>
              <c:extLst>
                <c:ext xmlns:c15="http://schemas.microsoft.com/office/drawing/2012/chart" uri="{CE6537A1-D6FC-4f65-9D91-7224C49458BB}"/>
              </c:extLst>
            </c:dLbl>
            <c:dLbl>
              <c:idx val="5"/>
              <c:layout>
                <c:manualLayout>
                  <c:x val="0.0277777777777778"/>
                  <c:y val="-1.30904116726518E-16"/>
                </c:manualLayout>
              </c:layout>
              <c:dLblPos val="bestFit"/>
              <c:showLegendKey val="0"/>
              <c:showVal val="1"/>
              <c:showCatName val="1"/>
              <c:showSerName val="0"/>
              <c:showPercent val="1"/>
              <c:showBubbleSize val="0"/>
              <c:extLst>
                <c:ext xmlns:c15="http://schemas.microsoft.com/office/drawing/2012/chart" uri="{CE6537A1-D6FC-4f65-9D91-7224C49458BB}"/>
              </c:extLst>
            </c:dLbl>
            <c:dLbl>
              <c:idx val="6"/>
              <c:layout>
                <c:manualLayout>
                  <c:x val="0.0491452991452991"/>
                  <c:y val="0.0"/>
                </c:manualLayout>
              </c:layout>
              <c:dLblPos val="bestFit"/>
              <c:showLegendKey val="0"/>
              <c:showVal val="1"/>
              <c:showCatName val="1"/>
              <c:showSerName val="0"/>
              <c:showPercent val="1"/>
              <c:showBubbleSize val="0"/>
              <c:extLst>
                <c:ext xmlns:c15="http://schemas.microsoft.com/office/drawing/2012/chart" uri="{CE6537A1-D6FC-4f65-9D91-7224C49458BB}"/>
              </c:extLst>
            </c:dLbl>
            <c:dLbl>
              <c:idx val="7"/>
              <c:layout>
                <c:manualLayout>
                  <c:x val="0.0512820512820513"/>
                  <c:y val="-0.00357015351660121"/>
                </c:manualLayout>
              </c:layout>
              <c:dLblPos val="bestFit"/>
              <c:showLegendKey val="0"/>
              <c:showVal val="1"/>
              <c:showCatName val="1"/>
              <c:showSerName val="0"/>
              <c:showPercent val="1"/>
              <c:showBubbleSize val="0"/>
              <c:extLst>
                <c:ext xmlns:c15="http://schemas.microsoft.com/office/drawing/2012/chart" uri="{CE6537A1-D6FC-4f65-9D91-7224C49458BB}"/>
              </c:extLst>
            </c:dLbl>
            <c:dLbl>
              <c:idx val="8"/>
              <c:layout>
                <c:manualLayout>
                  <c:x val="-0.047008547008547"/>
                  <c:y val="0.0107104605498036"/>
                </c:manualLayout>
              </c:layout>
              <c:dLblPos val="bestFit"/>
              <c:showLegendKey val="0"/>
              <c:showVal val="1"/>
              <c:showCatName val="1"/>
              <c:showSerName val="0"/>
              <c:showPercent val="1"/>
              <c:showBubbleSize val="0"/>
              <c:extLst>
                <c:ext xmlns:c15="http://schemas.microsoft.com/office/drawing/2012/chart" uri="{CE6537A1-D6FC-4f65-9D91-7224C49458BB}"/>
              </c:extLst>
            </c:dLbl>
            <c:dLbl>
              <c:idx val="9"/>
              <c:layout>
                <c:manualLayout>
                  <c:x val="-0.0491452991452991"/>
                  <c:y val="0.0214209210996073"/>
                </c:manualLayout>
              </c:layout>
              <c:dLblPos val="bestFit"/>
              <c:showLegendKey val="0"/>
              <c:showVal val="1"/>
              <c:showCatName val="1"/>
              <c:showSerName val="0"/>
              <c:showPercent val="1"/>
              <c:showBubbleSize val="0"/>
              <c:extLst>
                <c:ext xmlns:c15="http://schemas.microsoft.com/office/drawing/2012/chart" uri="{CE6537A1-D6FC-4f65-9D91-7224C49458BB}"/>
              </c:extLst>
            </c:dLbl>
            <c:dLbl>
              <c:idx val="10"/>
              <c:layout>
                <c:manualLayout>
                  <c:x val="-0.0341880341880342"/>
                  <c:y val="0.0"/>
                </c:manualLayout>
              </c:layout>
              <c:dLblPos val="bestFit"/>
              <c:showLegendKey val="0"/>
              <c:showVal val="1"/>
              <c:showCatName val="1"/>
              <c:showSerName val="0"/>
              <c:showPercent val="1"/>
              <c:showBubbleSize val="0"/>
              <c:extLst>
                <c:ext xmlns:c15="http://schemas.microsoft.com/office/drawing/2012/chart" uri="{CE6537A1-D6FC-4f65-9D91-7224C49458BB}"/>
              </c:extLst>
            </c:dLbl>
            <c:dLbl>
              <c:idx val="11"/>
              <c:layout>
                <c:manualLayout>
                  <c:x val="-0.0256410256410256"/>
                  <c:y val="-0.00357015351660121"/>
                </c:manualLayout>
              </c:layout>
              <c:dLblPos val="bestFit"/>
              <c:showLegendKey val="0"/>
              <c:showVal val="1"/>
              <c:showCatName val="1"/>
              <c:showSerName val="0"/>
              <c:showPercent val="1"/>
              <c:showBubbleSize val="0"/>
              <c:extLst>
                <c:ext xmlns:c15="http://schemas.microsoft.com/office/drawing/2012/chart" uri="{CE6537A1-D6FC-4f65-9D91-7224C49458BB}"/>
              </c:extLst>
            </c:dLbl>
            <c:dLbl>
              <c:idx val="12"/>
              <c:layout>
                <c:manualLayout>
                  <c:x val="-0.0555555555555556"/>
                  <c:y val="0.017850767583006"/>
                </c:manualLayout>
              </c:layout>
              <c:dLblPos val="bestFit"/>
              <c:showLegendKey val="0"/>
              <c:showVal val="1"/>
              <c:showCatName val="1"/>
              <c:showSerName val="0"/>
              <c:showPercent val="1"/>
              <c:showBubbleSize val="0"/>
              <c:extLst>
                <c:ext xmlns:c15="http://schemas.microsoft.com/office/drawing/2012/chart" uri="{CE6537A1-D6FC-4f65-9D91-7224C49458BB}"/>
              </c:extLst>
            </c:dLbl>
            <c:dLbl>
              <c:idx val="13"/>
              <c:layout>
                <c:manualLayout>
                  <c:x val="0.061965811965812"/>
                  <c:y val="0.0214209210996073"/>
                </c:manualLayout>
              </c:layout>
              <c:dLblPos val="bestFit"/>
              <c:showLegendKey val="0"/>
              <c:showVal val="1"/>
              <c:showCatName val="1"/>
              <c:showSerName val="0"/>
              <c:showPercent val="1"/>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Sheet1!$A$41:$A$54</c:f>
              <c:strCache>
                <c:ptCount val="14"/>
                <c:pt idx="0">
                  <c:v>Automotive - Parts &amp; Accessories</c:v>
                </c:pt>
                <c:pt idx="1">
                  <c:v>Footwear</c:v>
                </c:pt>
                <c:pt idx="2">
                  <c:v>Pets</c:v>
                </c:pt>
                <c:pt idx="3">
                  <c:v>Travel - OTA</c:v>
                </c:pt>
                <c:pt idx="4">
                  <c:v>Food / Beverage / Drug</c:v>
                </c:pt>
                <c:pt idx="5">
                  <c:v>Hardware / Home Appliance Electronics</c:v>
                </c:pt>
                <c:pt idx="6">
                  <c:v>Hardware / Home Improvement</c:v>
                </c:pt>
                <c:pt idx="7">
                  <c:v>Home Improvement/Furnishings</c:v>
                </c:pt>
                <c:pt idx="8">
                  <c:v>Sporting Goods / Outdoors</c:v>
                </c:pt>
                <c:pt idx="9">
                  <c:v>CPG (Consumer Packaged Goods)</c:v>
                </c:pt>
                <c:pt idx="10">
                  <c:v>Mass Merchant / Department Store</c:v>
                </c:pt>
                <c:pt idx="11">
                  <c:v>Consumer Electronics</c:v>
                </c:pt>
                <c:pt idx="12">
                  <c:v>Health / Beauty</c:v>
                </c:pt>
                <c:pt idx="13">
                  <c:v>Apparel / Accessories</c:v>
                </c:pt>
              </c:strCache>
            </c:strRef>
          </c:cat>
          <c:val>
            <c:numRef>
              <c:f>Sheet1!$B$41:$B$54</c:f>
              <c:numCache>
                <c:formatCode>General</c:formatCode>
                <c:ptCount val="14"/>
                <c:pt idx="0">
                  <c:v>10.0</c:v>
                </c:pt>
                <c:pt idx="1">
                  <c:v>10.0</c:v>
                </c:pt>
                <c:pt idx="2">
                  <c:v>10.0</c:v>
                </c:pt>
                <c:pt idx="3">
                  <c:v>10.0</c:v>
                </c:pt>
                <c:pt idx="4">
                  <c:v>12.0</c:v>
                </c:pt>
                <c:pt idx="5">
                  <c:v>16.0</c:v>
                </c:pt>
                <c:pt idx="6">
                  <c:v>22.0</c:v>
                </c:pt>
                <c:pt idx="7">
                  <c:v>22.0</c:v>
                </c:pt>
                <c:pt idx="8">
                  <c:v>23.0</c:v>
                </c:pt>
                <c:pt idx="9">
                  <c:v>24.0</c:v>
                </c:pt>
                <c:pt idx="10">
                  <c:v>32.0</c:v>
                </c:pt>
                <c:pt idx="11">
                  <c:v>40.0</c:v>
                </c:pt>
                <c:pt idx="12">
                  <c:v>40.0</c:v>
                </c:pt>
                <c:pt idx="13">
                  <c:v>51.0</c:v>
                </c:pt>
              </c:numCache>
            </c:numRef>
          </c:val>
        </c:ser>
        <c:dLbls>
          <c:showLegendKey val="0"/>
          <c:showVal val="1"/>
          <c:showCatName val="0"/>
          <c:showSerName val="0"/>
          <c:showPercent val="0"/>
          <c:showBubbleSize val="0"/>
          <c:showLeaderLines val="1"/>
        </c:dLbls>
        <c:firstSliceAng val="53"/>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6</Pages>
  <Words>1311</Words>
  <Characters>7474</Characters>
  <Application>Microsoft Macintosh Word</Application>
  <DocSecurity>0</DocSecurity>
  <Lines>62</Lines>
  <Paragraphs>17</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
      <vt:lpstr>        </vt:lpstr>
      <vt:lpstr>        </vt:lpstr>
      <vt:lpstr>        </vt:lpstr>
      <vt:lpstr>1. SUMMARY</vt:lpstr>
      <vt:lpstr>2. PROGRAM REPOSITIONING</vt:lpstr>
      <vt:lpstr>3. SOURCES</vt:lpstr>
      <vt:lpstr>        In an effort to expand the types of references and avoid exhausting any, a prim</vt:lpstr>
      <vt:lpstr>        </vt:lpstr>
      <vt:lpstr>        CLIENT SUCCESS </vt:lpstr>
      <vt:lpstr>        </vt:lpstr>
      <vt:lpstr>4. PRIORITIZED COMMITMENT LEVELS AND INDUSTRIES</vt:lpstr>
      <vt:lpstr>        </vt:lpstr>
      <vt:lpstr>        </vt:lpstr>
      <vt:lpstr>        /</vt:lpstr>
      <vt:lpstr>5. SALES ENABLEMENT</vt:lpstr>
      <vt:lpstr>        </vt:lpstr>
      <vt:lpstr>        Following discovery sessions with sales, the following changes will be considere</vt:lpstr>
      <vt:lpstr>        </vt:lpstr>
      <vt:lpstr>        Create more client-friendly/external versions of client stories, including one-p</vt:lpstr>
      <vt:lpstr>        Adjust the internal SLA to speed up the process of fulfilling reference requests</vt:lpstr>
      <vt:lpstr/>
      <vt:lpstr>6. LOGISTICS</vt:lpstr>
      <vt:lpstr>        </vt:lpstr>
      <vt:lpstr/>
      <vt:lpstr>7. NEAR-TERM NEXT STEPS</vt:lpstr>
      <vt:lpstr>        </vt:lpstr>
    </vt:vector>
  </TitlesOfParts>
  <LinksUpToDate>false</LinksUpToDate>
  <CharactersWithSpaces>8768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Greenbaum</dc:creator>
  <cp:keywords/>
  <dc:description/>
  <cp:lastModifiedBy>Todd Greenbaum</cp:lastModifiedBy>
  <cp:revision>72</cp:revision>
  <dcterms:created xsi:type="dcterms:W3CDTF">2016-05-25T16:46:00Z</dcterms:created>
  <dcterms:modified xsi:type="dcterms:W3CDTF">2016-06-07T21:53:00Z</dcterms:modified>
</cp:coreProperties>
</file>