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ms-office.chartcolorstyle+xml" PartName="/word/charts/colors2.xml"/>
  <Override ContentType="application/vnd.ms-office.chartcolorstyle+xml" PartName="/word/charts/colors1.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ms-office.chartstyle+xml" PartName="/word/charts/style1.xml"/>
  <Override ContentType="application/vnd.ms-office.chartstyle+xml" PartName="/word/charts/style2.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color w:val="01ab8e"/>
          <w:sz w:val="48"/>
          <w:szCs w:val="48"/>
        </w:rPr>
      </w:pPr>
      <w:bookmarkStart w:colFirst="0" w:colLast="0" w:name="_heading=h.gjdgxs" w:id="0"/>
      <w:bookmarkEnd w:id="0"/>
      <w:r w:rsidDel="00000000" w:rsidR="00000000" w:rsidRPr="00000000">
        <w:rPr>
          <w:color w:val="01ab8e"/>
          <w:sz w:val="48"/>
          <w:szCs w:val="48"/>
          <w:rtl w:val="0"/>
        </w:rPr>
        <w:t xml:space="preserve">Reference Program Brief</w:t>
      </w:r>
    </w:p>
    <w:p w:rsidR="00000000" w:rsidDel="00000000" w:rsidP="00000000" w:rsidRDefault="00000000" w:rsidRPr="00000000" w14:paraId="00000002">
      <w:pPr>
        <w:jc w:val="center"/>
        <w:rPr>
          <w:color w:val="0000ff"/>
          <w:sz w:val="28"/>
          <w:szCs w:val="28"/>
          <w:u w:val="single"/>
        </w:rPr>
      </w:pPr>
      <w:bookmarkStart w:colFirst="0" w:colLast="0" w:name="_heading=h.30j0zll" w:id="1"/>
      <w:bookmarkEnd w:id="1"/>
      <w:r w:rsidDel="00000000" w:rsidR="00000000" w:rsidRPr="00000000">
        <w:rPr>
          <w:color w:val="01ab8e"/>
          <w:sz w:val="22"/>
          <w:szCs w:val="22"/>
          <w:rtl w:val="0"/>
        </w:rPr>
        <w:t xml:space="preserve">Version 1.0 – 05/2016</w:t>
      </w:r>
      <w:r w:rsidDel="00000000" w:rsidR="00000000" w:rsidRPr="00000000">
        <w:rPr>
          <w:rtl w:val="0"/>
        </w:rPr>
      </w:r>
    </w:p>
    <w:p w:rsidR="00000000" w:rsidDel="00000000" w:rsidP="00000000" w:rsidRDefault="00000000" w:rsidRPr="00000000" w14:paraId="0000000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1"/>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1.  SUMMARY</w:t>
      </w:r>
    </w:p>
    <w:p w:rsidR="00000000" w:rsidDel="00000000" w:rsidP="00000000" w:rsidRDefault="00000000" w:rsidRPr="00000000" w14:paraId="00000007">
      <w:pPr>
        <w:rPr>
          <w:b w:val="1"/>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Build trust with and demonstrate value to prospective customers</w:t>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Enable the sharing of positive testimony</w:t>
      </w:r>
    </w:p>
    <w:p w:rsidR="00000000" w:rsidDel="00000000" w:rsidP="00000000" w:rsidRDefault="00000000" w:rsidRPr="00000000" w14:paraId="000000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Celebrate, reward and amplify client successes and help build the personal brand of client champions</w:t>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Differentiate from competition</w:t>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Increase the sales, revenue and average deal size</w:t>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Shorten the sales cycle</w:t>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Internally: expand the number of client participants to include more types and avoid exhaustion</w:t>
      </w:r>
    </w:p>
    <w:p w:rsidR="00000000" w:rsidDel="00000000" w:rsidP="00000000" w:rsidRDefault="00000000" w:rsidRPr="00000000" w14:paraId="0000000F">
      <w:pPr>
        <w:rPr>
          <w:b w:val="1"/>
        </w:rPr>
      </w:pPr>
      <w:r w:rsidDel="00000000" w:rsidR="00000000" w:rsidRPr="00000000">
        <w:rPr>
          <w:rtl w:val="0"/>
        </w:rPr>
      </w:r>
    </w:p>
    <w:p w:rsidR="00000000" w:rsidDel="00000000" w:rsidP="00000000" w:rsidRDefault="00000000" w:rsidRPr="00000000" w14:paraId="00000010">
      <w:pPr>
        <w:rPr>
          <w:b w:val="1"/>
        </w:rPr>
      </w:pPr>
      <w:r w:rsidDel="00000000" w:rsidR="00000000" w:rsidRPr="00000000">
        <w:rPr>
          <w:rtl w:val="0"/>
        </w:rPr>
      </w:r>
    </w:p>
    <w:p w:rsidR="00000000" w:rsidDel="00000000" w:rsidP="00000000" w:rsidRDefault="00000000" w:rsidRPr="00000000" w14:paraId="00000011">
      <w:pPr>
        <w:rPr>
          <w:b w:val="1"/>
        </w:rPr>
      </w:pPr>
      <w:r w:rsidDel="00000000" w:rsidR="00000000" w:rsidRPr="00000000">
        <w:rPr>
          <w:b w:val="1"/>
          <w:rtl w:val="0"/>
        </w:rPr>
        <w:t xml:space="preserve">REVAMP PROCESS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Evaluate the current reference efforts via discovery sessions with stakeholders and any other team involved in the process</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Identify how the program can be improved to better aid other teams in addressing their challenges, priorities and goals</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Secure incentive budget (if needed), get buy-in from the decision-makers and communicate the plan</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Implement/adjust the program where needed</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Meet regularly with key stakeholders and provide internal communication when needed</w:t>
      </w:r>
    </w:p>
    <w:p w:rsidR="00000000" w:rsidDel="00000000" w:rsidP="00000000" w:rsidRDefault="00000000" w:rsidRPr="00000000" w14:paraId="00000018">
      <w:pPr>
        <w:rPr>
          <w:b w:val="1"/>
        </w:rPr>
      </w:pPr>
      <w:r w:rsidDel="00000000" w:rsidR="00000000" w:rsidRPr="00000000">
        <w:rPr>
          <w:rtl w:val="0"/>
        </w:rPr>
      </w:r>
    </w:p>
    <w:p w:rsidR="00000000" w:rsidDel="00000000" w:rsidP="00000000" w:rsidRDefault="00000000" w:rsidRPr="00000000" w14:paraId="00000019">
      <w:pPr>
        <w:rPr>
          <w:b w:val="1"/>
        </w:rPr>
      </w:pPr>
      <w:r w:rsidDel="00000000" w:rsidR="00000000" w:rsidRPr="00000000">
        <w:rPr>
          <w:rtl w:val="0"/>
        </w:rPr>
      </w:r>
    </w:p>
    <w:p w:rsidR="00000000" w:rsidDel="00000000" w:rsidP="00000000" w:rsidRDefault="00000000" w:rsidRPr="00000000" w14:paraId="0000001A">
      <w:pPr>
        <w:rPr>
          <w:b w:val="1"/>
        </w:rPr>
      </w:pPr>
      <w:r w:rsidDel="00000000" w:rsidR="00000000" w:rsidRPr="00000000">
        <w:rPr>
          <w:b w:val="1"/>
          <w:rtl w:val="0"/>
        </w:rPr>
        <w:t xml:space="preserve">KEY STAKEHOLDERS</w:t>
      </w:r>
    </w:p>
    <w:p w:rsidR="00000000" w:rsidDel="00000000" w:rsidP="00000000" w:rsidRDefault="00000000" w:rsidRPr="00000000" w14:paraId="0000001B">
      <w:pPr>
        <w:rPr>
          <w:b w:val="1"/>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Though the program supports the company as a whole, the following departments have the most significant involvement.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Sales</w:t>
      </w:r>
    </w:p>
    <w:p w:rsidR="00000000" w:rsidDel="00000000" w:rsidP="00000000" w:rsidRDefault="00000000" w:rsidRPr="00000000" w14:paraId="000000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Client Success and Renewals</w:t>
      </w:r>
    </w:p>
    <w:p w:rsidR="00000000" w:rsidDel="00000000" w:rsidP="00000000" w:rsidRDefault="00000000" w:rsidRPr="00000000" w14:paraId="000000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Marketing</w:t>
      </w:r>
    </w:p>
    <w:p w:rsidR="00000000" w:rsidDel="00000000" w:rsidP="00000000" w:rsidRDefault="00000000" w:rsidRPr="00000000" w14:paraId="000000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Brand &amp; Comms</w:t>
      </w:r>
    </w:p>
    <w:p w:rsidR="00000000" w:rsidDel="00000000" w:rsidP="00000000" w:rsidRDefault="00000000" w:rsidRPr="00000000" w14:paraId="00000022">
      <w:pPr>
        <w:rPr>
          <w:b w:val="1"/>
        </w:rPr>
      </w:pPr>
      <w:r w:rsidDel="00000000" w:rsidR="00000000" w:rsidRPr="00000000">
        <w:rPr>
          <w:rtl w:val="0"/>
        </w:rPr>
      </w:r>
    </w:p>
    <w:p w:rsidR="00000000" w:rsidDel="00000000" w:rsidP="00000000" w:rsidRDefault="00000000" w:rsidRPr="00000000" w14:paraId="00000023">
      <w:pPr>
        <w:rPr>
          <w:b w:val="1"/>
        </w:rPr>
      </w:pPr>
      <w:r w:rsidDel="00000000" w:rsidR="00000000" w:rsidRPr="00000000">
        <w:rPr>
          <w:rtl w:val="0"/>
        </w:rPr>
      </w:r>
    </w:p>
    <w:p w:rsidR="00000000" w:rsidDel="00000000" w:rsidP="00000000" w:rsidRDefault="00000000" w:rsidRPr="00000000" w14:paraId="00000024">
      <w:pPr>
        <w:rPr>
          <w:b w:val="1"/>
        </w:rPr>
      </w:pPr>
      <w:r w:rsidDel="00000000" w:rsidR="00000000" w:rsidRPr="00000000">
        <w:rPr>
          <w:rtl w:val="0"/>
        </w:rPr>
      </w:r>
    </w:p>
    <w:p w:rsidR="00000000" w:rsidDel="00000000" w:rsidP="00000000" w:rsidRDefault="00000000" w:rsidRPr="00000000" w14:paraId="00000025">
      <w:pPr>
        <w:pStyle w:val="Heading1"/>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2.  PROGRAM REPOSITIONING</w:t>
      </w:r>
    </w:p>
    <w:p w:rsidR="00000000" w:rsidDel="00000000" w:rsidP="00000000" w:rsidRDefault="00000000" w:rsidRPr="00000000" w14:paraId="00000026">
      <w:pPr>
        <w:rPr>
          <w:b w:val="1"/>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“Client Reference Program” is a misnomer, as it sends the impression that the program is limited in scope and does not fully convey what it is composed of, what it can do, what company efforts it supports and the multitude of stakeholders. “Serving as a reference” is just one of many manifestations of a client who is willing to champion Bazaarvoice. The real intent is an Advocacy Marketing Program – a base of clients who would be willing to be more vocal and supportive of Bazaarvoice, beyond just fielding reference request emails, phone calls, RFPs and various one-off requests.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program should be broadened in where it sources advocates and how it leverages them. It should also have a unique “branded” name.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numPr>
          <w:ilvl w:val="0"/>
          <w:numId w:val="1"/>
        </w:numPr>
        <w:ind w:left="720" w:hanging="360"/>
        <w:rPr/>
      </w:pPr>
      <w:r w:rsidDel="00000000" w:rsidR="00000000" w:rsidRPr="00000000">
        <w:rPr>
          <w:rtl w:val="0"/>
        </w:rPr>
        <w:t xml:space="preserve">Partner more closely with CS to identify potential candidates and for outreach/client communication; partner more closely with Sales and Renewals for formal agreements</w:t>
      </w:r>
    </w:p>
    <w:p w:rsidR="00000000" w:rsidDel="00000000" w:rsidP="00000000" w:rsidRDefault="00000000" w:rsidRPr="00000000" w14:paraId="0000002C">
      <w:pPr>
        <w:numPr>
          <w:ilvl w:val="0"/>
          <w:numId w:val="1"/>
        </w:numPr>
        <w:ind w:left="720" w:hanging="360"/>
        <w:rPr/>
      </w:pPr>
      <w:r w:rsidDel="00000000" w:rsidR="00000000" w:rsidRPr="00000000">
        <w:rPr>
          <w:rtl w:val="0"/>
        </w:rPr>
        <w:t xml:space="preserve">Expand the scope of involvement of our current client participants by asking them to do more than be just field reference calls/emails/RFPs</w:t>
      </w:r>
    </w:p>
    <w:p w:rsidR="00000000" w:rsidDel="00000000" w:rsidP="00000000" w:rsidRDefault="00000000" w:rsidRPr="00000000" w14:paraId="0000002D">
      <w:pPr>
        <w:numPr>
          <w:ilvl w:val="0"/>
          <w:numId w:val="1"/>
        </w:numPr>
        <w:ind w:left="720" w:hanging="360"/>
        <w:rPr/>
      </w:pPr>
      <w:r w:rsidDel="00000000" w:rsidR="00000000" w:rsidRPr="00000000">
        <w:rPr>
          <w:rtl w:val="0"/>
        </w:rPr>
        <w:t xml:space="preserve">Include more internal incentivization</w:t>
      </w:r>
    </w:p>
    <w:p w:rsidR="00000000" w:rsidDel="00000000" w:rsidP="00000000" w:rsidRDefault="00000000" w:rsidRPr="00000000" w14:paraId="0000002E">
      <w:pPr>
        <w:numPr>
          <w:ilvl w:val="0"/>
          <w:numId w:val="1"/>
        </w:numPr>
        <w:ind w:left="720" w:hanging="360"/>
        <w:rPr/>
      </w:pPr>
      <w:r w:rsidDel="00000000" w:rsidR="00000000" w:rsidRPr="00000000">
        <w:rPr>
          <w:rtl w:val="0"/>
        </w:rPr>
        <w:t xml:space="preserve">Improve messaging to shift from an Ask to an Invitation, while better communicating what’s in it for them</w:t>
      </w:r>
    </w:p>
    <w:p w:rsidR="00000000" w:rsidDel="00000000" w:rsidP="00000000" w:rsidRDefault="00000000" w:rsidRPr="00000000" w14:paraId="0000002F">
      <w:pPr>
        <w:numPr>
          <w:ilvl w:val="0"/>
          <w:numId w:val="1"/>
        </w:numPr>
        <w:ind w:left="720" w:hanging="360"/>
        <w:rPr/>
      </w:pPr>
      <w:r w:rsidDel="00000000" w:rsidR="00000000" w:rsidRPr="00000000">
        <w:rPr>
          <w:rtl w:val="0"/>
        </w:rPr>
        <w:t xml:space="preserve">Focus more on high-impact involvement, including case studies, Inspire speaking engagements, co-hosted webinars, press, etc.</w:t>
      </w:r>
    </w:p>
    <w:p w:rsidR="00000000" w:rsidDel="00000000" w:rsidP="00000000" w:rsidRDefault="00000000" w:rsidRPr="00000000" w14:paraId="00000030">
      <w:pPr>
        <w:numPr>
          <w:ilvl w:val="0"/>
          <w:numId w:val="1"/>
        </w:numPr>
        <w:ind w:left="720" w:hanging="360"/>
        <w:rPr/>
      </w:pPr>
      <w:bookmarkStart w:colFirst="0" w:colLast="0" w:name="_heading=h.1fob9te" w:id="2"/>
      <w:bookmarkEnd w:id="2"/>
      <w:r w:rsidDel="00000000" w:rsidR="00000000" w:rsidRPr="00000000">
        <w:rPr>
          <w:rtl w:val="0"/>
        </w:rPr>
        <w:t xml:space="preserve">Identify industries, topics/stories and Bazaarvoice products/solutions to target more aggressively and coordinate with Sales to identify what the team needs</w:t>
      </w:r>
    </w:p>
    <w:p w:rsidR="00000000" w:rsidDel="00000000" w:rsidP="00000000" w:rsidRDefault="00000000" w:rsidRPr="00000000" w14:paraId="00000031">
      <w:pPr>
        <w:numPr>
          <w:ilvl w:val="0"/>
          <w:numId w:val="1"/>
        </w:numPr>
        <w:ind w:left="720" w:hanging="360"/>
        <w:rPr/>
      </w:pPr>
      <w:r w:rsidDel="00000000" w:rsidR="00000000" w:rsidRPr="00000000">
        <w:rPr>
          <w:rtl w:val="0"/>
        </w:rPr>
        <w:t xml:space="preserve">Track reference-attributed sales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3.  SOURCES</w:t>
      </w:r>
    </w:p>
    <w:p w:rsidR="00000000" w:rsidDel="00000000" w:rsidP="00000000" w:rsidRDefault="00000000" w:rsidRPr="00000000" w14:paraId="0000003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i w:val="0"/>
          <w:smallCaps w:val="0"/>
          <w:strike w:val="0"/>
          <w:color w:val="000000"/>
          <w:sz w:val="21"/>
          <w:szCs w:val="21"/>
          <w:u w:val="none"/>
          <w:shd w:fill="auto" w:val="clear"/>
          <w:vertAlign w:val="baseline"/>
        </w:rPr>
      </w:pPr>
      <w:bookmarkStart w:colFirst="0" w:colLast="0" w:name="_heading=h.3znysh7" w:id="3"/>
      <w:bookmarkEnd w:id="3"/>
      <w:r w:rsidDel="00000000" w:rsidR="00000000" w:rsidRPr="00000000">
        <w:rPr>
          <w:rFonts w:ascii="Calibri" w:cs="Calibri" w:eastAsia="Calibri" w:hAnsi="Calibri"/>
          <w:b w:val="1"/>
          <w:i w:val="0"/>
          <w:smallCaps w:val="0"/>
          <w:strike w:val="0"/>
          <w:color w:val="000000"/>
          <w:sz w:val="21"/>
          <w:szCs w:val="21"/>
          <w:u w:val="none"/>
          <w:shd w:fill="auto" w:val="clear"/>
          <w:vertAlign w:val="baseline"/>
          <w:rtl w:val="0"/>
        </w:rPr>
        <w:br w:type="textWrapping"/>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In an effort to expand the types of references and avoid exhausting any, a primary focus of the program is to constantly add more references.</w:t>
      </w:r>
    </w:p>
    <w:p w:rsidR="00000000" w:rsidDel="00000000" w:rsidP="00000000" w:rsidRDefault="00000000" w:rsidRPr="00000000" w14:paraId="0000003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i w:val="0"/>
          <w:smallCaps w:val="0"/>
          <w:strike w:val="0"/>
          <w:color w:val="000000"/>
          <w:sz w:val="21"/>
          <w:szCs w:val="21"/>
          <w:u w:val="none"/>
          <w:shd w:fill="auto" w:val="clear"/>
          <w:vertAlign w:val="baseline"/>
          <w:rtl w:val="0"/>
        </w:rPr>
        <w:t xml:space="preserve">CLIENT SUCCESS </w:t>
      </w:r>
    </w:p>
    <w:p w:rsidR="00000000" w:rsidDel="00000000" w:rsidP="00000000" w:rsidRDefault="00000000" w:rsidRPr="00000000" w14:paraId="0000003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A">
      <w:pPr>
        <w:numPr>
          <w:ilvl w:val="0"/>
          <w:numId w:val="8"/>
        </w:numPr>
        <w:ind w:left="360" w:hanging="360"/>
        <w:rPr/>
      </w:pPr>
      <w:r w:rsidDel="00000000" w:rsidR="00000000" w:rsidRPr="00000000">
        <w:rPr>
          <w:b w:val="1"/>
          <w:rtl w:val="0"/>
        </w:rPr>
        <w:t xml:space="preserve">Client Stories</w:t>
      </w:r>
      <w:r w:rsidDel="00000000" w:rsidR="00000000" w:rsidRPr="00000000">
        <w:rPr>
          <w:rtl w:val="0"/>
        </w:rPr>
        <w:t xml:space="preserve">: This will likely be the primary and most effective source. Currently, the quarterly stories are generally housed only internally and not being utilized by other Bazaarvoice teams, limiting the value of the them.</w:t>
      </w:r>
    </w:p>
    <w:p w:rsidR="00000000" w:rsidDel="00000000" w:rsidP="00000000" w:rsidRDefault="00000000" w:rsidRPr="00000000" w14:paraId="0000003B">
      <w:pPr>
        <w:numPr>
          <w:ilvl w:val="1"/>
          <w:numId w:val="9"/>
        </w:numPr>
        <w:ind w:left="1080" w:hanging="360"/>
        <w:rPr/>
      </w:pPr>
      <w:r w:rsidDel="00000000" w:rsidR="00000000" w:rsidRPr="00000000">
        <w:rPr>
          <w:rtl w:val="0"/>
        </w:rPr>
        <w:t xml:space="preserve">Training CSDs on strategy for asking the clients for permission to share externally</w:t>
      </w:r>
    </w:p>
    <w:p w:rsidR="00000000" w:rsidDel="00000000" w:rsidP="00000000" w:rsidRDefault="00000000" w:rsidRPr="00000000" w14:paraId="0000003C">
      <w:pPr>
        <w:numPr>
          <w:ilvl w:val="1"/>
          <w:numId w:val="9"/>
        </w:numPr>
        <w:ind w:left="1080" w:hanging="360"/>
        <w:rPr/>
      </w:pPr>
      <w:r w:rsidDel="00000000" w:rsidR="00000000" w:rsidRPr="00000000">
        <w:rPr>
          <w:rtl w:val="0"/>
        </w:rPr>
        <w:t xml:space="preserve">Mine previous client stories for opportunities</w:t>
      </w:r>
    </w:p>
    <w:p w:rsidR="00000000" w:rsidDel="00000000" w:rsidP="00000000" w:rsidRDefault="00000000" w:rsidRPr="00000000" w14:paraId="0000003D">
      <w:pPr>
        <w:numPr>
          <w:ilvl w:val="1"/>
          <w:numId w:val="9"/>
        </w:numPr>
        <w:ind w:left="1080" w:hanging="360"/>
        <w:rPr/>
      </w:pPr>
      <w:r w:rsidDel="00000000" w:rsidR="00000000" w:rsidRPr="00000000">
        <w:rPr>
          <w:rtl w:val="0"/>
        </w:rPr>
        <w:t xml:space="preserve">Incentivize CSDs for supporting the reference program by reallocating current prize money budget to pay out CSDs who support the reference program in some fashion. This could be direct payment to all supporters or entrance into a sweepstakes and could be tiered based on the result (one amount for getting approval to share externally, a higher amount of willingness to serve as reference and another higher amount for case studies, webinars and other more valuable initiatives.</w:t>
      </w:r>
    </w:p>
    <w:p w:rsidR="00000000" w:rsidDel="00000000" w:rsidP="00000000" w:rsidRDefault="00000000" w:rsidRPr="00000000" w14:paraId="0000003E">
      <w:pPr>
        <w:numPr>
          <w:ilvl w:val="1"/>
          <w:numId w:val="9"/>
        </w:numPr>
        <w:ind w:left="1080" w:hanging="360"/>
        <w:rPr/>
      </w:pPr>
      <w:r w:rsidDel="00000000" w:rsidR="00000000" w:rsidRPr="00000000">
        <w:rPr>
          <w:rtl w:val="0"/>
        </w:rPr>
        <w:t xml:space="preserve">Mold the stories into a format that is preferred by sales (one-pager PDFs and single slides)</w:t>
      </w:r>
    </w:p>
    <w:p w:rsidR="00000000" w:rsidDel="00000000" w:rsidP="00000000" w:rsidRDefault="00000000" w:rsidRPr="00000000" w14:paraId="0000003F">
      <w:pPr>
        <w:ind w:left="1080" w:firstLine="0"/>
        <w:rPr/>
      </w:pPr>
      <w:r w:rsidDel="00000000" w:rsidR="00000000" w:rsidRPr="00000000">
        <w:rPr>
          <w:rtl w:val="0"/>
        </w:rPr>
      </w:r>
    </w:p>
    <w:p w:rsidR="00000000" w:rsidDel="00000000" w:rsidP="00000000" w:rsidRDefault="00000000" w:rsidRPr="00000000" w14:paraId="00000040">
      <w:pPr>
        <w:numPr>
          <w:ilvl w:val="0"/>
          <w:numId w:val="8"/>
        </w:numPr>
        <w:ind w:left="360" w:hanging="360"/>
        <w:rPr/>
      </w:pPr>
      <w:r w:rsidDel="00000000" w:rsidR="00000000" w:rsidRPr="00000000">
        <w:rPr>
          <w:b w:val="1"/>
          <w:rtl w:val="0"/>
        </w:rPr>
        <w:t xml:space="preserve">Gainsight health scores</w:t>
      </w:r>
      <w:r w:rsidDel="00000000" w:rsidR="00000000" w:rsidRPr="00000000">
        <w:rPr>
          <w:rtl w:val="0"/>
        </w:rPr>
        <w:t xml:space="preserve">: This source is contingent on CSDs keeping scores updated</w:t>
      </w:r>
    </w:p>
    <w:p w:rsidR="00000000" w:rsidDel="00000000" w:rsidP="00000000" w:rsidRDefault="00000000" w:rsidRPr="00000000" w14:paraId="00000041">
      <w:pPr>
        <w:numPr>
          <w:ilvl w:val="2"/>
          <w:numId w:val="8"/>
        </w:numPr>
        <w:ind w:left="1080" w:hanging="360"/>
        <w:rPr/>
      </w:pPr>
      <w:r w:rsidDel="00000000" w:rsidR="00000000" w:rsidRPr="00000000">
        <w:rPr>
          <w:rtl w:val="0"/>
        </w:rPr>
        <w:t xml:space="preserve">Quarterly reports on high overall scores, with special consideration given to the Champion Present field score, followed by outreach to CSD for confirmation</w:t>
      </w:r>
    </w:p>
    <w:p w:rsidR="00000000" w:rsidDel="00000000" w:rsidP="00000000" w:rsidRDefault="00000000" w:rsidRPr="00000000" w14:paraId="00000042">
      <w:pPr>
        <w:ind w:left="360" w:firstLine="0"/>
        <w:rPr/>
      </w:pPr>
      <w:r w:rsidDel="00000000" w:rsidR="00000000" w:rsidRPr="00000000">
        <w:rPr>
          <w:rtl w:val="0"/>
        </w:rPr>
      </w:r>
    </w:p>
    <w:p w:rsidR="00000000" w:rsidDel="00000000" w:rsidP="00000000" w:rsidRDefault="00000000" w:rsidRPr="00000000" w14:paraId="00000043">
      <w:pPr>
        <w:numPr>
          <w:ilvl w:val="0"/>
          <w:numId w:val="8"/>
        </w:numPr>
        <w:ind w:left="360" w:hanging="360"/>
        <w:rPr/>
      </w:pPr>
      <w:r w:rsidDel="00000000" w:rsidR="00000000" w:rsidRPr="00000000">
        <w:rPr>
          <w:b w:val="1"/>
          <w:rtl w:val="0"/>
        </w:rPr>
        <w:t xml:space="preserve">Renewals</w:t>
      </w:r>
      <w:r w:rsidDel="00000000" w:rsidR="00000000" w:rsidRPr="00000000">
        <w:rPr>
          <w:rtl w:val="0"/>
        </w:rPr>
        <w:t xml:space="preserve">: Add point incentive for RSDs when reference item is added to agreement (similar to EDR and other points)</w:t>
      </w:r>
    </w:p>
    <w:p w:rsidR="00000000" w:rsidDel="00000000" w:rsidP="00000000" w:rsidRDefault="00000000" w:rsidRPr="00000000" w14:paraId="00000044">
      <w:pPr>
        <w:numPr>
          <w:ilvl w:val="0"/>
          <w:numId w:val="8"/>
        </w:numPr>
        <w:ind w:left="360" w:hanging="360"/>
        <w:rPr/>
      </w:pPr>
      <w:r w:rsidDel="00000000" w:rsidR="00000000" w:rsidRPr="00000000">
        <w:rPr>
          <w:b w:val="1"/>
          <w:rtl w:val="0"/>
        </w:rPr>
        <w:t xml:space="preserve">Solicitation:</w:t>
      </w:r>
      <w:r w:rsidDel="00000000" w:rsidR="00000000" w:rsidRPr="00000000">
        <w:rPr>
          <w:rtl w:val="0"/>
        </w:rPr>
        <w:t xml:space="preserve"> occasional direct outreach to CSDs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Consider providing visibility into CSD individual participation to foster “competition” and showcase top contributors.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rPr>
      </w:pPr>
      <w:r w:rsidDel="00000000" w:rsidR="00000000" w:rsidRPr="00000000">
        <w:rPr>
          <w:b w:val="1"/>
          <w:rtl w:val="0"/>
        </w:rPr>
        <w:t xml:space="preserve">SALES</w:t>
      </w:r>
    </w:p>
    <w:p w:rsidR="00000000" w:rsidDel="00000000" w:rsidP="00000000" w:rsidRDefault="00000000" w:rsidRPr="00000000" w14:paraId="0000004A">
      <w:pPr>
        <w:rPr>
          <w:b w:val="1"/>
        </w:rPr>
      </w:pPr>
      <w:r w:rsidDel="00000000" w:rsidR="00000000" w:rsidRPr="00000000">
        <w:rPr>
          <w:rtl w:val="0"/>
        </w:rPr>
      </w:r>
    </w:p>
    <w:p w:rsidR="00000000" w:rsidDel="00000000" w:rsidP="00000000" w:rsidRDefault="00000000" w:rsidRPr="00000000" w14:paraId="0000004B">
      <w:pPr>
        <w:rPr/>
      </w:pPr>
      <w:r w:rsidDel="00000000" w:rsidR="00000000" w:rsidRPr="00000000">
        <w:rPr>
          <w:b w:val="1"/>
          <w:rtl w:val="0"/>
        </w:rPr>
        <w:t xml:space="preserve">Service Orders</w:t>
      </w:r>
      <w:r w:rsidDel="00000000" w:rsidR="00000000" w:rsidRPr="00000000">
        <w:rPr>
          <w:rtl w:val="0"/>
        </w:rPr>
        <w:t xml:space="preserve">: Continue including Client Collaboration clause in SOs and create a way for RSDs and CSDs to be cognizant of which clients have this agreement and a way to follow-up bi-annually or during renewal negotiations (similar to RSDs success with EDR)</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rPr>
      </w:pPr>
      <w:r w:rsidDel="00000000" w:rsidR="00000000" w:rsidRPr="00000000">
        <w:rPr>
          <w:b w:val="1"/>
          <w:rtl w:val="0"/>
        </w:rPr>
        <w:t xml:space="preserve">OTHER</w:t>
      </w:r>
    </w:p>
    <w:p w:rsidR="00000000" w:rsidDel="00000000" w:rsidP="00000000" w:rsidRDefault="00000000" w:rsidRPr="00000000" w14:paraId="0000004F">
      <w:pPr>
        <w:rPr>
          <w:b w:val="1"/>
        </w:rPr>
      </w:pPr>
      <w:r w:rsidDel="00000000" w:rsidR="00000000" w:rsidRPr="00000000">
        <w:rPr>
          <w:rtl w:val="0"/>
        </w:rPr>
      </w:r>
    </w:p>
    <w:p w:rsidR="00000000" w:rsidDel="00000000" w:rsidP="00000000" w:rsidRDefault="00000000" w:rsidRPr="00000000" w14:paraId="00000050">
      <w:pPr>
        <w:numPr>
          <w:ilvl w:val="0"/>
          <w:numId w:val="2"/>
        </w:numPr>
        <w:ind w:left="360" w:hanging="360"/>
        <w:rPr/>
      </w:pPr>
      <w:r w:rsidDel="00000000" w:rsidR="00000000" w:rsidRPr="00000000">
        <w:rPr>
          <w:b w:val="1"/>
          <w:rtl w:val="0"/>
        </w:rPr>
        <w:t xml:space="preserve">CSATs</w:t>
      </w:r>
      <w:r w:rsidDel="00000000" w:rsidR="00000000" w:rsidRPr="00000000">
        <w:rPr>
          <w:rtl w:val="0"/>
        </w:rPr>
        <w:t xml:space="preserve">: Powered by the Strategic Programs team and includes field for NPS</w:t>
      </w:r>
    </w:p>
    <w:p w:rsidR="00000000" w:rsidDel="00000000" w:rsidP="00000000" w:rsidRDefault="00000000" w:rsidRPr="00000000" w14:paraId="00000051">
      <w:pPr>
        <w:numPr>
          <w:ilvl w:val="0"/>
          <w:numId w:val="2"/>
        </w:numPr>
        <w:ind w:left="360" w:hanging="360"/>
        <w:rPr/>
      </w:pPr>
      <w:r w:rsidDel="00000000" w:rsidR="00000000" w:rsidRPr="00000000">
        <w:rPr>
          <w:b w:val="1"/>
          <w:rtl w:val="0"/>
        </w:rPr>
        <w:t xml:space="preserve">Expand</w:t>
      </w:r>
      <w:r w:rsidDel="00000000" w:rsidR="00000000" w:rsidRPr="00000000">
        <w:rPr>
          <w:rtl w:val="0"/>
        </w:rPr>
        <w:t xml:space="preserve"> </w:t>
      </w:r>
      <w:r w:rsidDel="00000000" w:rsidR="00000000" w:rsidRPr="00000000">
        <w:rPr>
          <w:b w:val="1"/>
          <w:rtl w:val="0"/>
        </w:rPr>
        <w:t xml:space="preserve">commitment level of current members</w:t>
      </w:r>
      <w:r w:rsidDel="00000000" w:rsidR="00000000" w:rsidRPr="00000000">
        <w:rPr>
          <w:rtl w:val="0"/>
        </w:rPr>
      </w:r>
    </w:p>
    <w:p w:rsidR="00000000" w:rsidDel="00000000" w:rsidP="00000000" w:rsidRDefault="00000000" w:rsidRPr="00000000" w14:paraId="00000052">
      <w:pPr>
        <w:numPr>
          <w:ilvl w:val="0"/>
          <w:numId w:val="2"/>
        </w:numPr>
        <w:ind w:left="360" w:hanging="360"/>
        <w:rPr/>
      </w:pPr>
      <w:r w:rsidDel="00000000" w:rsidR="00000000" w:rsidRPr="00000000">
        <w:rPr>
          <w:b w:val="1"/>
          <w:rtl w:val="0"/>
        </w:rPr>
        <w:t xml:space="preserve">SO tracking/notifications: </w:t>
      </w:r>
      <w:r w:rsidDel="00000000" w:rsidR="00000000" w:rsidRPr="00000000">
        <w:rPr>
          <w:rtl w:val="0"/>
        </w:rPr>
        <w:t xml:space="preserve">Make IPM, CSD and RSD aware of clients with service order reference clauses (see above) to ensure high quality service; Occasional Gainsight alerts/reminders to CSD and to RSD at time of renewal</w:t>
      </w:r>
    </w:p>
    <w:p w:rsidR="00000000" w:rsidDel="00000000" w:rsidP="00000000" w:rsidRDefault="00000000" w:rsidRPr="00000000" w14:paraId="00000053">
      <w:pPr>
        <w:numPr>
          <w:ilvl w:val="0"/>
          <w:numId w:val="2"/>
        </w:numPr>
        <w:ind w:left="360" w:hanging="360"/>
        <w:rPr/>
      </w:pPr>
      <w:r w:rsidDel="00000000" w:rsidR="00000000" w:rsidRPr="00000000">
        <w:rPr>
          <w:b w:val="1"/>
          <w:rtl w:val="0"/>
        </w:rPr>
        <w:t xml:space="preserve">Inspire feedback surveys:</w:t>
      </w:r>
      <w:r w:rsidDel="00000000" w:rsidR="00000000" w:rsidRPr="00000000">
        <w:rPr>
          <w:rtl w:val="0"/>
        </w:rPr>
        <w:t xml:space="preserve"> digitize the</w:t>
      </w:r>
      <w:r w:rsidDel="00000000" w:rsidR="00000000" w:rsidRPr="00000000">
        <w:rPr>
          <w:b w:val="1"/>
          <w:rtl w:val="0"/>
        </w:rPr>
        <w:t xml:space="preserve"> </w:t>
      </w:r>
      <w:r w:rsidDel="00000000" w:rsidR="00000000" w:rsidRPr="00000000">
        <w:rPr>
          <w:rtl w:val="0"/>
        </w:rPr>
        <w:t xml:space="preserve">survey, add a relevant field/question to include NPS or “how likely are you to recommend Bazaarvoice…” type question, CSD outreach to all attendees and consider incentivizing CSDs on client attendance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1"/>
        <w:rPr>
          <w:rFonts w:ascii="Calibri" w:cs="Calibri" w:eastAsia="Calibri" w:hAnsi="Calibri"/>
          <w:sz w:val="32"/>
          <w:szCs w:val="32"/>
        </w:rPr>
      </w:pPr>
      <w:bookmarkStart w:colFirst="0" w:colLast="0" w:name="_heading=h.2et92p0" w:id="4"/>
      <w:bookmarkEnd w:id="4"/>
      <w:r w:rsidDel="00000000" w:rsidR="00000000" w:rsidRPr="00000000">
        <w:rPr>
          <w:rFonts w:ascii="Calibri" w:cs="Calibri" w:eastAsia="Calibri" w:hAnsi="Calibri"/>
          <w:sz w:val="32"/>
          <w:szCs w:val="32"/>
          <w:rtl w:val="0"/>
        </w:rPr>
        <w:t xml:space="preserve">4.  PRIORITIZED COMMITMENT LEVELS AND INDUSTRIES</w:t>
      </w:r>
    </w:p>
    <w:p w:rsidR="00000000" w:rsidDel="00000000" w:rsidP="00000000" w:rsidRDefault="00000000" w:rsidRPr="00000000" w14:paraId="0000005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 current reference program is comprised primarily of low-impact commitments, with ~57% of participants having only agreed to provide a logo or field reference requests, and 39 Bazaarvoice industries have no references. </w:t>
      </w:r>
    </w:p>
    <w:p w:rsidR="00000000" w:rsidDel="00000000" w:rsidP="00000000" w:rsidRDefault="00000000" w:rsidRPr="00000000" w14:paraId="0000005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Pr>
        <w:drawing>
          <wp:inline distB="0" distT="0" distL="0" distR="0">
            <wp:extent cx="5943600" cy="3385820"/>
            <wp:docPr id="8" name=""/>
            <a:graphic>
              <a:graphicData uri="http://schemas.openxmlformats.org/drawingml/2006/chart">
                <c:chart r:id="rId7"/>
              </a:graphicData>
            </a:graphic>
          </wp:inline>
        </w:drawing>
      </w:r>
      <w:r w:rsidDel="00000000" w:rsidR="00000000" w:rsidRPr="00000000">
        <w:rPr>
          <w:rtl w:val="0"/>
        </w:rPr>
      </w:r>
    </w:p>
    <w:p w:rsidR="00000000" w:rsidDel="00000000" w:rsidP="00000000" w:rsidRDefault="00000000" w:rsidRPr="00000000" w14:paraId="0000005B">
      <w:pPr>
        <w:jc w:val="center"/>
        <w:rPr/>
      </w:pPr>
      <w:r w:rsidDel="00000000" w:rsidR="00000000" w:rsidRPr="00000000">
        <w:rPr>
          <w:rtl w:val="0"/>
        </w:rPr>
      </w:r>
    </w:p>
    <w:p w:rsidR="00000000" w:rsidDel="00000000" w:rsidP="00000000" w:rsidRDefault="00000000" w:rsidRPr="00000000" w14:paraId="0000005C">
      <w:pPr>
        <w:jc w:val="center"/>
        <w:rPr>
          <w:b w:val="1"/>
          <w:color w:val="404040"/>
        </w:rPr>
      </w:pPr>
      <w:r w:rsidDel="00000000" w:rsidR="00000000" w:rsidRPr="00000000">
        <w:rPr>
          <w:b w:val="1"/>
          <w:color w:val="404040"/>
          <w:rtl w:val="0"/>
        </w:rPr>
        <w:t xml:space="preserve">The ranking of impact by commitment level</w:t>
      </w:r>
    </w:p>
    <w:p w:rsidR="00000000" w:rsidDel="00000000" w:rsidP="00000000" w:rsidRDefault="00000000" w:rsidRPr="00000000" w14:paraId="0000005D">
      <w:pPr>
        <w:jc w:val="center"/>
        <w:rPr>
          <w:b w:val="1"/>
          <w:color w:val="404040"/>
        </w:rPr>
      </w:pPr>
      <w:r w:rsidDel="00000000" w:rsidR="00000000" w:rsidRPr="00000000">
        <w:rPr>
          <w:b w:val="1"/>
          <w:color w:val="404040"/>
          <w:rtl w:val="0"/>
        </w:rPr>
        <w:t xml:space="preserve">(Source: Gainsight - Views on the State of Marketing and Advocacy)</w:t>
      </w:r>
    </w:p>
    <w:p w:rsidR="00000000" w:rsidDel="00000000" w:rsidP="00000000" w:rsidRDefault="00000000" w:rsidRPr="00000000" w14:paraId="0000005E">
      <w:pPr>
        <w:jc w:val="center"/>
        <w:rPr/>
      </w:pPr>
      <w:r w:rsidDel="00000000" w:rsidR="00000000" w:rsidRPr="00000000">
        <w:rPr>
          <w:rtl w:val="0"/>
        </w:rPr>
      </w:r>
    </w:p>
    <w:p w:rsidR="00000000" w:rsidDel="00000000" w:rsidP="00000000" w:rsidRDefault="00000000" w:rsidRPr="00000000" w14:paraId="0000005F">
      <w:pPr>
        <w:jc w:val="center"/>
        <w:rPr/>
      </w:pPr>
      <w:r w:rsidDel="00000000" w:rsidR="00000000" w:rsidRPr="00000000">
        <w:rPr/>
        <w:drawing>
          <wp:inline distB="0" distT="0" distL="0" distR="0">
            <wp:extent cx="3420778" cy="2268093"/>
            <wp:effectExtent b="0" l="0" r="0" t="0"/>
            <wp:docPr id="1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420778" cy="2268093"/>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drawing>
          <wp:inline distB="0" distT="0" distL="0" distR="0">
            <wp:extent cx="5943600" cy="3610530"/>
            <wp:docPr id="9" name=""/>
            <a:graphic>
              <a:graphicData uri="http://schemas.openxmlformats.org/drawingml/2006/chart">
                <c:chart r:id="rId9"/>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jc w:val="center"/>
        <w:rPr>
          <w:b w:val="1"/>
          <w:color w:val="404040"/>
        </w:rPr>
      </w:pPr>
      <w:r w:rsidDel="00000000" w:rsidR="00000000" w:rsidRPr="00000000">
        <w:rPr>
          <w:b w:val="1"/>
          <w:color w:val="404040"/>
          <w:rtl w:val="0"/>
        </w:rPr>
        <w:t xml:space="preserve">Current Reference View Count by Industry (less than 10 clients):</w:t>
      </w:r>
    </w:p>
    <w:p w:rsidR="00000000" w:rsidDel="00000000" w:rsidP="00000000" w:rsidRDefault="00000000" w:rsidRPr="00000000" w14:paraId="00000066">
      <w:pPr>
        <w:rPr/>
      </w:pPr>
      <w:r w:rsidDel="00000000" w:rsidR="00000000" w:rsidRPr="00000000">
        <w:rPr>
          <w:rtl w:val="0"/>
        </w:rPr>
      </w:r>
    </w:p>
    <w:tbl>
      <w:tblPr>
        <w:tblStyle w:val="Table1"/>
        <w:tblW w:w="9132.0" w:type="dxa"/>
        <w:jc w:val="left"/>
        <w:tblInd w:w="220.0" w:type="dxa"/>
        <w:tblLayout w:type="fixed"/>
        <w:tblLook w:val="0400"/>
      </w:tblPr>
      <w:tblGrid>
        <w:gridCol w:w="2602"/>
        <w:gridCol w:w="3690"/>
        <w:gridCol w:w="2840"/>
        <w:tblGridChange w:id="0">
          <w:tblGrid>
            <w:gridCol w:w="2602"/>
            <w:gridCol w:w="3690"/>
            <w:gridCol w:w="2840"/>
          </w:tblGrid>
        </w:tblGridChange>
      </w:tblGrid>
      <w:tr>
        <w:trPr>
          <w:cantSplit w:val="0"/>
          <w:trHeight w:val="144" w:hRule="atLeast"/>
          <w:tblHeader w:val="0"/>
        </w:trPr>
        <w:tc>
          <w:tcPr>
            <w:shd w:fill="auto" w:val="clear"/>
            <w:vAlign w:val="bottom"/>
          </w:tcPr>
          <w:p w:rsidR="00000000" w:rsidDel="00000000" w:rsidP="00000000" w:rsidRDefault="00000000" w:rsidRPr="00000000" w14:paraId="00000067">
            <w:pPr>
              <w:rPr>
                <w:color w:val="404040"/>
                <w:sz w:val="17"/>
                <w:szCs w:val="17"/>
              </w:rPr>
            </w:pPr>
            <w:r w:rsidDel="00000000" w:rsidR="00000000" w:rsidRPr="00000000">
              <w:rPr>
                <w:color w:val="404040"/>
                <w:sz w:val="17"/>
                <w:szCs w:val="17"/>
                <w:rtl w:val="0"/>
              </w:rPr>
              <w:t xml:space="preserve">Office Supplies (8)</w:t>
            </w:r>
          </w:p>
        </w:tc>
        <w:tc>
          <w:tcPr>
            <w:shd w:fill="auto" w:val="clear"/>
            <w:vAlign w:val="bottom"/>
          </w:tcPr>
          <w:p w:rsidR="00000000" w:rsidDel="00000000" w:rsidP="00000000" w:rsidRDefault="00000000" w:rsidRPr="00000000" w14:paraId="00000068">
            <w:pPr>
              <w:rPr>
                <w:color w:val="404040"/>
                <w:sz w:val="17"/>
                <w:szCs w:val="17"/>
              </w:rPr>
            </w:pPr>
            <w:r w:rsidDel="00000000" w:rsidR="00000000" w:rsidRPr="00000000">
              <w:rPr>
                <w:color w:val="404040"/>
                <w:sz w:val="17"/>
                <w:szCs w:val="17"/>
                <w:rtl w:val="0"/>
              </w:rPr>
              <w:t xml:space="preserve">Automotive - Services (3)</w:t>
            </w:r>
          </w:p>
        </w:tc>
        <w:tc>
          <w:tcPr>
            <w:shd w:fill="auto" w:val="clear"/>
            <w:vAlign w:val="bottom"/>
          </w:tcPr>
          <w:p w:rsidR="00000000" w:rsidDel="00000000" w:rsidP="00000000" w:rsidRDefault="00000000" w:rsidRPr="00000000" w14:paraId="00000069">
            <w:pPr>
              <w:rPr>
                <w:color w:val="404040"/>
                <w:sz w:val="17"/>
                <w:szCs w:val="17"/>
              </w:rPr>
            </w:pPr>
            <w:r w:rsidDel="00000000" w:rsidR="00000000" w:rsidRPr="00000000">
              <w:rPr>
                <w:color w:val="404040"/>
                <w:sz w:val="17"/>
                <w:szCs w:val="17"/>
                <w:rtl w:val="0"/>
              </w:rPr>
              <w:t xml:space="preserve">Legal &amp; Tax Services (2)</w:t>
            </w:r>
          </w:p>
        </w:tc>
      </w:tr>
      <w:tr>
        <w:trPr>
          <w:cantSplit w:val="0"/>
          <w:trHeight w:val="144" w:hRule="atLeast"/>
          <w:tblHeader w:val="0"/>
        </w:trPr>
        <w:tc>
          <w:tcPr>
            <w:shd w:fill="auto" w:val="clear"/>
            <w:vAlign w:val="bottom"/>
          </w:tcPr>
          <w:p w:rsidR="00000000" w:rsidDel="00000000" w:rsidP="00000000" w:rsidRDefault="00000000" w:rsidRPr="00000000" w14:paraId="0000006A">
            <w:pPr>
              <w:rPr>
                <w:color w:val="404040"/>
                <w:sz w:val="17"/>
                <w:szCs w:val="17"/>
              </w:rPr>
            </w:pPr>
            <w:r w:rsidDel="00000000" w:rsidR="00000000" w:rsidRPr="00000000">
              <w:rPr>
                <w:color w:val="404040"/>
                <w:sz w:val="17"/>
                <w:szCs w:val="17"/>
                <w:rtl w:val="0"/>
              </w:rPr>
              <w:t xml:space="preserve">Software (8)</w:t>
            </w:r>
          </w:p>
        </w:tc>
        <w:tc>
          <w:tcPr>
            <w:shd w:fill="auto" w:val="clear"/>
            <w:vAlign w:val="bottom"/>
          </w:tcPr>
          <w:p w:rsidR="00000000" w:rsidDel="00000000" w:rsidP="00000000" w:rsidRDefault="00000000" w:rsidRPr="00000000" w14:paraId="0000006B">
            <w:pPr>
              <w:rPr>
                <w:color w:val="404040"/>
                <w:sz w:val="17"/>
                <w:szCs w:val="17"/>
              </w:rPr>
            </w:pPr>
            <w:r w:rsidDel="00000000" w:rsidR="00000000" w:rsidRPr="00000000">
              <w:rPr>
                <w:color w:val="404040"/>
                <w:sz w:val="17"/>
                <w:szCs w:val="17"/>
                <w:rtl w:val="0"/>
              </w:rPr>
              <w:t xml:space="preserve">Automotive - Vehicle Manufacturer (3)</w:t>
            </w:r>
          </w:p>
        </w:tc>
        <w:tc>
          <w:tcPr>
            <w:shd w:fill="auto" w:val="clear"/>
            <w:vAlign w:val="bottom"/>
          </w:tcPr>
          <w:p w:rsidR="00000000" w:rsidDel="00000000" w:rsidP="00000000" w:rsidRDefault="00000000" w:rsidRPr="00000000" w14:paraId="0000006C">
            <w:pPr>
              <w:rPr>
                <w:color w:val="404040"/>
                <w:sz w:val="17"/>
                <w:szCs w:val="17"/>
              </w:rPr>
            </w:pPr>
            <w:r w:rsidDel="00000000" w:rsidR="00000000" w:rsidRPr="00000000">
              <w:rPr>
                <w:color w:val="404040"/>
                <w:sz w:val="17"/>
                <w:szCs w:val="17"/>
                <w:rtl w:val="0"/>
              </w:rPr>
              <w:t xml:space="preserve">Pharmaceuticals (2)</w:t>
            </w:r>
          </w:p>
        </w:tc>
      </w:tr>
      <w:tr>
        <w:trPr>
          <w:cantSplit w:val="0"/>
          <w:trHeight w:val="144" w:hRule="atLeast"/>
          <w:tblHeader w:val="0"/>
        </w:trPr>
        <w:tc>
          <w:tcPr>
            <w:shd w:fill="auto" w:val="clear"/>
            <w:vAlign w:val="bottom"/>
          </w:tcPr>
          <w:p w:rsidR="00000000" w:rsidDel="00000000" w:rsidP="00000000" w:rsidRDefault="00000000" w:rsidRPr="00000000" w14:paraId="0000006D">
            <w:pPr>
              <w:rPr>
                <w:color w:val="404040"/>
                <w:sz w:val="17"/>
                <w:szCs w:val="17"/>
              </w:rPr>
            </w:pPr>
            <w:r w:rsidDel="00000000" w:rsidR="00000000" w:rsidRPr="00000000">
              <w:rPr>
                <w:color w:val="404040"/>
                <w:sz w:val="17"/>
                <w:szCs w:val="17"/>
                <w:rtl w:val="0"/>
              </w:rPr>
              <w:t xml:space="preserve">Telecommunications (8)</w:t>
            </w:r>
          </w:p>
        </w:tc>
        <w:tc>
          <w:tcPr>
            <w:shd w:fill="auto" w:val="clear"/>
            <w:vAlign w:val="bottom"/>
          </w:tcPr>
          <w:p w:rsidR="00000000" w:rsidDel="00000000" w:rsidP="00000000" w:rsidRDefault="00000000" w:rsidRPr="00000000" w14:paraId="0000006E">
            <w:pPr>
              <w:rPr>
                <w:color w:val="404040"/>
                <w:sz w:val="17"/>
                <w:szCs w:val="17"/>
              </w:rPr>
            </w:pPr>
            <w:r w:rsidDel="00000000" w:rsidR="00000000" w:rsidRPr="00000000">
              <w:rPr>
                <w:color w:val="404040"/>
                <w:sz w:val="17"/>
                <w:szCs w:val="17"/>
                <w:rtl w:val="0"/>
              </w:rPr>
              <w:t xml:space="preserve">Diversified Manufacturing Conglomerate (3)</w:t>
            </w:r>
          </w:p>
        </w:tc>
        <w:tc>
          <w:tcPr>
            <w:shd w:fill="auto" w:val="clear"/>
            <w:vAlign w:val="bottom"/>
          </w:tcPr>
          <w:p w:rsidR="00000000" w:rsidDel="00000000" w:rsidP="00000000" w:rsidRDefault="00000000" w:rsidRPr="00000000" w14:paraId="0000006F">
            <w:pPr>
              <w:rPr>
                <w:color w:val="404040"/>
                <w:sz w:val="17"/>
                <w:szCs w:val="17"/>
              </w:rPr>
            </w:pPr>
            <w:r w:rsidDel="00000000" w:rsidR="00000000" w:rsidRPr="00000000">
              <w:rPr>
                <w:color w:val="404040"/>
                <w:sz w:val="17"/>
                <w:szCs w:val="17"/>
                <w:rtl w:val="0"/>
              </w:rPr>
              <w:t xml:space="preserve">Automotive (1)</w:t>
            </w:r>
          </w:p>
        </w:tc>
      </w:tr>
      <w:tr>
        <w:trPr>
          <w:cantSplit w:val="0"/>
          <w:trHeight w:val="144" w:hRule="atLeast"/>
          <w:tblHeader w:val="0"/>
        </w:trPr>
        <w:tc>
          <w:tcPr>
            <w:shd w:fill="auto" w:val="clear"/>
            <w:vAlign w:val="bottom"/>
          </w:tcPr>
          <w:p w:rsidR="00000000" w:rsidDel="00000000" w:rsidP="00000000" w:rsidRDefault="00000000" w:rsidRPr="00000000" w14:paraId="00000070">
            <w:pPr>
              <w:rPr>
                <w:color w:val="404040"/>
                <w:sz w:val="17"/>
                <w:szCs w:val="17"/>
              </w:rPr>
            </w:pPr>
            <w:r w:rsidDel="00000000" w:rsidR="00000000" w:rsidRPr="00000000">
              <w:rPr>
                <w:color w:val="404040"/>
                <w:sz w:val="17"/>
                <w:szCs w:val="17"/>
                <w:rtl w:val="0"/>
              </w:rPr>
              <w:t xml:space="preserve">Toys / Games / Hobbies (8)</w:t>
            </w:r>
          </w:p>
        </w:tc>
        <w:tc>
          <w:tcPr>
            <w:shd w:fill="auto" w:val="clear"/>
            <w:vAlign w:val="bottom"/>
          </w:tcPr>
          <w:p w:rsidR="00000000" w:rsidDel="00000000" w:rsidP="00000000" w:rsidRDefault="00000000" w:rsidRPr="00000000" w14:paraId="00000071">
            <w:pPr>
              <w:rPr>
                <w:color w:val="404040"/>
                <w:sz w:val="17"/>
                <w:szCs w:val="17"/>
              </w:rPr>
            </w:pPr>
            <w:r w:rsidDel="00000000" w:rsidR="00000000" w:rsidRPr="00000000">
              <w:rPr>
                <w:color w:val="404040"/>
                <w:sz w:val="17"/>
                <w:szCs w:val="17"/>
                <w:rtl w:val="0"/>
              </w:rPr>
              <w:t xml:space="preserve">Travel - Destination (3)</w:t>
            </w:r>
          </w:p>
        </w:tc>
        <w:tc>
          <w:tcPr>
            <w:shd w:fill="auto" w:val="clear"/>
            <w:vAlign w:val="bottom"/>
          </w:tcPr>
          <w:p w:rsidR="00000000" w:rsidDel="00000000" w:rsidP="00000000" w:rsidRDefault="00000000" w:rsidRPr="00000000" w14:paraId="00000072">
            <w:pPr>
              <w:rPr>
                <w:color w:val="404040"/>
                <w:sz w:val="17"/>
                <w:szCs w:val="17"/>
              </w:rPr>
            </w:pPr>
            <w:r w:rsidDel="00000000" w:rsidR="00000000" w:rsidRPr="00000000">
              <w:rPr>
                <w:color w:val="404040"/>
                <w:sz w:val="17"/>
                <w:szCs w:val="17"/>
                <w:rtl w:val="0"/>
              </w:rPr>
              <w:t xml:space="preserve">Books/CDs/Dvds/Music/Games (1)</w:t>
            </w:r>
          </w:p>
        </w:tc>
      </w:tr>
      <w:tr>
        <w:trPr>
          <w:cantSplit w:val="0"/>
          <w:trHeight w:val="144" w:hRule="atLeast"/>
          <w:tblHeader w:val="0"/>
        </w:trPr>
        <w:tc>
          <w:tcPr>
            <w:shd w:fill="auto" w:val="clear"/>
            <w:vAlign w:val="bottom"/>
          </w:tcPr>
          <w:p w:rsidR="00000000" w:rsidDel="00000000" w:rsidP="00000000" w:rsidRDefault="00000000" w:rsidRPr="00000000" w14:paraId="00000073">
            <w:pPr>
              <w:rPr>
                <w:color w:val="404040"/>
                <w:sz w:val="17"/>
                <w:szCs w:val="17"/>
              </w:rPr>
            </w:pPr>
            <w:r w:rsidDel="00000000" w:rsidR="00000000" w:rsidRPr="00000000">
              <w:rPr>
                <w:color w:val="404040"/>
                <w:sz w:val="17"/>
                <w:szCs w:val="17"/>
                <w:rtl w:val="0"/>
              </w:rPr>
              <w:t xml:space="preserve">Credit Unions (6)</w:t>
            </w:r>
          </w:p>
        </w:tc>
        <w:tc>
          <w:tcPr>
            <w:shd w:fill="auto" w:val="clear"/>
            <w:vAlign w:val="bottom"/>
          </w:tcPr>
          <w:p w:rsidR="00000000" w:rsidDel="00000000" w:rsidP="00000000" w:rsidRDefault="00000000" w:rsidRPr="00000000" w14:paraId="00000074">
            <w:pPr>
              <w:rPr>
                <w:color w:val="404040"/>
                <w:sz w:val="17"/>
                <w:szCs w:val="17"/>
              </w:rPr>
            </w:pPr>
            <w:r w:rsidDel="00000000" w:rsidR="00000000" w:rsidRPr="00000000">
              <w:rPr>
                <w:color w:val="404040"/>
                <w:sz w:val="17"/>
                <w:szCs w:val="17"/>
                <w:rtl w:val="0"/>
              </w:rPr>
              <w:t xml:space="preserve">Travel - Hotels (3)</w:t>
            </w:r>
          </w:p>
        </w:tc>
        <w:tc>
          <w:tcPr>
            <w:shd w:fill="auto" w:val="clear"/>
            <w:vAlign w:val="bottom"/>
          </w:tcPr>
          <w:p w:rsidR="00000000" w:rsidDel="00000000" w:rsidP="00000000" w:rsidRDefault="00000000" w:rsidRPr="00000000" w14:paraId="00000075">
            <w:pPr>
              <w:rPr>
                <w:color w:val="404040"/>
                <w:sz w:val="17"/>
                <w:szCs w:val="17"/>
              </w:rPr>
            </w:pPr>
            <w:r w:rsidDel="00000000" w:rsidR="00000000" w:rsidRPr="00000000">
              <w:rPr>
                <w:color w:val="404040"/>
                <w:sz w:val="17"/>
                <w:szCs w:val="17"/>
                <w:rtl w:val="0"/>
              </w:rPr>
              <w:t xml:space="preserve">Building Materials (1)</w:t>
            </w:r>
          </w:p>
        </w:tc>
      </w:tr>
      <w:tr>
        <w:trPr>
          <w:cantSplit w:val="0"/>
          <w:trHeight w:val="144" w:hRule="atLeast"/>
          <w:tblHeader w:val="0"/>
        </w:trPr>
        <w:tc>
          <w:tcPr>
            <w:shd w:fill="auto" w:val="clear"/>
            <w:vAlign w:val="bottom"/>
          </w:tcPr>
          <w:p w:rsidR="00000000" w:rsidDel="00000000" w:rsidP="00000000" w:rsidRDefault="00000000" w:rsidRPr="00000000" w14:paraId="00000076">
            <w:pPr>
              <w:rPr>
                <w:color w:val="404040"/>
                <w:sz w:val="17"/>
                <w:szCs w:val="17"/>
              </w:rPr>
            </w:pPr>
            <w:r w:rsidDel="00000000" w:rsidR="00000000" w:rsidRPr="00000000">
              <w:rPr>
                <w:color w:val="404040"/>
                <w:sz w:val="17"/>
                <w:szCs w:val="17"/>
                <w:rtl w:val="0"/>
              </w:rPr>
              <w:t xml:space="preserve">Insurance (6)</w:t>
            </w:r>
          </w:p>
        </w:tc>
        <w:tc>
          <w:tcPr>
            <w:shd w:fill="auto" w:val="clear"/>
            <w:vAlign w:val="bottom"/>
          </w:tcPr>
          <w:p w:rsidR="00000000" w:rsidDel="00000000" w:rsidP="00000000" w:rsidRDefault="00000000" w:rsidRPr="00000000" w14:paraId="00000077">
            <w:pPr>
              <w:rPr>
                <w:color w:val="404040"/>
                <w:sz w:val="17"/>
                <w:szCs w:val="17"/>
              </w:rPr>
            </w:pPr>
            <w:r w:rsidDel="00000000" w:rsidR="00000000" w:rsidRPr="00000000">
              <w:rPr>
                <w:color w:val="404040"/>
                <w:sz w:val="17"/>
                <w:szCs w:val="17"/>
                <w:rtl w:val="0"/>
              </w:rPr>
              <w:t xml:space="preserve">Advertising (3)</w:t>
            </w:r>
          </w:p>
        </w:tc>
        <w:tc>
          <w:tcPr>
            <w:shd w:fill="auto" w:val="clear"/>
            <w:vAlign w:val="bottom"/>
          </w:tcPr>
          <w:p w:rsidR="00000000" w:rsidDel="00000000" w:rsidP="00000000" w:rsidRDefault="00000000" w:rsidRPr="00000000" w14:paraId="00000078">
            <w:pPr>
              <w:rPr>
                <w:color w:val="404040"/>
                <w:sz w:val="17"/>
                <w:szCs w:val="17"/>
              </w:rPr>
            </w:pPr>
            <w:r w:rsidDel="00000000" w:rsidR="00000000" w:rsidRPr="00000000">
              <w:rPr>
                <w:color w:val="404040"/>
                <w:sz w:val="17"/>
                <w:szCs w:val="17"/>
                <w:rtl w:val="0"/>
              </w:rPr>
              <w:t xml:space="preserve">Capital Markets (1)</w:t>
            </w:r>
          </w:p>
        </w:tc>
      </w:tr>
      <w:tr>
        <w:trPr>
          <w:cantSplit w:val="0"/>
          <w:trHeight w:val="144" w:hRule="atLeast"/>
          <w:tblHeader w:val="0"/>
        </w:trPr>
        <w:tc>
          <w:tcPr>
            <w:shd w:fill="auto" w:val="clear"/>
            <w:vAlign w:val="bottom"/>
          </w:tcPr>
          <w:p w:rsidR="00000000" w:rsidDel="00000000" w:rsidP="00000000" w:rsidRDefault="00000000" w:rsidRPr="00000000" w14:paraId="00000079">
            <w:pPr>
              <w:rPr>
                <w:color w:val="404040"/>
                <w:sz w:val="17"/>
                <w:szCs w:val="17"/>
              </w:rPr>
            </w:pPr>
            <w:r w:rsidDel="00000000" w:rsidR="00000000" w:rsidRPr="00000000">
              <w:rPr>
                <w:color w:val="404040"/>
                <w:sz w:val="17"/>
                <w:szCs w:val="17"/>
                <w:rtl w:val="0"/>
              </w:rPr>
              <w:t xml:space="preserve">Banking (5)</w:t>
            </w:r>
          </w:p>
        </w:tc>
        <w:tc>
          <w:tcPr>
            <w:shd w:fill="auto" w:val="clear"/>
            <w:vAlign w:val="bottom"/>
          </w:tcPr>
          <w:p w:rsidR="00000000" w:rsidDel="00000000" w:rsidP="00000000" w:rsidRDefault="00000000" w:rsidRPr="00000000" w14:paraId="0000007A">
            <w:pPr>
              <w:rPr>
                <w:color w:val="404040"/>
                <w:sz w:val="17"/>
                <w:szCs w:val="17"/>
              </w:rPr>
            </w:pPr>
            <w:r w:rsidDel="00000000" w:rsidR="00000000" w:rsidRPr="00000000">
              <w:rPr>
                <w:color w:val="404040"/>
                <w:sz w:val="17"/>
                <w:szCs w:val="17"/>
                <w:rtl w:val="0"/>
              </w:rPr>
              <w:t xml:space="preserve">B2B Electronics (3)</w:t>
            </w:r>
          </w:p>
        </w:tc>
        <w:tc>
          <w:tcPr>
            <w:shd w:fill="auto" w:val="clear"/>
            <w:vAlign w:val="bottom"/>
          </w:tcPr>
          <w:p w:rsidR="00000000" w:rsidDel="00000000" w:rsidP="00000000" w:rsidRDefault="00000000" w:rsidRPr="00000000" w14:paraId="0000007B">
            <w:pPr>
              <w:rPr>
                <w:color w:val="404040"/>
                <w:sz w:val="17"/>
                <w:szCs w:val="17"/>
              </w:rPr>
            </w:pPr>
            <w:r w:rsidDel="00000000" w:rsidR="00000000" w:rsidRPr="00000000">
              <w:rPr>
                <w:color w:val="404040"/>
                <w:sz w:val="17"/>
                <w:szCs w:val="17"/>
                <w:rtl w:val="0"/>
              </w:rPr>
              <w:t xml:space="preserve">Chemicals (1)</w:t>
            </w:r>
          </w:p>
        </w:tc>
      </w:tr>
      <w:tr>
        <w:trPr>
          <w:cantSplit w:val="0"/>
          <w:trHeight w:val="144" w:hRule="atLeast"/>
          <w:tblHeader w:val="0"/>
        </w:trPr>
        <w:tc>
          <w:tcPr>
            <w:shd w:fill="auto" w:val="clear"/>
            <w:vAlign w:val="bottom"/>
          </w:tcPr>
          <w:p w:rsidR="00000000" w:rsidDel="00000000" w:rsidP="00000000" w:rsidRDefault="00000000" w:rsidRPr="00000000" w14:paraId="0000007C">
            <w:pPr>
              <w:rPr>
                <w:color w:val="404040"/>
                <w:sz w:val="17"/>
                <w:szCs w:val="17"/>
              </w:rPr>
            </w:pPr>
            <w:r w:rsidDel="00000000" w:rsidR="00000000" w:rsidRPr="00000000">
              <w:rPr>
                <w:color w:val="404040"/>
                <w:sz w:val="17"/>
                <w:szCs w:val="17"/>
                <w:rtl w:val="0"/>
              </w:rPr>
              <w:t xml:space="preserve">Jewelry (5)</w:t>
            </w:r>
          </w:p>
        </w:tc>
        <w:tc>
          <w:tcPr>
            <w:shd w:fill="auto" w:val="clear"/>
            <w:vAlign w:val="bottom"/>
          </w:tcPr>
          <w:p w:rsidR="00000000" w:rsidDel="00000000" w:rsidP="00000000" w:rsidRDefault="00000000" w:rsidRPr="00000000" w14:paraId="0000007D">
            <w:pPr>
              <w:rPr>
                <w:color w:val="404040"/>
                <w:sz w:val="17"/>
                <w:szCs w:val="17"/>
              </w:rPr>
            </w:pPr>
            <w:r w:rsidDel="00000000" w:rsidR="00000000" w:rsidRPr="00000000">
              <w:rPr>
                <w:color w:val="404040"/>
                <w:sz w:val="17"/>
                <w:szCs w:val="17"/>
                <w:rtl w:val="0"/>
              </w:rPr>
              <w:t xml:space="preserve">Construction/Engineering (2)</w:t>
            </w:r>
          </w:p>
        </w:tc>
        <w:tc>
          <w:tcPr>
            <w:shd w:fill="auto" w:val="clear"/>
            <w:vAlign w:val="bottom"/>
          </w:tcPr>
          <w:p w:rsidR="00000000" w:rsidDel="00000000" w:rsidP="00000000" w:rsidRDefault="00000000" w:rsidRPr="00000000" w14:paraId="0000007E">
            <w:pPr>
              <w:rPr>
                <w:color w:val="404040"/>
                <w:sz w:val="17"/>
                <w:szCs w:val="17"/>
              </w:rPr>
            </w:pPr>
            <w:r w:rsidDel="00000000" w:rsidR="00000000" w:rsidRPr="00000000">
              <w:rPr>
                <w:color w:val="404040"/>
                <w:sz w:val="17"/>
                <w:szCs w:val="17"/>
                <w:rtl w:val="0"/>
              </w:rPr>
              <w:t xml:space="preserve">Furniture (1)</w:t>
            </w:r>
          </w:p>
        </w:tc>
      </w:tr>
      <w:tr>
        <w:trPr>
          <w:cantSplit w:val="0"/>
          <w:trHeight w:val="144" w:hRule="atLeast"/>
          <w:tblHeader w:val="0"/>
        </w:trPr>
        <w:tc>
          <w:tcPr>
            <w:shd w:fill="auto" w:val="clear"/>
            <w:vAlign w:val="bottom"/>
          </w:tcPr>
          <w:p w:rsidR="00000000" w:rsidDel="00000000" w:rsidP="00000000" w:rsidRDefault="00000000" w:rsidRPr="00000000" w14:paraId="0000007F">
            <w:pPr>
              <w:rPr>
                <w:color w:val="404040"/>
                <w:sz w:val="17"/>
                <w:szCs w:val="17"/>
              </w:rPr>
            </w:pPr>
            <w:r w:rsidDel="00000000" w:rsidR="00000000" w:rsidRPr="00000000">
              <w:rPr>
                <w:color w:val="404040"/>
                <w:sz w:val="17"/>
                <w:szCs w:val="17"/>
                <w:rtl w:val="0"/>
              </w:rPr>
              <w:t xml:space="preserve">Leisure (5)</w:t>
            </w:r>
          </w:p>
        </w:tc>
        <w:tc>
          <w:tcPr>
            <w:shd w:fill="auto" w:val="clear"/>
            <w:vAlign w:val="bottom"/>
          </w:tcPr>
          <w:p w:rsidR="00000000" w:rsidDel="00000000" w:rsidP="00000000" w:rsidRDefault="00000000" w:rsidRPr="00000000" w14:paraId="00000080">
            <w:pPr>
              <w:rPr>
                <w:color w:val="404040"/>
                <w:sz w:val="17"/>
                <w:szCs w:val="17"/>
              </w:rPr>
            </w:pPr>
            <w:r w:rsidDel="00000000" w:rsidR="00000000" w:rsidRPr="00000000">
              <w:rPr>
                <w:color w:val="404040"/>
                <w:sz w:val="17"/>
                <w:szCs w:val="17"/>
                <w:rtl w:val="0"/>
              </w:rPr>
              <w:t xml:space="preserve">Dietary Supplements (2)</w:t>
            </w:r>
          </w:p>
        </w:tc>
        <w:tc>
          <w:tcPr>
            <w:shd w:fill="auto" w:val="clear"/>
            <w:vAlign w:val="bottom"/>
          </w:tcPr>
          <w:p w:rsidR="00000000" w:rsidDel="00000000" w:rsidP="00000000" w:rsidRDefault="00000000" w:rsidRPr="00000000" w14:paraId="00000081">
            <w:pPr>
              <w:rPr>
                <w:color w:val="404040"/>
                <w:sz w:val="17"/>
                <w:szCs w:val="17"/>
              </w:rPr>
            </w:pPr>
            <w:r w:rsidDel="00000000" w:rsidR="00000000" w:rsidRPr="00000000">
              <w:rPr>
                <w:color w:val="404040"/>
                <w:sz w:val="17"/>
                <w:szCs w:val="17"/>
                <w:rtl w:val="0"/>
              </w:rPr>
              <w:t xml:space="preserve">Health Care - Health Plan (1)</w:t>
            </w:r>
          </w:p>
        </w:tc>
      </w:tr>
      <w:tr>
        <w:trPr>
          <w:cantSplit w:val="0"/>
          <w:trHeight w:val="144" w:hRule="atLeast"/>
          <w:tblHeader w:val="0"/>
        </w:trPr>
        <w:tc>
          <w:tcPr>
            <w:shd w:fill="auto" w:val="clear"/>
            <w:vAlign w:val="bottom"/>
          </w:tcPr>
          <w:p w:rsidR="00000000" w:rsidDel="00000000" w:rsidP="00000000" w:rsidRDefault="00000000" w:rsidRPr="00000000" w14:paraId="00000082">
            <w:pPr>
              <w:rPr>
                <w:color w:val="404040"/>
                <w:sz w:val="17"/>
                <w:szCs w:val="17"/>
              </w:rPr>
            </w:pPr>
            <w:r w:rsidDel="00000000" w:rsidR="00000000" w:rsidRPr="00000000">
              <w:rPr>
                <w:color w:val="404040"/>
                <w:sz w:val="17"/>
                <w:szCs w:val="17"/>
                <w:rtl w:val="0"/>
              </w:rPr>
              <w:t xml:space="preserve">Education (4)</w:t>
            </w:r>
          </w:p>
        </w:tc>
        <w:tc>
          <w:tcPr>
            <w:shd w:fill="auto" w:val="clear"/>
            <w:vAlign w:val="bottom"/>
          </w:tcPr>
          <w:p w:rsidR="00000000" w:rsidDel="00000000" w:rsidP="00000000" w:rsidRDefault="00000000" w:rsidRPr="00000000" w14:paraId="00000083">
            <w:pPr>
              <w:rPr>
                <w:color w:val="404040"/>
                <w:sz w:val="17"/>
                <w:szCs w:val="17"/>
              </w:rPr>
            </w:pPr>
            <w:r w:rsidDel="00000000" w:rsidR="00000000" w:rsidRPr="00000000">
              <w:rPr>
                <w:color w:val="404040"/>
                <w:sz w:val="17"/>
                <w:szCs w:val="17"/>
                <w:rtl w:val="0"/>
              </w:rPr>
              <w:t xml:space="preserve">Energy / Petroleum (2)</w:t>
            </w:r>
          </w:p>
        </w:tc>
        <w:tc>
          <w:tcPr>
            <w:shd w:fill="auto" w:val="clear"/>
            <w:vAlign w:val="bottom"/>
          </w:tcPr>
          <w:p w:rsidR="00000000" w:rsidDel="00000000" w:rsidP="00000000" w:rsidRDefault="00000000" w:rsidRPr="00000000" w14:paraId="00000084">
            <w:pPr>
              <w:rPr>
                <w:color w:val="404040"/>
                <w:sz w:val="17"/>
                <w:szCs w:val="17"/>
              </w:rPr>
            </w:pPr>
            <w:r w:rsidDel="00000000" w:rsidR="00000000" w:rsidRPr="00000000">
              <w:rPr>
                <w:color w:val="404040"/>
                <w:sz w:val="17"/>
                <w:szCs w:val="17"/>
                <w:rtl w:val="0"/>
              </w:rPr>
              <w:t xml:space="preserve">Health Care - Other (1)</w:t>
            </w:r>
          </w:p>
        </w:tc>
      </w:tr>
      <w:tr>
        <w:trPr>
          <w:cantSplit w:val="0"/>
          <w:trHeight w:val="144" w:hRule="atLeast"/>
          <w:tblHeader w:val="0"/>
        </w:trPr>
        <w:tc>
          <w:tcPr>
            <w:shd w:fill="auto" w:val="clear"/>
            <w:vAlign w:val="bottom"/>
          </w:tcPr>
          <w:p w:rsidR="00000000" w:rsidDel="00000000" w:rsidP="00000000" w:rsidRDefault="00000000" w:rsidRPr="00000000" w14:paraId="00000085">
            <w:pPr>
              <w:rPr>
                <w:color w:val="404040"/>
                <w:sz w:val="17"/>
                <w:szCs w:val="17"/>
              </w:rPr>
            </w:pPr>
            <w:r w:rsidDel="00000000" w:rsidR="00000000" w:rsidRPr="00000000">
              <w:rPr>
                <w:color w:val="404040"/>
                <w:sz w:val="17"/>
                <w:szCs w:val="17"/>
                <w:rtl w:val="0"/>
              </w:rPr>
              <w:t xml:space="preserve">Media (4)</w:t>
            </w:r>
          </w:p>
        </w:tc>
        <w:tc>
          <w:tcPr>
            <w:shd w:fill="auto" w:val="clear"/>
            <w:vAlign w:val="bottom"/>
          </w:tcPr>
          <w:p w:rsidR="00000000" w:rsidDel="00000000" w:rsidP="00000000" w:rsidRDefault="00000000" w:rsidRPr="00000000" w14:paraId="00000086">
            <w:pPr>
              <w:rPr>
                <w:color w:val="404040"/>
                <w:sz w:val="17"/>
                <w:szCs w:val="17"/>
              </w:rPr>
            </w:pPr>
            <w:r w:rsidDel="00000000" w:rsidR="00000000" w:rsidRPr="00000000">
              <w:rPr>
                <w:color w:val="404040"/>
                <w:sz w:val="17"/>
                <w:szCs w:val="17"/>
                <w:rtl w:val="0"/>
              </w:rPr>
              <w:t xml:space="preserve">Flowers/Gifts (2)</w:t>
            </w:r>
          </w:p>
        </w:tc>
        <w:tc>
          <w:tcPr>
            <w:shd w:fill="auto" w:val="clear"/>
            <w:vAlign w:val="bottom"/>
          </w:tcPr>
          <w:p w:rsidR="00000000" w:rsidDel="00000000" w:rsidP="00000000" w:rsidRDefault="00000000" w:rsidRPr="00000000" w14:paraId="00000087">
            <w:pPr>
              <w:rPr>
                <w:color w:val="404040"/>
                <w:sz w:val="17"/>
                <w:szCs w:val="17"/>
              </w:rPr>
            </w:pPr>
            <w:r w:rsidDel="00000000" w:rsidR="00000000" w:rsidRPr="00000000">
              <w:rPr>
                <w:color w:val="404040"/>
                <w:sz w:val="17"/>
                <w:szCs w:val="17"/>
                <w:rtl w:val="0"/>
              </w:rPr>
              <w:t xml:space="preserve">Lending Entity (1)</w:t>
            </w:r>
          </w:p>
        </w:tc>
      </w:tr>
      <w:tr>
        <w:trPr>
          <w:cantSplit w:val="0"/>
          <w:trHeight w:val="144" w:hRule="atLeast"/>
          <w:tblHeader w:val="0"/>
        </w:trPr>
        <w:tc>
          <w:tcPr>
            <w:shd w:fill="auto" w:val="clear"/>
            <w:vAlign w:val="bottom"/>
          </w:tcPr>
          <w:p w:rsidR="00000000" w:rsidDel="00000000" w:rsidP="00000000" w:rsidRDefault="00000000" w:rsidRPr="00000000" w14:paraId="00000088">
            <w:pPr>
              <w:rPr>
                <w:color w:val="404040"/>
                <w:sz w:val="17"/>
                <w:szCs w:val="17"/>
              </w:rPr>
            </w:pPr>
            <w:r w:rsidDel="00000000" w:rsidR="00000000" w:rsidRPr="00000000">
              <w:rPr>
                <w:color w:val="404040"/>
                <w:sz w:val="17"/>
                <w:szCs w:val="17"/>
                <w:rtl w:val="0"/>
              </w:rPr>
              <w:t xml:space="preserve">Professional Services (4)</w:t>
            </w:r>
          </w:p>
        </w:tc>
        <w:tc>
          <w:tcPr>
            <w:shd w:fill="auto" w:val="clear"/>
            <w:vAlign w:val="bottom"/>
          </w:tcPr>
          <w:p w:rsidR="00000000" w:rsidDel="00000000" w:rsidP="00000000" w:rsidRDefault="00000000" w:rsidRPr="00000000" w14:paraId="00000089">
            <w:pPr>
              <w:rPr>
                <w:color w:val="404040"/>
                <w:sz w:val="17"/>
                <w:szCs w:val="17"/>
              </w:rPr>
            </w:pPr>
            <w:r w:rsidDel="00000000" w:rsidR="00000000" w:rsidRPr="00000000">
              <w:rPr>
                <w:color w:val="404040"/>
                <w:sz w:val="17"/>
                <w:szCs w:val="17"/>
                <w:rtl w:val="0"/>
              </w:rPr>
              <w:t xml:space="preserve">Health Care - Hospital (2)</w:t>
            </w:r>
          </w:p>
        </w:tc>
        <w:tc>
          <w:tcPr>
            <w:shd w:fill="auto" w:val="clear"/>
            <w:vAlign w:val="bottom"/>
          </w:tcPr>
          <w:p w:rsidR="00000000" w:rsidDel="00000000" w:rsidP="00000000" w:rsidRDefault="00000000" w:rsidRPr="00000000" w14:paraId="0000008A">
            <w:pPr>
              <w:rPr>
                <w:color w:val="404040"/>
                <w:sz w:val="17"/>
                <w:szCs w:val="17"/>
              </w:rPr>
            </w:pPr>
            <w:r w:rsidDel="00000000" w:rsidR="00000000" w:rsidRPr="00000000">
              <w:rPr>
                <w:color w:val="404040"/>
                <w:sz w:val="17"/>
                <w:szCs w:val="17"/>
                <w:rtl w:val="0"/>
              </w:rPr>
              <w:t xml:space="preserve">Luxury Apparel (1)</w:t>
            </w:r>
          </w:p>
        </w:tc>
      </w:tr>
      <w:tr>
        <w:trPr>
          <w:cantSplit w:val="0"/>
          <w:trHeight w:val="144" w:hRule="atLeast"/>
          <w:tblHeader w:val="0"/>
        </w:trPr>
        <w:tc>
          <w:tcPr>
            <w:shd w:fill="auto" w:val="clear"/>
            <w:vAlign w:val="bottom"/>
          </w:tcPr>
          <w:p w:rsidR="00000000" w:rsidDel="00000000" w:rsidP="00000000" w:rsidRDefault="00000000" w:rsidRPr="00000000" w14:paraId="0000008B">
            <w:pPr>
              <w:rPr>
                <w:color w:val="404040"/>
                <w:sz w:val="17"/>
                <w:szCs w:val="17"/>
              </w:rPr>
            </w:pPr>
            <w:r w:rsidDel="00000000" w:rsidR="00000000" w:rsidRPr="00000000">
              <w:rPr>
                <w:color w:val="404040"/>
                <w:sz w:val="17"/>
                <w:szCs w:val="17"/>
                <w:rtl w:val="0"/>
              </w:rPr>
              <w:t xml:space="preserve">Speciality / Crafts / Art (4)</w:t>
            </w:r>
          </w:p>
        </w:tc>
        <w:tc>
          <w:tcPr>
            <w:shd w:fill="auto" w:val="clear"/>
            <w:vAlign w:val="bottom"/>
          </w:tcPr>
          <w:p w:rsidR="00000000" w:rsidDel="00000000" w:rsidP="00000000" w:rsidRDefault="00000000" w:rsidRPr="00000000" w14:paraId="0000008C">
            <w:pPr>
              <w:rPr>
                <w:color w:val="404040"/>
                <w:sz w:val="17"/>
                <w:szCs w:val="17"/>
              </w:rPr>
            </w:pPr>
            <w:r w:rsidDel="00000000" w:rsidR="00000000" w:rsidRPr="00000000">
              <w:rPr>
                <w:color w:val="404040"/>
                <w:sz w:val="17"/>
                <w:szCs w:val="17"/>
                <w:rtl w:val="0"/>
              </w:rPr>
              <w:t xml:space="preserve">Health Care - Medical Devices (2)</w:t>
            </w:r>
          </w:p>
        </w:tc>
        <w:tc>
          <w:tcPr>
            <w:shd w:fill="auto" w:val="clear"/>
            <w:vAlign w:val="bottom"/>
          </w:tcPr>
          <w:p w:rsidR="00000000" w:rsidDel="00000000" w:rsidP="00000000" w:rsidRDefault="00000000" w:rsidRPr="00000000" w14:paraId="0000008D">
            <w:pPr>
              <w:rPr>
                <w:color w:val="404040"/>
                <w:sz w:val="17"/>
                <w:szCs w:val="17"/>
              </w:rPr>
            </w:pPr>
            <w:r w:rsidDel="00000000" w:rsidR="00000000" w:rsidRPr="00000000">
              <w:rPr>
                <w:color w:val="404040"/>
                <w:sz w:val="17"/>
                <w:szCs w:val="17"/>
                <w:rtl w:val="0"/>
              </w:rPr>
              <w:t xml:space="preserve">Transport / Shipping / Storage (1)</w:t>
            </w:r>
          </w:p>
        </w:tc>
      </w:tr>
    </w:tbl>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1"/>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5.  SALES ENABLEMENT</w:t>
      </w:r>
    </w:p>
    <w:p w:rsidR="00000000" w:rsidDel="00000000" w:rsidP="00000000" w:rsidRDefault="00000000" w:rsidRPr="00000000" w14:paraId="0000009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Following discovery sessions with sales, the following changes will be considered.</w:t>
      </w:r>
    </w:p>
    <w:p w:rsidR="00000000" w:rsidDel="00000000" w:rsidP="00000000" w:rsidRDefault="00000000" w:rsidRPr="00000000" w14:paraId="0000009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5">
      <w:pPr>
        <w:keepNext w:val="1"/>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Create more client-friendly/external versions of client stories, including one-pager PDFs and single PPT slides</w:t>
      </w:r>
    </w:p>
    <w:p w:rsidR="00000000" w:rsidDel="00000000" w:rsidP="00000000" w:rsidRDefault="00000000" w:rsidRPr="00000000" w14:paraId="00000096">
      <w:pPr>
        <w:keepNext w:val="1"/>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Adjust the internal SLA to speed up the process of fulfilling reference requests (contingent on SDs submitting requests earlier in the process, as soon as they anticipate the upcoming need)</w:t>
      </w:r>
    </w:p>
    <w:p w:rsidR="00000000" w:rsidDel="00000000" w:rsidP="00000000" w:rsidRDefault="00000000" w:rsidRPr="00000000" w14:paraId="00000097">
      <w:pPr>
        <w:keepNext w:val="1"/>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Create internal reports sent to sales leaders showing # of requests, % fulfilled, # of nominations, newely available references and material and references recently removed from the program</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1"/>
        <w:spacing w:after="0" w:before="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9B">
      <w:pPr>
        <w:pStyle w:val="Heading1"/>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6.  LOGISTICS</w:t>
      </w:r>
    </w:p>
    <w:p w:rsidR="00000000" w:rsidDel="00000000" w:rsidP="00000000" w:rsidRDefault="00000000" w:rsidRPr="00000000" w14:paraId="0000009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Processes</w:t>
      </w:r>
      <w:r w:rsidDel="00000000" w:rsidR="00000000" w:rsidRPr="00000000">
        <w:rPr>
          <w:rtl w:val="0"/>
        </w:rPr>
        <w:t xml:space="preserve"> will be adjusted to allow for more speed, require less internal adoption of tools and allow for more direct communication between prospect and reference rather than Bazaarvoice owning all coordination and call kick-offs (though accountability must be considered to ensure the prospects are actually following through with reference meetings). </w:t>
      </w:r>
    </w:p>
    <w:p w:rsidR="00000000" w:rsidDel="00000000" w:rsidP="00000000" w:rsidRDefault="00000000" w:rsidRPr="00000000" w14:paraId="0000009E">
      <w:pPr>
        <w:rPr/>
      </w:pPr>
      <w:bookmarkStart w:colFirst="0" w:colLast="0" w:name="_heading=h.tyjcwt" w:id="5"/>
      <w:bookmarkEnd w:id="5"/>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The program might include a client enrollment process (standardized email, landing page and self-selection of commitment levels. A rewards program for new members will be implemented, likely a “Thank you for joining the advocacy program” gift, might also include an annual reward or reward when a reference actually fulfills a reference request.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The following abilities are key considerations in selecting a tool/platform for management: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numPr>
          <w:ilvl w:val="0"/>
          <w:numId w:val="1"/>
        </w:numPr>
        <w:ind w:left="720" w:hanging="360"/>
        <w:rPr/>
      </w:pPr>
      <w:r w:rsidDel="00000000" w:rsidR="00000000" w:rsidRPr="00000000">
        <w:rPr>
          <w:rtl w:val="0"/>
        </w:rPr>
        <w:t xml:space="preserve">Integration with SFDC</w:t>
      </w:r>
    </w:p>
    <w:p w:rsidR="00000000" w:rsidDel="00000000" w:rsidP="00000000" w:rsidRDefault="00000000" w:rsidRPr="00000000" w14:paraId="000000A4">
      <w:pPr>
        <w:numPr>
          <w:ilvl w:val="0"/>
          <w:numId w:val="1"/>
        </w:numPr>
        <w:ind w:left="720" w:hanging="360"/>
        <w:rPr/>
      </w:pPr>
      <w:r w:rsidDel="00000000" w:rsidR="00000000" w:rsidRPr="00000000">
        <w:rPr>
          <w:rtl w:val="0"/>
        </w:rPr>
        <w:t xml:space="preserve">Request and nominate reference</w:t>
      </w:r>
    </w:p>
    <w:p w:rsidR="00000000" w:rsidDel="00000000" w:rsidP="00000000" w:rsidRDefault="00000000" w:rsidRPr="00000000" w14:paraId="000000A5">
      <w:pPr>
        <w:numPr>
          <w:ilvl w:val="0"/>
          <w:numId w:val="1"/>
        </w:numPr>
        <w:ind w:left="720" w:hanging="360"/>
        <w:rPr/>
      </w:pPr>
      <w:r w:rsidDel="00000000" w:rsidR="00000000" w:rsidRPr="00000000">
        <w:rPr>
          <w:rtl w:val="0"/>
        </w:rPr>
        <w:t xml:space="preserve">Track levels of commitment and contact usage</w:t>
      </w:r>
    </w:p>
    <w:p w:rsidR="00000000" w:rsidDel="00000000" w:rsidP="00000000" w:rsidRDefault="00000000" w:rsidRPr="00000000" w14:paraId="000000A6">
      <w:pPr>
        <w:numPr>
          <w:ilvl w:val="0"/>
          <w:numId w:val="1"/>
        </w:numPr>
        <w:ind w:left="720" w:hanging="360"/>
        <w:rPr/>
      </w:pPr>
      <w:r w:rsidDel="00000000" w:rsidR="00000000" w:rsidRPr="00000000">
        <w:rPr>
          <w:rtl w:val="0"/>
        </w:rPr>
        <w:t xml:space="preserve">Track Closed Wins with reference attribution</w:t>
      </w:r>
    </w:p>
    <w:p w:rsidR="00000000" w:rsidDel="00000000" w:rsidP="00000000" w:rsidRDefault="00000000" w:rsidRPr="00000000" w14:paraId="000000A7">
      <w:pPr>
        <w:numPr>
          <w:ilvl w:val="0"/>
          <w:numId w:val="1"/>
        </w:numPr>
        <w:ind w:left="720" w:hanging="360"/>
        <w:rPr/>
      </w:pPr>
      <w:r w:rsidDel="00000000" w:rsidR="00000000" w:rsidRPr="00000000">
        <w:rPr>
          <w:rtl w:val="0"/>
        </w:rPr>
        <w:t xml:space="preserve">Easy searchability (tags, categories, products, industries, etc.)</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1"/>
        <w:rPr>
          <w:sz w:val="21"/>
          <w:szCs w:val="21"/>
        </w:rPr>
      </w:pPr>
      <w:r w:rsidDel="00000000" w:rsidR="00000000" w:rsidRPr="00000000">
        <w:rPr>
          <w:rtl w:val="0"/>
        </w:rPr>
      </w:r>
    </w:p>
    <w:p w:rsidR="00000000" w:rsidDel="00000000" w:rsidP="00000000" w:rsidRDefault="00000000" w:rsidRPr="00000000" w14:paraId="000000AA">
      <w:pPr>
        <w:pStyle w:val="Heading1"/>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7.  NEAR-TERM NEXT STEPS</w:t>
      </w:r>
    </w:p>
    <w:p w:rsidR="00000000" w:rsidDel="00000000" w:rsidP="00000000" w:rsidRDefault="00000000" w:rsidRPr="00000000" w14:paraId="000000A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Create internal tracking documents</w:t>
      </w:r>
    </w:p>
    <w:p w:rsidR="00000000" w:rsidDel="00000000" w:rsidP="00000000" w:rsidRDefault="00000000" w:rsidRPr="00000000" w14:paraId="000000A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Reduce licensing agreement with Reference View, including number of users, Nomination ability and most asset management</w:t>
      </w:r>
    </w:p>
    <w:p w:rsidR="00000000" w:rsidDel="00000000" w:rsidP="00000000" w:rsidRDefault="00000000" w:rsidRPr="00000000" w14:paraId="000000A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Remove former clients from Reference View</w:t>
      </w:r>
    </w:p>
    <w:p w:rsidR="00000000" w:rsidDel="00000000" w:rsidP="00000000" w:rsidRDefault="00000000" w:rsidRPr="00000000" w14:paraId="000000A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Implement incentives for CS</w:t>
      </w:r>
    </w:p>
    <w:p w:rsidR="00000000" w:rsidDel="00000000" w:rsidP="00000000" w:rsidRDefault="00000000" w:rsidRPr="00000000" w14:paraId="000000B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Run reports for clients with contractual agreements to serve as reference and integrate with Gainsight/CSDs </w:t>
      </w:r>
    </w:p>
    <w:p w:rsidR="00000000" w:rsidDel="00000000" w:rsidP="00000000" w:rsidRDefault="00000000" w:rsidRPr="00000000" w14:paraId="000000B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Create client-friendly slides and one-pager for high-impact client stories (request approvals from CSDs/clients when needed)</w:t>
      </w:r>
    </w:p>
    <w:p w:rsidR="00000000" w:rsidDel="00000000" w:rsidP="00000000" w:rsidRDefault="00000000" w:rsidRPr="00000000" w14:paraId="000000B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Identify clients to participate in Inspire session</w:t>
      </w:r>
    </w:p>
    <w:p w:rsidR="00000000" w:rsidDel="00000000" w:rsidP="00000000" w:rsidRDefault="00000000" w:rsidRPr="00000000" w14:paraId="000000B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Continue progress on reference requests, invitations and case studies</w:t>
      </w:r>
    </w:p>
    <w:p w:rsidR="00000000" w:rsidDel="00000000" w:rsidP="00000000" w:rsidRDefault="00000000" w:rsidRPr="00000000" w14:paraId="000000B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Create list of prioritized products, industries and topics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sectPr>
      <w:headerReference r:id="rId10" w:type="default"/>
      <w:footerReference r:id="rId11" w:type="default"/>
      <w:footerReference r:id="rId12" w:type="first"/>
      <w:pgSz w:h="15840" w:w="12240" w:orient="portrait"/>
      <w:pgMar w:bottom="720" w:top="576" w:left="1584" w:right="1296" w:header="634" w:footer="432"/>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8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aeaaaa"/>
        <w:sz w:val="20"/>
        <w:szCs w:val="20"/>
        <w:u w:val="none"/>
        <w:shd w:fill="auto" w:val="clear"/>
        <w:vertAlign w:val="baseline"/>
        <w:rtl w:val="0"/>
      </w:rPr>
      <w:t xml:space="preserve">Reference Program Manifesto         </w:t>
      <w:tab/>
      <w:tab/>
      <w:t xml:space="preserve">Bazaarvoice – Proprietary and Confidential</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aeaaaa"/>
        <w:sz w:val="14"/>
        <w:szCs w:val="14"/>
        <w:u w:val="none"/>
        <w:shd w:fill="auto" w:val="clear"/>
        <w:vertAlign w:val="baseline"/>
      </w:rPr>
    </w:pPr>
    <w:r w:rsidDel="00000000" w:rsidR="00000000" w:rsidRPr="00000000">
      <w:rPr>
        <w:rFonts w:ascii="Calibri" w:cs="Calibri" w:eastAsia="Calibri" w:hAnsi="Calibri"/>
        <w:b w:val="0"/>
        <w:i w:val="0"/>
        <w:smallCaps w:val="0"/>
        <w:strike w:val="0"/>
        <w:color w:val="aeaaaa"/>
        <w:sz w:val="14"/>
        <w:szCs w:val="14"/>
        <w:u w:val="none"/>
        <w:shd w:fill="auto" w:val="clear"/>
        <w:vertAlign w:val="baseline"/>
        <w:rtl w:val="0"/>
      </w:rPr>
      <w:t xml:space="preserve">Reference Program Manifesto                       </w:t>
      <w:tab/>
      <w:tab/>
      <w:t xml:space="preserve">     Bazaarvoice – Proprietary and Confidential</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0"/>
      </w:tabs>
      <w:spacing w:after="0" w:before="0" w:line="300" w:lineRule="auto"/>
      <w:ind w:left="0" w:right="43"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ab/>
      <w:tab/>
      <w:tab/>
      <w:tab/>
      <w:tab/>
      <w:tab/>
      <w:tab/>
      <w:tab/>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decimal"/>
      <w:lvlText w:val="%1."/>
      <w:lvlJc w:val="left"/>
      <w:pPr>
        <w:ind w:left="0" w:hanging="360"/>
      </w:pPr>
      <w:rPr/>
    </w:lvl>
    <w:lvl w:ilvl="1">
      <w:start w:val="1"/>
      <w:numFmt w:val="lowerLetter"/>
      <w:lvlText w:val="%2."/>
      <w:lvlJc w:val="left"/>
      <w:pPr>
        <w:ind w:left="720" w:hanging="360"/>
      </w:pPr>
      <w:rPr/>
    </w:lvl>
    <w:lvl w:ilvl="2">
      <w:start w:val="1"/>
      <w:numFmt w:val="lowerRoman"/>
      <w:lvlText w:val="%3."/>
      <w:lvlJc w:val="right"/>
      <w:pPr>
        <w:ind w:left="1440" w:hanging="180"/>
      </w:pPr>
      <w:rPr/>
    </w:lvl>
    <w:lvl w:ilvl="3">
      <w:start w:val="1"/>
      <w:numFmt w:val="decimal"/>
      <w:lvlText w:val="%4."/>
      <w:lvlJc w:val="left"/>
      <w:pPr>
        <w:ind w:left="2160" w:hanging="360"/>
      </w:pPr>
      <w:rPr/>
    </w:lvl>
    <w:lvl w:ilvl="4">
      <w:start w:val="1"/>
      <w:numFmt w:val="lowerLetter"/>
      <w:lvlText w:val="%5."/>
      <w:lvlJc w:val="left"/>
      <w:pPr>
        <w:ind w:left="2880" w:hanging="360"/>
      </w:pPr>
      <w:rPr/>
    </w:lvl>
    <w:lvl w:ilvl="5">
      <w:start w:val="1"/>
      <w:numFmt w:val="lowerRoman"/>
      <w:lvlText w:val="%6."/>
      <w:lvlJc w:val="right"/>
      <w:pPr>
        <w:ind w:left="3600" w:hanging="180"/>
      </w:pPr>
      <w:rPr/>
    </w:lvl>
    <w:lvl w:ilvl="6">
      <w:start w:val="1"/>
      <w:numFmt w:val="decimal"/>
      <w:lvlText w:val="%7."/>
      <w:lvlJc w:val="left"/>
      <w:pPr>
        <w:ind w:left="4320" w:hanging="360"/>
      </w:pPr>
      <w:rPr/>
    </w:lvl>
    <w:lvl w:ilvl="7">
      <w:start w:val="1"/>
      <w:numFmt w:val="lowerLetter"/>
      <w:lvlText w:val="%8."/>
      <w:lvlJc w:val="left"/>
      <w:pPr>
        <w:ind w:left="5040" w:hanging="360"/>
      </w:pPr>
      <w:rPr/>
    </w:lvl>
    <w:lvl w:ilvl="8">
      <w:start w:val="1"/>
      <w:numFmt w:val="lowerRoman"/>
      <w:lvlText w:val="%9."/>
      <w:lvlJc w:val="right"/>
      <w:pPr>
        <w:ind w:left="576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720" w:hanging="360"/>
      </w:pPr>
      <w:rPr>
        <w:rFonts w:ascii="Noto Sans Symbols" w:cs="Noto Sans Symbols" w:eastAsia="Noto Sans Symbols" w:hAnsi="Noto Sans Symbols"/>
      </w:rPr>
    </w:lvl>
    <w:lvl w:ilvl="3">
      <w:start w:val="1"/>
      <w:numFmt w:val="bullet"/>
      <w:lvlText w:val="●"/>
      <w:lvlJc w:val="left"/>
      <w:pPr>
        <w:ind w:left="0" w:hanging="360"/>
      </w:pPr>
      <w:rPr>
        <w:rFonts w:ascii="Noto Sans Symbols" w:cs="Noto Sans Symbols" w:eastAsia="Noto Sans Symbols" w:hAnsi="Noto Sans Symbols"/>
      </w:rPr>
    </w:lvl>
    <w:lvl w:ilvl="4">
      <w:start w:val="1"/>
      <w:numFmt w:val="bullet"/>
      <w:lvlText w:val="o"/>
      <w:lvlJc w:val="left"/>
      <w:pPr>
        <w:ind w:left="720" w:hanging="360"/>
      </w:pPr>
      <w:rPr>
        <w:rFonts w:ascii="Courier New" w:cs="Courier New" w:eastAsia="Courier New" w:hAnsi="Courier New"/>
      </w:rPr>
    </w:lvl>
    <w:lvl w:ilvl="5">
      <w:start w:val="1"/>
      <w:numFmt w:val="bullet"/>
      <w:lvlText w:val="▪"/>
      <w:lvlJc w:val="left"/>
      <w:pPr>
        <w:ind w:left="1440" w:hanging="360"/>
      </w:pPr>
      <w:rPr>
        <w:rFonts w:ascii="Noto Sans Symbols" w:cs="Noto Sans Symbols" w:eastAsia="Noto Sans Symbols" w:hAnsi="Noto Sans Symbols"/>
      </w:rPr>
    </w:lvl>
    <w:lvl w:ilvl="6">
      <w:start w:val="1"/>
      <w:numFmt w:val="bullet"/>
      <w:lvlText w:val="●"/>
      <w:lvlJc w:val="left"/>
      <w:pPr>
        <w:ind w:left="2160" w:hanging="360"/>
      </w:pPr>
      <w:rPr>
        <w:rFonts w:ascii="Noto Sans Symbols" w:cs="Noto Sans Symbols" w:eastAsia="Noto Sans Symbols" w:hAnsi="Noto Sans Symbols"/>
      </w:rPr>
    </w:lvl>
    <w:lvl w:ilvl="7">
      <w:start w:val="1"/>
      <w:numFmt w:val="bullet"/>
      <w:lvlText w:val="o"/>
      <w:lvlJc w:val="left"/>
      <w:pPr>
        <w:ind w:left="2880" w:hanging="360"/>
      </w:pPr>
      <w:rPr>
        <w:rFonts w:ascii="Courier New" w:cs="Courier New" w:eastAsia="Courier New" w:hAnsi="Courier New"/>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lowerLetter"/>
      <w:lvlText w:val="%2."/>
      <w:lvlJc w:val="left"/>
      <w:pPr>
        <w:ind w:left="720" w:hanging="360"/>
      </w:pPr>
      <w:rPr/>
    </w:lvl>
    <w:lvl w:ilvl="2">
      <w:start w:val="1"/>
      <w:numFmt w:val="lowerRoman"/>
      <w:lvlText w:val="%3."/>
      <w:lvlJc w:val="right"/>
      <w:pPr>
        <w:ind w:left="1440" w:hanging="180"/>
      </w:pPr>
      <w:rPr/>
    </w:lvl>
    <w:lvl w:ilvl="3">
      <w:start w:val="1"/>
      <w:numFmt w:val="decimal"/>
      <w:lvlText w:val="%4."/>
      <w:lvlJc w:val="left"/>
      <w:pPr>
        <w:ind w:left="2160" w:hanging="360"/>
      </w:pPr>
      <w:rPr/>
    </w:lvl>
    <w:lvl w:ilvl="4">
      <w:start w:val="1"/>
      <w:numFmt w:val="lowerLetter"/>
      <w:lvlText w:val="%5."/>
      <w:lvlJc w:val="left"/>
      <w:pPr>
        <w:ind w:left="2880" w:hanging="360"/>
      </w:pPr>
      <w:rPr/>
    </w:lvl>
    <w:lvl w:ilvl="5">
      <w:start w:val="1"/>
      <w:numFmt w:val="lowerRoman"/>
      <w:lvlText w:val="%6."/>
      <w:lvlJc w:val="right"/>
      <w:pPr>
        <w:ind w:left="3600" w:hanging="180"/>
      </w:pPr>
      <w:rPr/>
    </w:lvl>
    <w:lvl w:ilvl="6">
      <w:start w:val="1"/>
      <w:numFmt w:val="decimal"/>
      <w:lvlText w:val="%7."/>
      <w:lvlJc w:val="left"/>
      <w:pPr>
        <w:ind w:left="4320" w:hanging="360"/>
      </w:pPr>
      <w:rPr/>
    </w:lvl>
    <w:lvl w:ilvl="7">
      <w:start w:val="1"/>
      <w:numFmt w:val="lowerLetter"/>
      <w:lvlText w:val="%8."/>
      <w:lvlJc w:val="left"/>
      <w:pPr>
        <w:ind w:left="5040" w:hanging="360"/>
      </w:pPr>
      <w:rPr/>
    </w:lvl>
    <w:lvl w:ilvl="8">
      <w:start w:val="1"/>
      <w:numFmt w:val="lowerRoman"/>
      <w:lvlText w:val="%9."/>
      <w:lvlJc w:val="right"/>
      <w:pPr>
        <w:ind w:left="5760" w:hanging="180"/>
      </w:pPr>
      <w:rPr/>
    </w:lvl>
  </w:abstractNum>
  <w:abstractNum w:abstractNumId="8">
    <w:lvl w:ilvl="0">
      <w:start w:val="1"/>
      <w:numFmt w:val="decimal"/>
      <w:lvlText w:val="%1."/>
      <w:lvlJc w:val="left"/>
      <w:pPr>
        <w:ind w:left="1080" w:hanging="360"/>
      </w:pPr>
      <w:rPr/>
    </w:lvl>
    <w:lvl w:ilvl="1">
      <w:start w:val="1"/>
      <w:numFmt w:val="decimal"/>
      <w:lvlText w:val="%2."/>
      <w:lvlJc w:val="left"/>
      <w:pPr>
        <w:ind w:left="1080" w:hanging="360"/>
      </w:pPr>
      <w:rPr/>
    </w:lvl>
    <w:lvl w:ilvl="2">
      <w:start w:val="1"/>
      <w:numFmt w:val="lowerLetter"/>
      <w:lvlText w:val="%3."/>
      <w:lvlJc w:val="left"/>
      <w:pPr>
        <w:ind w:left="1800" w:hanging="36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1"/>
        <w:szCs w:val="21"/>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Bdr>
        <w:bottom w:color="999999" w:space="1" w:sz="8" w:val="single"/>
      </w:pBdr>
      <w:spacing w:after="120" w:before="120" w:lineRule="auto"/>
    </w:pPr>
    <w:rPr>
      <w:rFonts w:ascii="Arial" w:cs="Arial" w:eastAsia="Arial" w:hAnsi="Arial"/>
      <w:b w:val="1"/>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D3146A"/>
    <w:rPr>
      <w:rFonts w:ascii="Calibri" w:cs="Times New Roman" w:eastAsia="Times New Roman" w:hAnsi="Calibri"/>
      <w:sz w:val="21"/>
      <w:szCs w:val="22"/>
    </w:rPr>
  </w:style>
  <w:style w:type="paragraph" w:styleId="Heading1">
    <w:name w:val="heading 1"/>
    <w:aliases w:val="Char Char Char"/>
    <w:basedOn w:val="Normal"/>
    <w:next w:val="Normal"/>
    <w:link w:val="Heading1Char"/>
    <w:qFormat w:val="1"/>
    <w:rsid w:val="00D3146A"/>
    <w:pPr>
      <w:keepNext w:val="1"/>
      <w:pBdr>
        <w:bottom w:color="999999" w:space="1" w:sz="8" w:val="single"/>
      </w:pBdr>
      <w:spacing w:after="120" w:before="120"/>
      <w:outlineLvl w:val="0"/>
    </w:pPr>
    <w:rPr>
      <w:rFonts w:ascii="Arial" w:hAnsi="Arial"/>
      <w:b w:val="1"/>
      <w:bCs w:val="1"/>
      <w:kern w:val="32"/>
      <w:sz w:val="28"/>
      <w:szCs w:val="32"/>
      <w:lang w:eastAsia="x-none" w:val="x-none"/>
    </w:rPr>
  </w:style>
  <w:style w:type="paragraph" w:styleId="Heading3">
    <w:name w:val="heading 3"/>
    <w:basedOn w:val="Normal"/>
    <w:next w:val="Normal"/>
    <w:link w:val="Heading3Char"/>
    <w:uiPriority w:val="9"/>
    <w:semiHidden w:val="1"/>
    <w:unhideWhenUsed w:val="1"/>
    <w:qFormat w:val="1"/>
    <w:rsid w:val="00D3146A"/>
    <w:pPr>
      <w:keepNext w:val="1"/>
      <w:keepLines w:val="1"/>
      <w:spacing w:before="40"/>
      <w:outlineLvl w:val="2"/>
    </w:pPr>
    <w:rPr>
      <w:rFonts w:asciiTheme="majorHAnsi" w:cstheme="majorBidi" w:eastAsiaTheme="majorEastAsia" w:hAnsiTheme="majorHAnsi"/>
      <w:color w:val="1f4d78" w:themeColor="accent1" w:themeShade="00007F"/>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aliases w:val="Char Char Char Char"/>
    <w:basedOn w:val="DefaultParagraphFont"/>
    <w:link w:val="Heading1"/>
    <w:rsid w:val="00D3146A"/>
    <w:rPr>
      <w:rFonts w:ascii="Arial" w:cs="Times New Roman" w:eastAsia="Times New Roman" w:hAnsi="Arial"/>
      <w:b w:val="1"/>
      <w:bCs w:val="1"/>
      <w:kern w:val="32"/>
      <w:sz w:val="28"/>
      <w:szCs w:val="32"/>
      <w:lang w:eastAsia="x-none" w:val="x-none"/>
    </w:rPr>
  </w:style>
  <w:style w:type="character" w:styleId="Hyperlink">
    <w:name w:val="Hyperlink"/>
    <w:uiPriority w:val="99"/>
    <w:rsid w:val="00D3146A"/>
    <w:rPr>
      <w:color w:val="0000ff"/>
      <w:u w:val="single"/>
    </w:rPr>
  </w:style>
  <w:style w:type="paragraph" w:styleId="TOC1">
    <w:name w:val="toc 1"/>
    <w:basedOn w:val="Normal"/>
    <w:next w:val="Normal"/>
    <w:link w:val="TOC1Char"/>
    <w:autoRedefine w:val="1"/>
    <w:uiPriority w:val="39"/>
    <w:qFormat w:val="1"/>
    <w:rsid w:val="00D3146A"/>
    <w:pPr>
      <w:tabs>
        <w:tab w:val="right" w:leader="dot" w:pos="9350"/>
      </w:tabs>
      <w:spacing w:before="360"/>
    </w:pPr>
    <w:rPr>
      <w:b w:val="1"/>
      <w:bCs w:val="1"/>
      <w:caps w:val="1"/>
      <w:sz w:val="24"/>
      <w:szCs w:val="24"/>
      <w:lang w:eastAsia="x-none" w:val="x-none"/>
    </w:rPr>
  </w:style>
  <w:style w:type="paragraph" w:styleId="Footer">
    <w:name w:val="footer"/>
    <w:basedOn w:val="Normal"/>
    <w:link w:val="FooterChar"/>
    <w:uiPriority w:val="99"/>
    <w:unhideWhenUsed w:val="1"/>
    <w:rsid w:val="00D3146A"/>
    <w:pPr>
      <w:tabs>
        <w:tab w:val="center" w:pos="4680"/>
        <w:tab w:val="right" w:pos="9360"/>
      </w:tabs>
    </w:pPr>
  </w:style>
  <w:style w:type="character" w:styleId="FooterChar" w:customStyle="1">
    <w:name w:val="Footer Char"/>
    <w:basedOn w:val="DefaultParagraphFont"/>
    <w:link w:val="Footer"/>
    <w:uiPriority w:val="99"/>
    <w:rsid w:val="00D3146A"/>
    <w:rPr>
      <w:rFonts w:ascii="Calibri" w:cs="Times New Roman" w:eastAsia="Times New Roman" w:hAnsi="Calibri"/>
      <w:sz w:val="21"/>
      <w:szCs w:val="22"/>
    </w:rPr>
  </w:style>
  <w:style w:type="paragraph" w:styleId="ParagraphText-BexarCounty" w:customStyle="1">
    <w:name w:val="Paragraph Text - Bexar County"/>
    <w:basedOn w:val="Normal"/>
    <w:link w:val="ParagraphText-BexarCountyChar"/>
    <w:qFormat w:val="1"/>
    <w:rsid w:val="00D3146A"/>
    <w:pPr>
      <w:tabs>
        <w:tab w:val="left" w:pos="360"/>
      </w:tabs>
      <w:autoSpaceDE w:val="0"/>
      <w:autoSpaceDN w:val="0"/>
      <w:adjustRightInd w:val="0"/>
      <w:spacing w:line="300" w:lineRule="exact"/>
      <w:ind w:left="360" w:right="43"/>
    </w:pPr>
    <w:rPr>
      <w:rFonts w:ascii="Arial" w:hAnsi="Arial"/>
      <w:szCs w:val="21"/>
      <w:lang w:eastAsia="x-none" w:val="x-none"/>
    </w:rPr>
  </w:style>
  <w:style w:type="character" w:styleId="ParagraphText-BexarCountyChar" w:customStyle="1">
    <w:name w:val="Paragraph Text - Bexar County Char"/>
    <w:link w:val="ParagraphText-BexarCounty"/>
    <w:rsid w:val="00D3146A"/>
    <w:rPr>
      <w:rFonts w:ascii="Arial" w:cs="Times New Roman" w:eastAsia="Times New Roman" w:hAnsi="Arial"/>
      <w:sz w:val="21"/>
      <w:szCs w:val="21"/>
      <w:lang w:eastAsia="x-none" w:val="x-none"/>
    </w:rPr>
  </w:style>
  <w:style w:type="paragraph" w:styleId="Heading2NM" w:customStyle="1">
    <w:name w:val="Heading 2 NM"/>
    <w:basedOn w:val="Heading3"/>
    <w:link w:val="Heading2NMChar"/>
    <w:qFormat w:val="1"/>
    <w:rsid w:val="00D3146A"/>
    <w:pPr>
      <w:keepLines w:val="0"/>
      <w:spacing w:after="60" w:before="0"/>
    </w:pPr>
    <w:rPr>
      <w:rFonts w:ascii="Arial" w:cs="Times New Roman" w:eastAsia="Times New Roman" w:hAnsi="Arial"/>
      <w:b w:val="1"/>
      <w:bCs w:val="1"/>
      <w:color w:val="auto"/>
      <w:szCs w:val="26"/>
      <w:lang w:eastAsia="x-none" w:val="x-none"/>
    </w:rPr>
  </w:style>
  <w:style w:type="character" w:styleId="Heading2NMChar" w:customStyle="1">
    <w:name w:val="Heading 2 NM Char"/>
    <w:link w:val="Heading2NM"/>
    <w:rsid w:val="00D3146A"/>
    <w:rPr>
      <w:rFonts w:ascii="Arial" w:cs="Times New Roman" w:eastAsia="Times New Roman" w:hAnsi="Arial"/>
      <w:b w:val="1"/>
      <w:bCs w:val="1"/>
      <w:szCs w:val="26"/>
      <w:lang w:eastAsia="x-none" w:val="x-none"/>
    </w:rPr>
  </w:style>
  <w:style w:type="paragraph" w:styleId="NormalWeb">
    <w:name w:val="Normal (Web)"/>
    <w:basedOn w:val="Normal"/>
    <w:uiPriority w:val="99"/>
    <w:unhideWhenUsed w:val="1"/>
    <w:rsid w:val="00D3146A"/>
    <w:pPr>
      <w:spacing w:after="100" w:afterAutospacing="1" w:before="100" w:beforeAutospacing="1"/>
    </w:pPr>
    <w:rPr>
      <w:rFonts w:ascii="Times New Roman" w:hAnsi="Times New Roman"/>
      <w:sz w:val="24"/>
      <w:szCs w:val="24"/>
    </w:rPr>
  </w:style>
  <w:style w:type="paragraph" w:styleId="ProposalCaption" w:customStyle="1">
    <w:name w:val="Proposal Caption"/>
    <w:basedOn w:val="Normal"/>
    <w:qFormat w:val="1"/>
    <w:rsid w:val="00D3146A"/>
    <w:pPr>
      <w:jc w:val="center"/>
    </w:pPr>
    <w:rPr>
      <w:i w:val="1"/>
    </w:rPr>
  </w:style>
  <w:style w:type="character" w:styleId="TOC1Char" w:customStyle="1">
    <w:name w:val="TOC 1 Char"/>
    <w:link w:val="TOC1"/>
    <w:uiPriority w:val="39"/>
    <w:rsid w:val="00D3146A"/>
    <w:rPr>
      <w:rFonts w:ascii="Calibri" w:cs="Times New Roman" w:eastAsia="Times New Roman" w:hAnsi="Calibri"/>
      <w:b w:val="1"/>
      <w:bCs w:val="1"/>
      <w:caps w:val="1"/>
      <w:lang w:eastAsia="x-none" w:val="x-none"/>
    </w:rPr>
  </w:style>
  <w:style w:type="character" w:styleId="Heading3Char" w:customStyle="1">
    <w:name w:val="Heading 3 Char"/>
    <w:basedOn w:val="DefaultParagraphFont"/>
    <w:link w:val="Heading3"/>
    <w:uiPriority w:val="9"/>
    <w:semiHidden w:val="1"/>
    <w:rsid w:val="00D3146A"/>
    <w:rPr>
      <w:rFonts w:asciiTheme="majorHAnsi" w:cstheme="majorBidi" w:eastAsiaTheme="majorEastAsia" w:hAnsiTheme="majorHAnsi"/>
      <w:color w:val="1f4d78" w:themeColor="accent1" w:themeShade="00007F"/>
    </w:rPr>
  </w:style>
  <w:style w:type="paragraph" w:styleId="TOC3">
    <w:name w:val="toc 3"/>
    <w:basedOn w:val="Normal"/>
    <w:next w:val="Normal"/>
    <w:autoRedefine w:val="1"/>
    <w:uiPriority w:val="39"/>
    <w:unhideWhenUsed w:val="1"/>
    <w:rsid w:val="00D3146A"/>
    <w:pPr>
      <w:spacing w:after="100"/>
      <w:ind w:left="420"/>
    </w:pPr>
  </w:style>
  <w:style w:type="paragraph" w:styleId="ListParagraph">
    <w:name w:val="List Paragraph"/>
    <w:basedOn w:val="Normal"/>
    <w:uiPriority w:val="34"/>
    <w:qFormat w:val="1"/>
    <w:rsid w:val="00345AD2"/>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chart" Target="charts/chart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chart" Target="charts/chart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charts/_rels/chart1.xml.rels><?xml version="1.0" encoding="UTF-8" standalone="yes"?><Relationships xmlns="http://schemas.openxmlformats.org/package/2006/relationships"><Relationship Id="rId1" Type="http://schemas.microsoft.com/office/2011/relationships/chartStyle" Target="style1.xml"/><Relationship Id="rId2" Type="http://schemas.microsoft.com/office/2011/relationships/chartColorStyle" Target="colors1.xml"/><Relationship Id="rId3" Type="http://schemas.openxmlformats.org/officeDocument/2006/relationships/oleObject" Target="file://localhost/Users/todd.greenbaum/Downloads/ReferenceAssetSummary%20(2).xlsx" TargetMode="External"/></Relationships>
</file>

<file path=word/charts/_rels/chart2.xml.rels><?xml version="1.0" encoding="UTF-8" standalone="yes"?><Relationships xmlns="http://schemas.openxmlformats.org/package/2006/relationships"><Relationship Id="rId1" Type="http://schemas.microsoft.com/office/2011/relationships/chartStyle" Target="style2.xml"/><Relationship Id="rId2" Type="http://schemas.microsoft.com/office/2011/relationships/chartColorStyle" Target="colors2.xml"/><Relationship Id="rId3" Type="http://schemas.openxmlformats.org/officeDocument/2006/relationships/oleObject" Target="file://localhost/Users/todd.greenbaum/Downloads/Report%20(13).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chemeClr val="tx1">
                    <a:lumMod val="75000"/>
                    <a:lumOff val="25000"/>
                  </a:schemeClr>
                </a:solidFill>
                <a:latin typeface="+mn-lt"/>
                <a:ea typeface="+mn-ea"/>
                <a:cs typeface="+mn-cs"/>
              </a:defRPr>
            </a:pPr>
            <a:r>
              <a:rPr lang="en-US" sz="1050" b="1">
                <a:solidFill>
                  <a:schemeClr val="tx1">
                    <a:lumMod val="75000"/>
                    <a:lumOff val="25000"/>
                  </a:schemeClr>
                </a:solidFill>
              </a:rPr>
              <a:t>Current</a:t>
            </a:r>
            <a:r>
              <a:rPr lang="en-US" sz="1050" b="1" baseline="0">
                <a:solidFill>
                  <a:schemeClr val="tx1">
                    <a:lumMod val="75000"/>
                    <a:lumOff val="25000"/>
                  </a:schemeClr>
                </a:solidFill>
              </a:rPr>
              <a:t> Reference View Commitment Levels</a:t>
            </a:r>
            <a:endParaRPr lang="en-US" sz="1050" b="1">
              <a:solidFill>
                <a:schemeClr val="tx1">
                  <a:lumMod val="75000"/>
                  <a:lumOff val="25000"/>
                </a:schemeClr>
              </a:solidFill>
            </a:endParaRPr>
          </a:p>
        </c:rich>
      </c:tx>
      <c:layout>
        <c:manualLayout>
          <c:xMode val="edge"/>
          <c:yMode val="edge"/>
          <c:x val="0.261201796890773"/>
          <c:y val="0.0"/>
        </c:manualLayout>
      </c:layout>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75000"/>
                  <a:lumOff val="25000"/>
                </a:schemeClr>
              </a:solidFill>
              <a:latin typeface="+mn-lt"/>
              <a:ea typeface="+mn-ea"/>
              <a:cs typeface="+mn-cs"/>
            </a:defRPr>
          </a:pPr>
          <a:endParaRPr lang="en-US"/>
        </a:p>
      </c:txPr>
    </c:title>
    <c:autoTitleDeleted val="0"/>
    <c:plotArea>
      <c:layout/>
      <c:pieChart>
        <c:varyColors val="1"/>
        <c:ser>
          <c:idx val="0"/>
          <c:order val="0"/>
          <c:spPr>
            <a:ln w="12700"/>
          </c:spPr>
          <c:dPt>
            <c:idx val="0"/>
            <c:bubble3D val="0"/>
            <c:spPr>
              <a:solidFill>
                <a:schemeClr val="accent1"/>
              </a:solidFill>
              <a:ln w="12700">
                <a:solidFill>
                  <a:schemeClr val="lt1"/>
                </a:solidFill>
              </a:ln>
              <a:effectLst/>
            </c:spPr>
          </c:dPt>
          <c:dPt>
            <c:idx val="1"/>
            <c:bubble3D val="0"/>
            <c:spPr>
              <a:solidFill>
                <a:schemeClr val="accent3"/>
              </a:solidFill>
              <a:ln w="12700">
                <a:solidFill>
                  <a:schemeClr val="lt1"/>
                </a:solidFill>
              </a:ln>
              <a:effectLst/>
            </c:spPr>
          </c:dPt>
          <c:dPt>
            <c:idx val="2"/>
            <c:bubble3D val="0"/>
            <c:spPr>
              <a:solidFill>
                <a:schemeClr val="accent5"/>
              </a:solidFill>
              <a:ln w="12700">
                <a:solidFill>
                  <a:schemeClr val="lt1"/>
                </a:solidFill>
              </a:ln>
              <a:effectLst/>
            </c:spPr>
          </c:dPt>
          <c:dPt>
            <c:idx val="3"/>
            <c:bubble3D val="0"/>
            <c:spPr>
              <a:solidFill>
                <a:schemeClr val="accent1">
                  <a:lumMod val="60000"/>
                </a:schemeClr>
              </a:solidFill>
              <a:ln w="12700">
                <a:solidFill>
                  <a:schemeClr val="lt1"/>
                </a:solidFill>
              </a:ln>
              <a:effectLst/>
            </c:spPr>
          </c:dPt>
          <c:dPt>
            <c:idx val="4"/>
            <c:bubble3D val="0"/>
            <c:spPr>
              <a:solidFill>
                <a:schemeClr val="accent3">
                  <a:lumMod val="60000"/>
                </a:schemeClr>
              </a:solidFill>
              <a:ln w="12700">
                <a:solidFill>
                  <a:schemeClr val="lt1"/>
                </a:solidFill>
              </a:ln>
              <a:effectLst/>
            </c:spPr>
          </c:dPt>
          <c:dPt>
            <c:idx val="5"/>
            <c:bubble3D val="0"/>
            <c:spPr>
              <a:solidFill>
                <a:schemeClr val="accent5">
                  <a:lumMod val="60000"/>
                </a:schemeClr>
              </a:solidFill>
              <a:ln w="12700">
                <a:solidFill>
                  <a:schemeClr val="lt1"/>
                </a:solidFill>
              </a:ln>
              <a:effectLst/>
            </c:spPr>
          </c:dPt>
          <c:dPt>
            <c:idx val="6"/>
            <c:bubble3D val="0"/>
            <c:spPr>
              <a:solidFill>
                <a:schemeClr val="accent1">
                  <a:lumMod val="80000"/>
                  <a:lumOff val="20000"/>
                </a:schemeClr>
              </a:solidFill>
              <a:ln w="12700">
                <a:solidFill>
                  <a:schemeClr val="lt1"/>
                </a:solidFill>
              </a:ln>
              <a:effectLst/>
            </c:spPr>
          </c:dPt>
          <c:dPt>
            <c:idx val="7"/>
            <c:bubble3D val="0"/>
            <c:spPr>
              <a:solidFill>
                <a:schemeClr val="accent3">
                  <a:lumMod val="80000"/>
                  <a:lumOff val="20000"/>
                </a:schemeClr>
              </a:solidFill>
              <a:ln w="12700">
                <a:solidFill>
                  <a:schemeClr val="lt1"/>
                </a:solidFill>
              </a:ln>
              <a:effectLst/>
            </c:spPr>
          </c:dPt>
          <c:dPt>
            <c:idx val="8"/>
            <c:bubble3D val="0"/>
            <c:spPr>
              <a:solidFill>
                <a:schemeClr val="accent5">
                  <a:lumMod val="80000"/>
                  <a:lumOff val="20000"/>
                </a:schemeClr>
              </a:solidFill>
              <a:ln w="12700">
                <a:solidFill>
                  <a:schemeClr val="lt1"/>
                </a:solidFill>
              </a:ln>
              <a:effectLst/>
            </c:spPr>
          </c:dPt>
          <c:dPt>
            <c:idx val="9"/>
            <c:bubble3D val="0"/>
            <c:spPr>
              <a:solidFill>
                <a:schemeClr val="accent1">
                  <a:lumMod val="80000"/>
                </a:schemeClr>
              </a:solidFill>
              <a:ln w="12700">
                <a:solidFill>
                  <a:schemeClr val="lt1"/>
                </a:solidFill>
              </a:ln>
              <a:effectLst/>
            </c:spPr>
          </c:dPt>
          <c:dLbls>
            <c:dLbl>
              <c:idx val="0"/>
              <c:layout>
                <c:manualLayout>
                  <c:x val="0.0555555555555555"/>
                  <c:y val="-0.018754688672168"/>
                </c:manualLayout>
              </c:layout>
              <c:dLblPos val="bestFit"/>
              <c:showLegendKey val="0"/>
              <c:showVal val="0"/>
              <c:showCatName val="1"/>
              <c:showSerName val="0"/>
              <c:showPercent val="1"/>
              <c:showBubbleSize val="0"/>
              <c:extLst>
                <c:ext xmlns:c15="http://schemas.microsoft.com/office/drawing/2012/chart" uri="{CE6537A1-D6FC-4f65-9D91-7224C49458BB}"/>
              </c:extLst>
            </c:dLbl>
            <c:dLbl>
              <c:idx val="1"/>
              <c:layout>
                <c:manualLayout>
                  <c:x val="0.111111111111111"/>
                  <c:y val="0.112528132033008"/>
                </c:manualLayout>
              </c:layout>
              <c:dLblPos val="bestFit"/>
              <c:showLegendKey val="0"/>
              <c:showVal val="0"/>
              <c:showCatName val="1"/>
              <c:showSerName val="0"/>
              <c:showPercent val="1"/>
              <c:showBubbleSize val="0"/>
              <c:extLst>
                <c:ext xmlns:c15="http://schemas.microsoft.com/office/drawing/2012/chart" uri="{CE6537A1-D6FC-4f65-9D91-7224C49458BB}"/>
              </c:extLst>
            </c:dLbl>
            <c:dLbl>
              <c:idx val="2"/>
              <c:layout>
                <c:manualLayout>
                  <c:x val="0.047008547008547"/>
                  <c:y val="-0.00375093773443368"/>
                </c:manualLayout>
              </c:layout>
              <c:dLblPos val="bestFit"/>
              <c:showLegendKey val="0"/>
              <c:showVal val="0"/>
              <c:showCatName val="1"/>
              <c:showSerName val="0"/>
              <c:showPercent val="1"/>
              <c:showBubbleSize val="0"/>
              <c:extLst>
                <c:ext xmlns:c15="http://schemas.microsoft.com/office/drawing/2012/chart" uri="{CE6537A1-D6FC-4f65-9D91-7224C49458BB}"/>
              </c:extLst>
            </c:dLbl>
            <c:dLbl>
              <c:idx val="3"/>
              <c:layout>
                <c:manualLayout>
                  <c:x val="0.0854700854700855"/>
                  <c:y val="-0.0150037509377344"/>
                </c:manualLayout>
              </c:layout>
              <c:dLblPos val="bestFit"/>
              <c:showLegendKey val="0"/>
              <c:showVal val="0"/>
              <c:showCatName val="1"/>
              <c:showSerName val="0"/>
              <c:showPercent val="1"/>
              <c:showBubbleSize val="0"/>
              <c:extLst>
                <c:ext xmlns:c15="http://schemas.microsoft.com/office/drawing/2012/chart" uri="{CE6537A1-D6FC-4f65-9D91-7224C49458BB}"/>
              </c:extLst>
            </c:dLbl>
            <c:dLbl>
              <c:idx val="4"/>
              <c:layout>
                <c:manualLayout>
                  <c:x val="-0.0491452991452991"/>
                  <c:y val="-0.0187546886721682"/>
                </c:manualLayout>
              </c:layout>
              <c:dLblPos val="bestFit"/>
              <c:showLegendKey val="0"/>
              <c:showVal val="0"/>
              <c:showCatName val="1"/>
              <c:showSerName val="0"/>
              <c:showPercent val="1"/>
              <c:showBubbleSize val="0"/>
              <c:extLst>
                <c:ext xmlns:c15="http://schemas.microsoft.com/office/drawing/2012/chart" uri="{CE6537A1-D6FC-4f65-9D91-7224C49458BB}"/>
              </c:extLst>
            </c:dLbl>
            <c:dLbl>
              <c:idx val="5"/>
              <c:layout>
                <c:manualLayout>
                  <c:x val="-0.0320512820512821"/>
                  <c:y val="0.00375093773443361"/>
                </c:manualLayout>
              </c:layout>
              <c:dLblPos val="bestFit"/>
              <c:showLegendKey val="0"/>
              <c:showVal val="0"/>
              <c:showCatName val="1"/>
              <c:showSerName val="0"/>
              <c:showPercent val="1"/>
              <c:showBubbleSize val="0"/>
              <c:extLst>
                <c:ext xmlns:c15="http://schemas.microsoft.com/office/drawing/2012/chart" uri="{CE6537A1-D6FC-4f65-9D91-7224C49458BB}"/>
              </c:extLst>
            </c:dLbl>
            <c:dLbl>
              <c:idx val="6"/>
              <c:layout>
                <c:manualLayout>
                  <c:x val="-0.0405982905982906"/>
                  <c:y val="-0.0375093773443361"/>
                </c:manualLayout>
              </c:layout>
              <c:dLblPos val="bestFit"/>
              <c:showLegendKey val="0"/>
              <c:showVal val="0"/>
              <c:showCatName val="1"/>
              <c:showSerName val="0"/>
              <c:showPercent val="1"/>
              <c:showBubbleSize val="0"/>
              <c:extLst>
                <c:ext xmlns:c15="http://schemas.microsoft.com/office/drawing/2012/chart" uri="{CE6537A1-D6FC-4f65-9D91-7224C49458BB}"/>
              </c:extLst>
            </c:dLbl>
            <c:dLbl>
              <c:idx val="7"/>
              <c:layout>
                <c:manualLayout>
                  <c:x val="-0.0299145299145299"/>
                  <c:y val="0.00375093773443361"/>
                </c:manualLayout>
              </c:layout>
              <c:dLblPos val="bestFit"/>
              <c:showLegendKey val="0"/>
              <c:showVal val="0"/>
              <c:showCatName val="1"/>
              <c:showSerName val="0"/>
              <c:showPercent val="1"/>
              <c:showBubbleSize val="0"/>
              <c:extLst>
                <c:ext xmlns:c15="http://schemas.microsoft.com/office/drawing/2012/chart" uri="{CE6537A1-D6FC-4f65-9D91-7224C49458BB}"/>
              </c:extLst>
            </c:dLbl>
            <c:dLbl>
              <c:idx val="8"/>
              <c:layout>
                <c:manualLayout>
                  <c:x val="-0.0277777777777778"/>
                  <c:y val="0.0"/>
                </c:manualLayout>
              </c:layout>
              <c:dLblPos val="bestFit"/>
              <c:showLegendKey val="0"/>
              <c:showVal val="0"/>
              <c:showCatName val="1"/>
              <c:showSerName val="0"/>
              <c:showPercent val="1"/>
              <c:showBubbleSize val="0"/>
              <c:extLst>
                <c:ext xmlns:c15="http://schemas.microsoft.com/office/drawing/2012/chart" uri="{CE6537A1-D6FC-4f65-9D91-7224C49458BB}"/>
              </c:extLst>
            </c:dLbl>
            <c:dLbl>
              <c:idx val="9"/>
              <c:layout>
                <c:manualLayout>
                  <c:x val="-0.0256410256410256"/>
                  <c:y val="-0.018754688672168"/>
                </c:manualLayout>
              </c:layout>
              <c:dLblPos val="bestFit"/>
              <c:showLegendKey val="0"/>
              <c:showVal val="0"/>
              <c:showCatName val="1"/>
              <c:showSerName val="0"/>
              <c:showPercent val="1"/>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Sheet1!$B$7:$B$16</c:f>
              <c:strCache>
                <c:ptCount val="10"/>
                <c:pt idx="0">
                  <c:v>Participate in a Case Study</c:v>
                </c:pt>
                <c:pt idx="1">
                  <c:v>Participate in a Joint Thought Leadership</c:v>
                </c:pt>
                <c:pt idx="2">
                  <c:v>Provide a Logo</c:v>
                </c:pt>
                <c:pt idx="3">
                  <c:v>Provide a Quote</c:v>
                </c:pt>
                <c:pt idx="4">
                  <c:v>References Email, Phone Call or RFP</c:v>
                </c:pt>
                <c:pt idx="5">
                  <c:v>Speak at a Webinar</c:v>
                </c:pt>
                <c:pt idx="6">
                  <c:v>Speak at an Event</c:v>
                </c:pt>
                <c:pt idx="7">
                  <c:v>Speak with Industry Analyst</c:v>
                </c:pt>
                <c:pt idx="8">
                  <c:v>Speak with Media</c:v>
                </c:pt>
                <c:pt idx="9">
                  <c:v>Write a Blog Post</c:v>
                </c:pt>
              </c:strCache>
            </c:strRef>
          </c:cat>
          <c:val>
            <c:numRef>
              <c:f>Sheet1!$C$7:$C$16</c:f>
              <c:numCache>
                <c:formatCode>General</c:formatCode>
                <c:ptCount val="10"/>
                <c:pt idx="0">
                  <c:v>41.0</c:v>
                </c:pt>
                <c:pt idx="1">
                  <c:v>1.0</c:v>
                </c:pt>
                <c:pt idx="2">
                  <c:v>189.0</c:v>
                </c:pt>
                <c:pt idx="3">
                  <c:v>40.0</c:v>
                </c:pt>
                <c:pt idx="4">
                  <c:v>109.0</c:v>
                </c:pt>
                <c:pt idx="5">
                  <c:v>1.0</c:v>
                </c:pt>
                <c:pt idx="6">
                  <c:v>34.0</c:v>
                </c:pt>
                <c:pt idx="7">
                  <c:v>38.0</c:v>
                </c:pt>
                <c:pt idx="8">
                  <c:v>34.0</c:v>
                </c:pt>
                <c:pt idx="9">
                  <c:v>41.0</c:v>
                </c:pt>
              </c:numCache>
            </c:numRef>
          </c:val>
        </c:ser>
        <c:dLbls>
          <c:showLegendKey val="0"/>
          <c:showVal val="0"/>
          <c:showCatName val="1"/>
          <c:showSerName val="0"/>
          <c:showPercent val="1"/>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050" b="1">
                <a:solidFill>
                  <a:schemeClr val="tx1">
                    <a:lumMod val="75000"/>
                    <a:lumOff val="25000"/>
                  </a:schemeClr>
                </a:solidFill>
              </a:rPr>
              <a:t>Current Reference</a:t>
            </a:r>
            <a:r>
              <a:rPr lang="en-US" sz="1050" b="1" baseline="0">
                <a:solidFill>
                  <a:schemeClr val="tx1">
                    <a:lumMod val="75000"/>
                    <a:lumOff val="25000"/>
                  </a:schemeClr>
                </a:solidFill>
              </a:rPr>
              <a:t> View Count by Industry (10 or more clients)</a:t>
            </a:r>
            <a:endParaRPr lang="en-US" sz="1050" b="1">
              <a:solidFill>
                <a:schemeClr val="tx1">
                  <a:lumMod val="75000"/>
                  <a:lumOff val="25000"/>
                </a:schemeClr>
              </a:solidFill>
            </a:endParaRPr>
          </a:p>
        </c:rich>
      </c:tx>
      <c:layout>
        <c:manualLayout>
          <c:xMode val="edge"/>
          <c:yMode val="edge"/>
          <c:x val="0.203370684433677"/>
          <c:y val="0.0422163588390501"/>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Count of Customer</c:v>
                </c:pt>
              </c:strCache>
            </c:strRef>
          </c:tx>
          <c:spPr>
            <a:ln w="12700"/>
          </c:spPr>
          <c:dPt>
            <c:idx val="0"/>
            <c:bubble3D val="0"/>
            <c:spPr>
              <a:solidFill>
                <a:schemeClr val="accent1"/>
              </a:solidFill>
              <a:ln w="12700">
                <a:solidFill>
                  <a:schemeClr val="lt1"/>
                </a:solidFill>
              </a:ln>
              <a:effectLst/>
            </c:spPr>
          </c:dPt>
          <c:dPt>
            <c:idx val="1"/>
            <c:bubble3D val="0"/>
            <c:spPr>
              <a:solidFill>
                <a:schemeClr val="accent3"/>
              </a:solidFill>
              <a:ln w="12700">
                <a:solidFill>
                  <a:schemeClr val="lt1"/>
                </a:solidFill>
              </a:ln>
              <a:effectLst/>
            </c:spPr>
          </c:dPt>
          <c:dPt>
            <c:idx val="2"/>
            <c:bubble3D val="0"/>
            <c:spPr>
              <a:solidFill>
                <a:schemeClr val="accent5"/>
              </a:solidFill>
              <a:ln w="12700">
                <a:solidFill>
                  <a:schemeClr val="lt1"/>
                </a:solidFill>
              </a:ln>
              <a:effectLst/>
            </c:spPr>
          </c:dPt>
          <c:dPt>
            <c:idx val="3"/>
            <c:bubble3D val="0"/>
            <c:spPr>
              <a:solidFill>
                <a:schemeClr val="accent1">
                  <a:lumMod val="60000"/>
                </a:schemeClr>
              </a:solidFill>
              <a:ln w="12700">
                <a:solidFill>
                  <a:schemeClr val="lt1"/>
                </a:solidFill>
              </a:ln>
              <a:effectLst/>
            </c:spPr>
          </c:dPt>
          <c:dPt>
            <c:idx val="4"/>
            <c:bubble3D val="0"/>
            <c:spPr>
              <a:solidFill>
                <a:schemeClr val="accent3">
                  <a:lumMod val="60000"/>
                </a:schemeClr>
              </a:solidFill>
              <a:ln w="12700">
                <a:solidFill>
                  <a:schemeClr val="lt1"/>
                </a:solidFill>
              </a:ln>
              <a:effectLst/>
            </c:spPr>
          </c:dPt>
          <c:dPt>
            <c:idx val="5"/>
            <c:bubble3D val="0"/>
            <c:spPr>
              <a:solidFill>
                <a:schemeClr val="accent5">
                  <a:lumMod val="60000"/>
                </a:schemeClr>
              </a:solidFill>
              <a:ln w="12700">
                <a:solidFill>
                  <a:schemeClr val="lt1"/>
                </a:solidFill>
              </a:ln>
              <a:effectLst/>
            </c:spPr>
          </c:dPt>
          <c:dPt>
            <c:idx val="6"/>
            <c:bubble3D val="0"/>
            <c:spPr>
              <a:solidFill>
                <a:schemeClr val="accent1">
                  <a:lumMod val="80000"/>
                  <a:lumOff val="20000"/>
                </a:schemeClr>
              </a:solidFill>
              <a:ln w="12700">
                <a:solidFill>
                  <a:schemeClr val="lt1"/>
                </a:solidFill>
              </a:ln>
              <a:effectLst/>
            </c:spPr>
          </c:dPt>
          <c:dPt>
            <c:idx val="7"/>
            <c:bubble3D val="0"/>
            <c:spPr>
              <a:solidFill>
                <a:schemeClr val="accent3">
                  <a:lumMod val="80000"/>
                  <a:lumOff val="20000"/>
                </a:schemeClr>
              </a:solidFill>
              <a:ln w="12700">
                <a:solidFill>
                  <a:schemeClr val="lt1"/>
                </a:solidFill>
              </a:ln>
              <a:effectLst/>
            </c:spPr>
          </c:dPt>
          <c:dPt>
            <c:idx val="8"/>
            <c:bubble3D val="0"/>
            <c:spPr>
              <a:solidFill>
                <a:schemeClr val="accent5">
                  <a:lumMod val="80000"/>
                  <a:lumOff val="20000"/>
                </a:schemeClr>
              </a:solidFill>
              <a:ln w="12700">
                <a:solidFill>
                  <a:schemeClr val="lt1"/>
                </a:solidFill>
              </a:ln>
              <a:effectLst/>
            </c:spPr>
          </c:dPt>
          <c:dPt>
            <c:idx val="9"/>
            <c:bubble3D val="0"/>
            <c:spPr>
              <a:solidFill>
                <a:schemeClr val="accent1">
                  <a:lumMod val="80000"/>
                </a:schemeClr>
              </a:solidFill>
              <a:ln w="12700">
                <a:solidFill>
                  <a:schemeClr val="lt1"/>
                </a:solidFill>
              </a:ln>
              <a:effectLst/>
            </c:spPr>
          </c:dPt>
          <c:dPt>
            <c:idx val="10"/>
            <c:bubble3D val="0"/>
            <c:spPr>
              <a:solidFill>
                <a:schemeClr val="accent3">
                  <a:lumMod val="80000"/>
                </a:schemeClr>
              </a:solidFill>
              <a:ln w="12700">
                <a:solidFill>
                  <a:schemeClr val="lt1"/>
                </a:solidFill>
              </a:ln>
              <a:effectLst/>
            </c:spPr>
          </c:dPt>
          <c:dPt>
            <c:idx val="11"/>
            <c:bubble3D val="0"/>
            <c:spPr>
              <a:solidFill>
                <a:schemeClr val="accent5">
                  <a:lumMod val="80000"/>
                </a:schemeClr>
              </a:solidFill>
              <a:ln w="12700">
                <a:solidFill>
                  <a:schemeClr val="lt1"/>
                </a:solidFill>
              </a:ln>
              <a:effectLst/>
            </c:spPr>
          </c:dPt>
          <c:dPt>
            <c:idx val="12"/>
            <c:bubble3D val="0"/>
            <c:spPr>
              <a:solidFill>
                <a:schemeClr val="accent1">
                  <a:lumMod val="60000"/>
                  <a:lumOff val="40000"/>
                </a:schemeClr>
              </a:solidFill>
              <a:ln w="12700">
                <a:solidFill>
                  <a:schemeClr val="lt1"/>
                </a:solidFill>
              </a:ln>
              <a:effectLst/>
            </c:spPr>
          </c:dPt>
          <c:dPt>
            <c:idx val="13"/>
            <c:bubble3D val="0"/>
            <c:spPr>
              <a:solidFill>
                <a:schemeClr val="accent3">
                  <a:lumMod val="60000"/>
                  <a:lumOff val="40000"/>
                </a:schemeClr>
              </a:solidFill>
              <a:ln w="12700">
                <a:solidFill>
                  <a:schemeClr val="lt1"/>
                </a:solidFill>
              </a:ln>
              <a:effectLst/>
            </c:spPr>
          </c:dPt>
          <c:dLbls>
            <c:dLbl>
              <c:idx val="0"/>
              <c:layout>
                <c:manualLayout>
                  <c:x val="0.0299145299145297"/>
                  <c:y val="-0.0178507675830061"/>
                </c:manualLayout>
              </c:layout>
              <c:dLblPos val="bestFit"/>
              <c:showLegendKey val="0"/>
              <c:showVal val="1"/>
              <c:showCatName val="1"/>
              <c:showSerName val="0"/>
              <c:showPercent val="1"/>
              <c:showBubbleSize val="0"/>
              <c:extLst>
                <c:ext xmlns:c15="http://schemas.microsoft.com/office/drawing/2012/chart" uri="{CE6537A1-D6FC-4f65-9D91-7224C49458BB}"/>
              </c:extLst>
            </c:dLbl>
            <c:dLbl>
              <c:idx val="1"/>
              <c:layout>
                <c:manualLayout>
                  <c:x val="0.0491452991452991"/>
                  <c:y val="0.00357015351660121"/>
                </c:manualLayout>
              </c:layout>
              <c:dLblPos val="bestFit"/>
              <c:showLegendKey val="0"/>
              <c:showVal val="1"/>
              <c:showCatName val="1"/>
              <c:showSerName val="0"/>
              <c:showPercent val="1"/>
              <c:showBubbleSize val="0"/>
              <c:extLst>
                <c:ext xmlns:c15="http://schemas.microsoft.com/office/drawing/2012/chart" uri="{CE6537A1-D6FC-4f65-9D91-7224C49458BB}"/>
              </c:extLst>
            </c:dLbl>
            <c:dLbl>
              <c:idx val="2"/>
              <c:layout>
                <c:manualLayout>
                  <c:x val="0.0363247863247863"/>
                  <c:y val="-0.0107104605498036"/>
                </c:manualLayout>
              </c:layout>
              <c:dLblPos val="bestFit"/>
              <c:showLegendKey val="0"/>
              <c:showVal val="1"/>
              <c:showCatName val="1"/>
              <c:showSerName val="0"/>
              <c:showPercent val="1"/>
              <c:showBubbleSize val="0"/>
              <c:extLst>
                <c:ext xmlns:c15="http://schemas.microsoft.com/office/drawing/2012/chart" uri="{CE6537A1-D6FC-4f65-9D91-7224C49458BB}"/>
              </c:extLst>
            </c:dLbl>
            <c:dLbl>
              <c:idx val="3"/>
              <c:layout>
                <c:manualLayout>
                  <c:x val="0.0534188034188034"/>
                  <c:y val="-6.54520583632589E-17"/>
                </c:manualLayout>
              </c:layout>
              <c:dLblPos val="bestFit"/>
              <c:showLegendKey val="0"/>
              <c:showVal val="1"/>
              <c:showCatName val="1"/>
              <c:showSerName val="0"/>
              <c:showPercent val="1"/>
              <c:showBubbleSize val="0"/>
              <c:extLst>
                <c:ext xmlns:c15="http://schemas.microsoft.com/office/drawing/2012/chart" uri="{CE6537A1-D6FC-4f65-9D91-7224C49458BB}"/>
              </c:extLst>
            </c:dLbl>
            <c:dLbl>
              <c:idx val="4"/>
              <c:layout>
                <c:manualLayout>
                  <c:x val="0.0405982905982906"/>
                  <c:y val="0.0178507675830061"/>
                </c:manualLayout>
              </c:layout>
              <c:dLblPos val="bestFit"/>
              <c:showLegendKey val="0"/>
              <c:showVal val="1"/>
              <c:showCatName val="1"/>
              <c:showSerName val="0"/>
              <c:showPercent val="1"/>
              <c:showBubbleSize val="0"/>
              <c:extLst>
                <c:ext xmlns:c15="http://schemas.microsoft.com/office/drawing/2012/chart" uri="{CE6537A1-D6FC-4f65-9D91-7224C49458BB}"/>
              </c:extLst>
            </c:dLbl>
            <c:dLbl>
              <c:idx val="5"/>
              <c:layout>
                <c:manualLayout>
                  <c:x val="0.0277777777777778"/>
                  <c:y val="-1.30904116726518E-16"/>
                </c:manualLayout>
              </c:layout>
              <c:dLblPos val="bestFit"/>
              <c:showLegendKey val="0"/>
              <c:showVal val="1"/>
              <c:showCatName val="1"/>
              <c:showSerName val="0"/>
              <c:showPercent val="1"/>
              <c:showBubbleSize val="0"/>
              <c:extLst>
                <c:ext xmlns:c15="http://schemas.microsoft.com/office/drawing/2012/chart" uri="{CE6537A1-D6FC-4f65-9D91-7224C49458BB}"/>
              </c:extLst>
            </c:dLbl>
            <c:dLbl>
              <c:idx val="6"/>
              <c:layout>
                <c:manualLayout>
                  <c:x val="0.0491452991452991"/>
                  <c:y val="0.0"/>
                </c:manualLayout>
              </c:layout>
              <c:dLblPos val="bestFit"/>
              <c:showLegendKey val="0"/>
              <c:showVal val="1"/>
              <c:showCatName val="1"/>
              <c:showSerName val="0"/>
              <c:showPercent val="1"/>
              <c:showBubbleSize val="0"/>
              <c:extLst>
                <c:ext xmlns:c15="http://schemas.microsoft.com/office/drawing/2012/chart" uri="{CE6537A1-D6FC-4f65-9D91-7224C49458BB}"/>
              </c:extLst>
            </c:dLbl>
            <c:dLbl>
              <c:idx val="7"/>
              <c:layout>
                <c:manualLayout>
                  <c:x val="0.0512820512820513"/>
                  <c:y val="-0.00357015351660121"/>
                </c:manualLayout>
              </c:layout>
              <c:dLblPos val="bestFit"/>
              <c:showLegendKey val="0"/>
              <c:showVal val="1"/>
              <c:showCatName val="1"/>
              <c:showSerName val="0"/>
              <c:showPercent val="1"/>
              <c:showBubbleSize val="0"/>
              <c:extLst>
                <c:ext xmlns:c15="http://schemas.microsoft.com/office/drawing/2012/chart" uri="{CE6537A1-D6FC-4f65-9D91-7224C49458BB}"/>
              </c:extLst>
            </c:dLbl>
            <c:dLbl>
              <c:idx val="8"/>
              <c:layout>
                <c:manualLayout>
                  <c:x val="-0.047008547008547"/>
                  <c:y val="0.0107104605498036"/>
                </c:manualLayout>
              </c:layout>
              <c:dLblPos val="bestFit"/>
              <c:showLegendKey val="0"/>
              <c:showVal val="1"/>
              <c:showCatName val="1"/>
              <c:showSerName val="0"/>
              <c:showPercent val="1"/>
              <c:showBubbleSize val="0"/>
              <c:extLst>
                <c:ext xmlns:c15="http://schemas.microsoft.com/office/drawing/2012/chart" uri="{CE6537A1-D6FC-4f65-9D91-7224C49458BB}"/>
              </c:extLst>
            </c:dLbl>
            <c:dLbl>
              <c:idx val="9"/>
              <c:layout>
                <c:manualLayout>
                  <c:x val="-0.0491452991452991"/>
                  <c:y val="0.0214209210996073"/>
                </c:manualLayout>
              </c:layout>
              <c:dLblPos val="bestFit"/>
              <c:showLegendKey val="0"/>
              <c:showVal val="1"/>
              <c:showCatName val="1"/>
              <c:showSerName val="0"/>
              <c:showPercent val="1"/>
              <c:showBubbleSize val="0"/>
              <c:extLst>
                <c:ext xmlns:c15="http://schemas.microsoft.com/office/drawing/2012/chart" uri="{CE6537A1-D6FC-4f65-9D91-7224C49458BB}"/>
              </c:extLst>
            </c:dLbl>
            <c:dLbl>
              <c:idx val="10"/>
              <c:layout>
                <c:manualLayout>
                  <c:x val="-0.0341880341880342"/>
                  <c:y val="0.0"/>
                </c:manualLayout>
              </c:layout>
              <c:dLblPos val="bestFit"/>
              <c:showLegendKey val="0"/>
              <c:showVal val="1"/>
              <c:showCatName val="1"/>
              <c:showSerName val="0"/>
              <c:showPercent val="1"/>
              <c:showBubbleSize val="0"/>
              <c:extLst>
                <c:ext xmlns:c15="http://schemas.microsoft.com/office/drawing/2012/chart" uri="{CE6537A1-D6FC-4f65-9D91-7224C49458BB}"/>
              </c:extLst>
            </c:dLbl>
            <c:dLbl>
              <c:idx val="11"/>
              <c:layout>
                <c:manualLayout>
                  <c:x val="-0.0256410256410256"/>
                  <c:y val="-0.00357015351660121"/>
                </c:manualLayout>
              </c:layout>
              <c:dLblPos val="bestFit"/>
              <c:showLegendKey val="0"/>
              <c:showVal val="1"/>
              <c:showCatName val="1"/>
              <c:showSerName val="0"/>
              <c:showPercent val="1"/>
              <c:showBubbleSize val="0"/>
              <c:extLst>
                <c:ext xmlns:c15="http://schemas.microsoft.com/office/drawing/2012/chart" uri="{CE6537A1-D6FC-4f65-9D91-7224C49458BB}"/>
              </c:extLst>
            </c:dLbl>
            <c:dLbl>
              <c:idx val="12"/>
              <c:layout>
                <c:manualLayout>
                  <c:x val="-0.0555555555555556"/>
                  <c:y val="0.017850767583006"/>
                </c:manualLayout>
              </c:layout>
              <c:dLblPos val="bestFit"/>
              <c:showLegendKey val="0"/>
              <c:showVal val="1"/>
              <c:showCatName val="1"/>
              <c:showSerName val="0"/>
              <c:showPercent val="1"/>
              <c:showBubbleSize val="0"/>
              <c:extLst>
                <c:ext xmlns:c15="http://schemas.microsoft.com/office/drawing/2012/chart" uri="{CE6537A1-D6FC-4f65-9D91-7224C49458BB}"/>
              </c:extLst>
            </c:dLbl>
            <c:dLbl>
              <c:idx val="13"/>
              <c:layout>
                <c:manualLayout>
                  <c:x val="0.061965811965812"/>
                  <c:y val="0.0214209210996073"/>
                </c:manualLayout>
              </c:layout>
              <c:dLblPos val="bestFit"/>
              <c:showLegendKey val="0"/>
              <c:showVal val="1"/>
              <c:showCatName val="1"/>
              <c:showSerName val="0"/>
              <c:showPercent val="1"/>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Sheet1!$A$41:$A$54</c:f>
              <c:strCache>
                <c:ptCount val="14"/>
                <c:pt idx="0">
                  <c:v>Automotive - Parts &amp; Accessories</c:v>
                </c:pt>
                <c:pt idx="1">
                  <c:v>Footwear</c:v>
                </c:pt>
                <c:pt idx="2">
                  <c:v>Pets</c:v>
                </c:pt>
                <c:pt idx="3">
                  <c:v>Travel - OTA</c:v>
                </c:pt>
                <c:pt idx="4">
                  <c:v>Food / Beverage / Drug</c:v>
                </c:pt>
                <c:pt idx="5">
                  <c:v>Hardware / Home Appliance Electronics</c:v>
                </c:pt>
                <c:pt idx="6">
                  <c:v>Hardware / Home Improvement</c:v>
                </c:pt>
                <c:pt idx="7">
                  <c:v>Home Improvement/Furnishings</c:v>
                </c:pt>
                <c:pt idx="8">
                  <c:v>Sporting Goods / Outdoors</c:v>
                </c:pt>
                <c:pt idx="9">
                  <c:v>CPG (Consumer Packaged Goods)</c:v>
                </c:pt>
                <c:pt idx="10">
                  <c:v>Mass Merchant / Department Store</c:v>
                </c:pt>
                <c:pt idx="11">
                  <c:v>Consumer Electronics</c:v>
                </c:pt>
                <c:pt idx="12">
                  <c:v>Health / Beauty</c:v>
                </c:pt>
                <c:pt idx="13">
                  <c:v>Apparel / Accessories</c:v>
                </c:pt>
              </c:strCache>
            </c:strRef>
          </c:cat>
          <c:val>
            <c:numRef>
              <c:f>Sheet1!$B$41:$B$54</c:f>
              <c:numCache>
                <c:formatCode>General</c:formatCode>
                <c:ptCount val="14"/>
                <c:pt idx="0">
                  <c:v>10.0</c:v>
                </c:pt>
                <c:pt idx="1">
                  <c:v>10.0</c:v>
                </c:pt>
                <c:pt idx="2">
                  <c:v>10.0</c:v>
                </c:pt>
                <c:pt idx="3">
                  <c:v>10.0</c:v>
                </c:pt>
                <c:pt idx="4">
                  <c:v>12.0</c:v>
                </c:pt>
                <c:pt idx="5">
                  <c:v>16.0</c:v>
                </c:pt>
                <c:pt idx="6">
                  <c:v>22.0</c:v>
                </c:pt>
                <c:pt idx="7">
                  <c:v>22.0</c:v>
                </c:pt>
                <c:pt idx="8">
                  <c:v>23.0</c:v>
                </c:pt>
                <c:pt idx="9">
                  <c:v>24.0</c:v>
                </c:pt>
                <c:pt idx="10">
                  <c:v>32.0</c:v>
                </c:pt>
                <c:pt idx="11">
                  <c:v>40.0</c:v>
                </c:pt>
                <c:pt idx="12">
                  <c:v>40.0</c:v>
                </c:pt>
                <c:pt idx="13">
                  <c:v>51.0</c:v>
                </c:pt>
              </c:numCache>
            </c:numRef>
          </c:val>
        </c:ser>
        <c:dLbls>
          <c:showLegendKey val="0"/>
          <c:showVal val="1"/>
          <c:showCatName val="0"/>
          <c:showSerName val="0"/>
          <c:showPercent val="0"/>
          <c:showBubbleSize val="0"/>
          <c:showLeaderLines val="1"/>
        </c:dLbls>
        <c:firstSliceAng val="53"/>
      </c:pieChart>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rocIeOfJE5YwieEy3bx/xBvUWvA==">AMUW2mUU2PM7EY1kkBjmbBfE0NaZqh8bsW2wWiTGqd/nhvyYwMdPh15AiM4gizD8HsKXDN86aZNNujeg0eP6Ndt7Ohg8nOpDIxnicnXAJ1mkl+C63Ge1mBgvxxHHNxn0pdXnGfCZUrdRrMSsegIAenmjzcpRO9cQgVQu9IOMVmRsHZ3Djrt7sA4Kv3CQq9JTDEbrkLW1pKim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2016-05-25T16:46:00Z</dcterms:created>
  <dc:creator>Todd Greenbaum</dc:creator>
</cp:coreProperties>
</file>