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62d018ac724469f756a36112f22112b4259d0e"/>
    <w:p>
      <w:pPr>
        <w:pStyle w:val="Heading1"/>
      </w:pPr>
      <w:r>
        <w:t xml:space="preserve">Matriz de rastreabilidade — módulo de Vendas (CDU02)</w:t>
      </w:r>
    </w:p>
    <w:p>
      <w:pPr>
        <w:pStyle w:val="BlockText"/>
      </w:pPr>
      <w:r>
        <w:rPr>
          <w:b/>
          <w:bCs/>
        </w:rPr>
        <w:t xml:space="preserve">Gerada automaticamente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docs:matriz</w:t>
      </w:r>
      <w:r>
        <w:t xml:space="preserve">) a partir dos títulos dos testes em</w:t>
      </w:r>
      <w:r>
        <w:t xml:space="preserve"> </w:t>
      </w:r>
      <w:r>
        <w:rPr>
          <w:rStyle w:val="VerbatimChar"/>
        </w:rPr>
        <w:t xml:space="preserve">cypress/e2e/vendas/*.cy.js</w:t>
      </w:r>
      <w:r>
        <w:t xml:space="preserve">; cada título termina com os requisitos que ele cobre. Se mudar um teste, rode o comando de novo.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DRS_LES_2_2026</w:t>
      </w:r>
      <w:r>
        <w:t xml:space="preserve"> </w:t>
      </w:r>
      <w:r>
        <w:t xml:space="preserve">v0.6 ·</w:t>
      </w:r>
      <w:r>
        <w:t xml:space="preserve"> </w:t>
      </w:r>
      <w:r>
        <w:rPr>
          <w:b/>
          <w:bCs/>
        </w:rPr>
        <w:t xml:space="preserve">36 testes automatizados Cypress</w:t>
      </w:r>
      <w:r>
        <w:t xml:space="preserve"> </w:t>
      </w:r>
      <w:r>
        <w:t xml:space="preserve">(26 dedicados, um por requisito do escopo de Vendas + 10 etapas do caso de uso completo) + testes de integração JUnit da API (</w:t>
      </w:r>
      <w:r>
        <w:rPr>
          <w:rStyle w:val="VerbatimChar"/>
        </w:rPr>
        <w:t xml:space="preserve">backend/src/test</w:t>
      </w:r>
      <w:r>
        <w:t xml:space="preserve">).</w:t>
      </w:r>
    </w:p>
    <w:bookmarkStart w:id="20" w:name="requisito-testes"/>
    <w:p>
      <w:pPr>
        <w:pStyle w:val="Heading2"/>
      </w:pPr>
      <w:r>
        <w:t xml:space="preserve">1. Requisito → testes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335"/>
        <w:gridCol w:w="2672"/>
        <w:gridCol w:w="2290"/>
        <w:gridCol w:w="3340"/>
      </w:tblGrid>
      <w:tr>
        <w:trPr>
          <w:tblHeader w:val="true"/>
          <w:tblHeader/>
          <w:cantSplit/>
        </w:trPr>
        <w:tc>
          <w:tcPr>
            <w:tcW w:w="133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Requisito</w:t>
            </w:r>
          </w:p>
        </w:tc>
        <w:tc>
          <w:tcPr>
            <w:tcW w:w="26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Descrição (DRS)</w:t>
            </w:r>
          </w:p>
        </w:tc>
        <w:tc>
          <w:tcPr>
            <w:tcW w:w="229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Teste dedicado (nº)</w:t>
            </w:r>
          </w:p>
        </w:tc>
        <w:tc>
          <w:tcPr>
            <w:tcW w:w="334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RF0031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Gerenciar carrinho de compra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Definir quantidade de itens no carrinho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RF0033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Realizar compra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RF0034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 frete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 (frete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fixo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R$ 24,90 — decisão do grupo, ver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docs/JUSTIFICATIVA_FRETE.md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RF0035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Selecionar endereço de entrega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RF0036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Selecionar forma de pagamento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RF0037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Uso de cupom para pagamento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RF0038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Finalizar compra (EM PROCESSAMENTO)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RF0039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Despachar produtos para entrega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RF0040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Produtos entregues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RF0041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Solicitar troca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Autorizar trocas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RF0043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Visualização de trocas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18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RF0044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Confirmar recebimento de itens para troca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RF0045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Gerar cupom de troca após recebimento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RF0053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Dar baixa em estoque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RF0054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Realizar reentrada em estoque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RN0031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 estoque para adição de itens no carrinho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 estoque para compra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RN0033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Uso de cupom promocional (um por compra)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32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RN0034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Uso de diversos cartões (mínimo R$ 10,00 cada)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33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RN0035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Cupons junto a cartão (dispensa o mínimo)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34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RN0036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Gerar cupom de troca (troco)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35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RN0037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 forma de pagamento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36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RN0038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 APROVADA/REPROVADA conforme pagamento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RN0039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 EM TRANSPORTE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RN0040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 ENTREGUE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RN0041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Gerar pedido de troca (EM TROCA)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Status TROCADO após recebimento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RN0043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Só itens ENTREGUES podem ser trocados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17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RN0044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Bloqueio de produtos no carrinho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RN0045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Retirar item do carrinho ao desbloquear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RN0046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Notificação de autorização de troca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RNF0042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Apresentar itens retirados do carrinho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Coberto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RNF0012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Log de transação (escrita)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Implementado (aspecto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LogDeEscritaAspect</w:t>
            </w:r>
            <w:r>
              <w:rPr>
                <w:sz w:val="19"/>
              </w:rPr>
              <w:t xml:space="preserve">); verificação manual no log do backend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RNF0011</w:t>
            </w:r>
          </w:p>
        </w:tc>
        <w:tc>
          <w:tcPr>
            <w:tcW w:w="267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Tempo de resposta (consultas)</w:t>
            </w:r>
          </w:p>
        </w:tc>
        <w:tc>
          <w:tcPr>
            <w:tcW w:w="229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340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avaliado automaticamente (sem teste de desempenho)</w:t>
            </w:r>
          </w:p>
        </w:tc>
      </w:tr>
    </w:tbl>
    <w:p>
      <w:pPr>
        <w:pStyle w:val="BlockText"/>
      </w:pPr>
      <w:r>
        <w:t xml:space="preserve">A coluna "Teste dedicado" mostra o teste que existe só para aquele requisito. O arquivo</w:t>
      </w:r>
      <w:r>
        <w:t xml:space="preserve"> </w:t>
      </w:r>
      <w:r>
        <w:rPr>
          <w:rStyle w:val="VerbatimChar"/>
        </w:rPr>
        <w:t xml:space="preserve">06-caso-de-uso-completo.cy.js</w:t>
      </w:r>
      <w:r>
        <w:t xml:space="preserve"> </w:t>
      </w:r>
      <w:r>
        <w:t xml:space="preserve">(</w:t>
      </w:r>
      <w:r>
        <w:rPr>
          <w:b/>
          <w:bCs/>
        </w:rPr>
        <w:t xml:space="preserve">testes 22 a 31</w:t>
      </w:r>
      <w:r>
        <w:t xml:space="preserve">, sequenciais) percorre o caso de uso inteiro pela interface — do carrinho à troca e ao uso do cupom — e exercita 24 requisitos (RF0031, RF0032, RF0033, RF0034, RF0035, RF0036, RF0037, RF0038, RF0039, RF0040, RF0041, RF0042, RF0043, RF0044, RF0045, RF0053, RF0054, RN0038, RN0039, RN0040, RN0041, RN0042, RN0044, RN0046); é o arquivo para rodar ao vivo na apresentação. Como segue só o caminho feliz,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os dedicados: ficam de fora dele RN0031, RN0032, RN0033, RN0034, RN0035, RN0036, RN0037, RN0043, RN0045 (e o ramo REPROVADA da RN0038).</w:t>
      </w:r>
    </w:p>
    <w:bookmarkEnd w:id="20"/>
    <w:bookmarkStart w:id="21" w:name="caso-de-teste-requisitos"/>
    <w:p>
      <w:pPr>
        <w:pStyle w:val="Heading2"/>
      </w:pPr>
      <w:r>
        <w:t xml:space="preserve">2. Caso de teste → requisitos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578"/>
        <w:gridCol w:w="3759"/>
        <w:gridCol w:w="1734"/>
        <w:gridCol w:w="3566"/>
      </w:tblGrid>
      <w:tr>
        <w:trPr>
          <w:tblHeader w:val="true"/>
          <w:tblHeader/>
          <w:cantSplit/>
        </w:trPr>
        <w:tc>
          <w:tcPr>
            <w:tcW w:w="57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Nº</w:t>
            </w:r>
          </w:p>
        </w:tc>
        <w:tc>
          <w:tcPr>
            <w:tcW w:w="37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Título</w:t>
            </w:r>
          </w:p>
        </w:tc>
        <w:tc>
          <w:tcPr>
            <w:tcW w:w="17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Requisitos</w:t>
            </w:r>
          </w:p>
        </w:tc>
        <w:tc>
          <w:tcPr>
            <w:tcW w:w="356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Arquivo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gerenciar o carrinho: listar os produtos, adicionar, visualizar e excluir itens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RF0031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01-carrinho.cy.js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definir a quantidade ao adicionar o produto e alterá-la no carrinho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RF0032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01-carrinho.cy.js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deve permitir adicionar item indisponível nem mais itens do que o estoque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RN0031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01-carrinho.cy.js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bloquear os itens do carrinho por um prazo, indisponíveis para outros clientes, com aviso 5 minutos antes de expirar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RN0044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02-bloqueio-carrinho.cy.js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retirar os itens do carrinho ao expirar o bloqueio, apresentá-los como retirados e desabilitar a compra até adicioná-los de novo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RN0045, RNF0042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02-bloqueio-carrinho.cy.js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realizar a compra a partir do carrinho e finalizá-la com o pedido EM PROCESSAMENTO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RF0033, RF0038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calcular o frete e somá-lo ao total da compra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RF0034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cadastrar um novo endereço de entrega durante a compra e incorporá-lo ao perfil do cliente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RF0035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cadastrar um novo cartão de crédito durante a compra e incorporá-lo ao perfil do cliente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RF0036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pagar com um cupom promocional e completar com cartão de crédito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RF0037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ajustar a quantidade ou remover o item indisponível, com alerta, se o estoque mudar antes da finalização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RN0032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03-checkout-pagamento.cy.js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aprovar o pedido (APROVADA) quando o pagamento é validado e reprová-lo (REPROVADA) quando a operadora o recusa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RN0038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04-aprovacao-despacho-entrega.cy.js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dar baixa em estoque somente quando o pagamento é aprovado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RF0053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04-aprovacao-despacho-entrega.cy.js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despachar o pedido aprovado, passando-o a EM TRANSPORTE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RF0039, RN0039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04-aprovacao-despacho-entrega.cy.js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confirmar a entrega, passando o pedido a ENTREGUE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RF0040, RN0040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04-aprovacao-despacho-entrega.cy.js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solicitar a troca de um item, passando o pedido a EM TROCA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RF0041, RN0041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17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deve permitir solicitar troca de itens de pedidos que não estejam ENTREGUES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RN0043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18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visualizar as solicitações de troca com cliente, itens e motivo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RF0043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autorizar a troca (TROCA AUTORIZADA) e notificar o cliente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RF0042, RN0046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confirmar o recebimento com retorno ao estoque: pedido TROCADO e item de volta ao estoque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RF0044, RF0054, RN0042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gerar um cupom de troca no valor dos itens trocados, disponível ao cliente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RF0045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05-troca.cy.js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22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montar o carrinho com 2 headsets e 1 teclado, com os itens bloqueados por 30 minutos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RF0031, RF0032, RN0044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23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escolher o endereço, pagar com cupom promocional e cartão, ver o frete somado ao total e finalizar a compra com o pedido EM PROCESSAMENTO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RF0033, RF0034, RF0035, RF0036, RF0037, RF0038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24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validar o pagamento, aprovando o pedido (APROVADA) e dando baixa em estoque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RF0053, RN0038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despachar o pedido aprovado, passando-o a EM TRANSPORTE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RF0039, RN0039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26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confirmar a entrega, passando o pedido a ENTREGUE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RF0040, RN0040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27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solicitar a troca de 1 headset do pedido entregue, passando-o a EM TROCA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RF0041, RN0041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28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visualizar a solicitação de troca e autorizá-la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RF0042, RF0043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exibir ao cliente a notificação de que a troca foi autorizada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RN0046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confirmar o recebimento, devolvendo o item ao estoque, gerando o cupom de troca e passando o pedido a TROCADO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RF0044, RF0045, RF0054, RN0042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31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exibir o cupom de troca ao cliente e permitir usá-lo numa nova compra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RF0037, RF0045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06-caso-de-uso-completo.cy.js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32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deve aceitar dois cupons promocionais na mesma compra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RN0033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07-regras-de-negocio-api.cy.js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33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exigir ao menos R$ 10,00 em cada cartão quando há mais de um cartão e nenhum cupom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RN0034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07-regras-de-negocio-api.cy.js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34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permitir que o cartão pague menos de R$ 10,00 quando combinado com cupom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RN0035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07-regras-de-negocio-api.cy.js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35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 deve permitir cupons desnecessários e deve gerar um cupom de troco quando o cupom supera a compra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RN0036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07-regras-de-negocio-api.cy.js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36</w:t>
            </w:r>
          </w:p>
        </w:tc>
        <w:tc>
          <w:tcPr>
            <w:tcW w:w="3759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deve validar a forma de pagamento, recusando um cupom já utilizado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RN0037</w:t>
            </w:r>
          </w:p>
        </w:tc>
        <w:tc>
          <w:tcPr>
            <w:tcW w:w="3566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07-regras-de-negocio-api.cy.js</w:t>
            </w:r>
          </w:p>
        </w:tc>
      </w:tr>
    </w:tbl>
    <w:bookmarkEnd w:id="21"/>
    <w:bookmarkStart w:id="22" w:name="lacunas-conhecidas"/>
    <w:p>
      <w:pPr>
        <w:pStyle w:val="Heading2"/>
      </w:pPr>
      <w:r>
        <w:t xml:space="preserve">3. Lacunas conhecidas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RNF0011</w:t>
      </w:r>
      <w:r>
        <w:t xml:space="preserve"> </w:t>
      </w:r>
      <w:r>
        <w:t xml:space="preserve">(consulta em até 1 s): não há teste de desempenho para Vendas (no módulo de Clientes existe o teste 18, que mede a consulta do front).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RNF0012</w:t>
      </w:r>
      <w:r>
        <w:t xml:space="preserve"> </w:t>
      </w:r>
      <w:r>
        <w:t xml:space="preserve">(log de escrita): implementado por aspecto e visível no terminal do backend (</w:t>
      </w:r>
      <w:r>
        <w:rPr>
          <w:rStyle w:val="VerbatimChar"/>
        </w:rPr>
        <w:t xml:space="preserve">OPERACOES_DE_ESCRITA</w:t>
      </w:r>
      <w:r>
        <w:t xml:space="preserve">); não há asserção automatizada.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RF0034</w:t>
      </w:r>
      <w:r>
        <w:t xml:space="preserve"> </w:t>
      </w:r>
      <w:r>
        <w:t xml:space="preserve">(frete): valor fixo (decisão do grupo, justificada em</w:t>
      </w:r>
      <w:r>
        <w:t xml:space="preserve"> </w:t>
      </w:r>
      <w:r>
        <w:rPr>
          <w:rStyle w:val="VerbatimChar"/>
        </w:rPr>
        <w:t xml:space="preserve">docs/JUSTIFICATIVA_FRETE.md</w:t>
      </w:r>
      <w:r>
        <w:t xml:space="preserve">); o DRS pede cálculo "com base nos itens e no endereço" mas não define a fórmula.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Cenários extras fora da suíte Cypress enxuta:</w:t>
      </w:r>
      <w:r>
        <w:t xml:space="preserve"> </w:t>
      </w:r>
      <w:r>
        <w:t xml:space="preserve">a suíte tem um teste dedicado por requisito do DRS. Caminhos adicionais (recusa de troca com motivo — caminho assumido, não está no DRS —, expiração com a tela aberta, dispensar item expirado, validações de formulário…) não têm teste Cypress; vários seguem cobertos pelos testes de integração JUnit (</w:t>
      </w:r>
      <w:r>
        <w:rPr>
          <w:rStyle w:val="VerbatimChar"/>
        </w:rPr>
        <w:t xml:space="preserve">npm run test:backend</w:t>
      </w:r>
      <w:r>
        <w:t xml:space="preserve">), por exemplo troca recusada, bloqueio entre clientes e expiração sem o job.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RNF0033</w:t>
      </w:r>
      <w:r>
        <w:t xml:space="preserve"> </w:t>
      </w:r>
      <w:r>
        <w:t xml:space="preserve">(senha criptografada) pertence ao módulo de Clientes e não é verificável pela interface.</w:t>
      </w:r>
    </w:p>
    <w:bookmarkEnd w:id="22"/>
    <w:bookmarkEnd w:id="23"/>
    <w:sectPr>
      <w:footerReference w:type="default" r:id="rId9"/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637"/>
      </w:tabs>
    </w:pPr>
    <w:r>
      <w:rPr>
        <w:color w:val="7F7F7F"/>
        <w:sz w:val="18"/>
      </w:rPr>
      <w:t>Hardware Store — Matriz de rastreabilidade</w:t>
      <w:tab/>
    </w:r>
    <w:r>
      <w:rPr>
        <w:color w:val="7F7F7F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b/>
      <w:bCs/>
      <w:i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9DB" w:space="8" w:sz="18" w:val="single"/>
      </w:pBdr>
      <w:shd w:color="auto" w:fill="F3F6FB" w:val="clear"/>
      <w:spacing w:after="120" w:before="100"/>
      <w:ind w:firstLine="0" w:left="283" w:right="480"/>
    </w:pPr>
    <w:rPr>
      <w:rFonts w:ascii="Calibri" w:cs="Calibri" w:eastAsia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120" w:before="80" w:line="240" w:lineRule="auto"/>
      <w:ind w:left="113"/>
    </w:pPr>
    <w:rPr>
      <w:rFonts w:ascii="Consolas" w:cs="Consolas" w:eastAsia="Consolas" w:hAnsi="Consolas"/>
      <w:color w:val="1E1E1E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2026-10-19T19:56:20Z</dcterms:created>
  <dcterms:modified xsi:type="dcterms:W3CDTF">2026-10-19T19:56:20Z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