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D4A017"/>
          <w:sz w:val="22"/>
        </w:rPr>
        <w:t>ANALYSTLAB AFRICA — DATA SCIENCE INTERNSHIP</w:t>
      </w:r>
    </w:p>
    <w:p>
      <w:pPr>
        <w:spacing w:after="100" w:line="252" w:lineRule="auto"/>
      </w:pPr>
      <w:r>
        <w:rPr>
          <w:b/>
          <w:i w:val="0"/>
          <w:sz w:val="19"/>
        </w:rPr>
        <w:t>FinTrust Digital Bank Project |  Batch E</w:t>
      </w:r>
    </w:p>
    <w:p>
      <w:pPr>
        <w:spacing w:after="100" w:line="252" w:lineRule="auto"/>
      </w:pPr>
      <w:r>
        <w:rPr>
          <w:b/>
          <w:i w:val="0"/>
          <w:sz w:val="19"/>
        </w:rPr>
        <w:t>Week 3 Submission - Model Development, Refinement &amp; Validation</w:t>
      </w:r>
    </w:p>
    <w:p>
      <w:r>
        <w:rPr>
          <w:b/>
          <w:color w:val="1F3B63"/>
          <w:sz w:val="36"/>
        </w:rPr>
        <w:t>Data Science Track: FinTrust Risk Review Predictive Model - Model Development &amp; Validation</w:t>
      </w:r>
    </w:p>
    <w:p>
      <w:pPr>
        <w:spacing w:after="100" w:line="252" w:lineRule="auto"/>
      </w:pPr>
      <w:r>
        <w:rPr>
          <w:b/>
          <w:i w:val="0"/>
          <w:sz w:val="19"/>
        </w:rPr>
        <w:t>Takudzwa Jeffrey Gumbo</w:t>
      </w:r>
    </w:p>
    <w:p>
      <w:pPr>
        <w:spacing w:after="100" w:line="252" w:lineRule="auto"/>
      </w:pPr>
      <w:r>
        <w:rPr>
          <w:b w:val="0"/>
          <w:i w:val="0"/>
          <w:sz w:val="19"/>
        </w:rPr>
        <w:t>Data Science Track |  AnalystLab Africa Experience Lab Internship Programme</w:t>
      </w:r>
    </w:p>
    <w:p>
      <w:pPr>
        <w:spacing w:after="100" w:line="252" w:lineRule="auto"/>
      </w:pPr>
      <w:r>
        <w:rPr>
          <w:b w:val="0"/>
          <w:i w:val="0"/>
          <w:sz w:val="19"/>
        </w:rPr>
        <w:t>Project: FinTrust Financial Intelligence &amp; Digital Banking Support Solution</w:t>
      </w:r>
    </w:p>
    <w:tbl>
      <w:tblPr>
        <w:tblW w:type="auto" w:w="0"/>
        <w:jc w:val="center"/>
        <w:tblLook w:firstColumn="1" w:firstRow="1" w:lastColumn="0" w:lastRow="0" w:noHBand="0" w:noVBand="1" w:val="04A0"/>
      </w:tblPr>
      <w:tblGrid>
        <w:gridCol w:w="4513"/>
        <w:gridCol w:w="4513"/>
      </w:tblGrid>
      <w:tr>
        <w:tc>
          <w:tcPr>
            <w:tcW w:type="dxa" w:w="2880"/>
            <w:vAlign w:val="center"/>
            <w:shd w:fill="1F3B63"/>
          </w:tcPr>
          <w:p>
            <w:r/>
            <w:r>
              <w:rPr>
                <w:b/>
                <w:color w:val="FFFFFF"/>
                <w:sz w:val="16"/>
              </w:rPr>
              <w:t>Document control</w:t>
            </w:r>
          </w:p>
        </w:tc>
        <w:tc>
          <w:tcPr>
            <w:tcW w:type="dxa" w:w="6912"/>
            <w:vAlign w:val="center"/>
            <w:shd w:fill="1F3B63"/>
          </w:tcPr>
          <w:p>
            <w:r/>
            <w:r>
              <w:rPr>
                <w:b/>
                <w:color w:val="FFFFFF"/>
                <w:sz w:val="16"/>
              </w:rPr>
              <w:t>Detail</w:t>
            </w:r>
          </w:p>
        </w:tc>
      </w:tr>
      <w:tr>
        <w:tc>
          <w:tcPr>
            <w:tcW w:type="dxa" w:w="2880"/>
            <w:vAlign w:val="center"/>
          </w:tcPr>
          <w:p>
            <w:r/>
            <w:r>
              <w:rPr>
                <w:b w:val="0"/>
                <w:sz w:val="16"/>
              </w:rPr>
              <w:t>Week</w:t>
            </w:r>
          </w:p>
        </w:tc>
        <w:tc>
          <w:tcPr>
            <w:tcW w:type="dxa" w:w="6912"/>
            <w:vAlign w:val="center"/>
          </w:tcPr>
          <w:p>
            <w:r/>
            <w:r>
              <w:rPr>
                <w:b w:val="0"/>
                <w:sz w:val="16"/>
              </w:rPr>
              <w:t>Week 3 - Model Development, Refinement &amp; Validation</w:t>
            </w:r>
          </w:p>
        </w:tc>
      </w:tr>
      <w:tr>
        <w:tc>
          <w:tcPr>
            <w:tcW w:type="dxa" w:w="2880"/>
            <w:vAlign w:val="center"/>
            <w:shd w:fill="F3F5F7"/>
          </w:tcPr>
          <w:p>
            <w:r/>
            <w:r>
              <w:rPr>
                <w:b w:val="0"/>
                <w:sz w:val="16"/>
              </w:rPr>
              <w:t>Track</w:t>
            </w:r>
          </w:p>
        </w:tc>
        <w:tc>
          <w:tcPr>
            <w:tcW w:type="dxa" w:w="6912"/>
            <w:vAlign w:val="center"/>
            <w:shd w:fill="F3F5F7"/>
          </w:tcPr>
          <w:p>
            <w:r/>
            <w:r>
              <w:rPr>
                <w:b w:val="0"/>
                <w:sz w:val="16"/>
              </w:rPr>
              <w:t>Data Science</w:t>
            </w:r>
          </w:p>
        </w:tc>
      </w:tr>
      <w:tr>
        <w:tc>
          <w:tcPr>
            <w:tcW w:type="dxa" w:w="2880"/>
            <w:vAlign w:val="center"/>
          </w:tcPr>
          <w:p>
            <w:r/>
            <w:r>
              <w:rPr>
                <w:b w:val="0"/>
                <w:sz w:val="16"/>
              </w:rPr>
              <w:t>Intern</w:t>
            </w:r>
          </w:p>
        </w:tc>
        <w:tc>
          <w:tcPr>
            <w:tcW w:type="dxa" w:w="6912"/>
            <w:vAlign w:val="center"/>
          </w:tcPr>
          <w:p>
            <w:r/>
            <w:r>
              <w:rPr>
                <w:b w:val="0"/>
                <w:sz w:val="16"/>
              </w:rPr>
              <w:t>Takudzwa Jeffrey Gumbo</w:t>
            </w:r>
          </w:p>
        </w:tc>
      </w:tr>
      <w:tr>
        <w:tc>
          <w:tcPr>
            <w:tcW w:type="dxa" w:w="2880"/>
            <w:vAlign w:val="center"/>
            <w:shd w:fill="F3F5F7"/>
          </w:tcPr>
          <w:p>
            <w:r/>
            <w:r>
              <w:rPr>
                <w:b w:val="0"/>
                <w:sz w:val="16"/>
              </w:rPr>
              <w:t>Project</w:t>
            </w:r>
          </w:p>
        </w:tc>
        <w:tc>
          <w:tcPr>
            <w:tcW w:type="dxa" w:w="6912"/>
            <w:vAlign w:val="center"/>
            <w:shd w:fill="F3F5F7"/>
          </w:tcPr>
          <w:p>
            <w:r/>
            <w:r>
              <w:rPr>
                <w:b w:val="0"/>
                <w:sz w:val="16"/>
              </w:rPr>
              <w:t>FinTrust Financial Intelligence &amp; Digital Banking Support Solution</w:t>
            </w:r>
          </w:p>
        </w:tc>
      </w:tr>
      <w:tr>
        <w:tc>
          <w:tcPr>
            <w:tcW w:type="dxa" w:w="2880"/>
            <w:vAlign w:val="center"/>
          </w:tcPr>
          <w:p>
            <w:r/>
            <w:r>
              <w:rPr>
                <w:b w:val="0"/>
                <w:sz w:val="16"/>
              </w:rPr>
              <w:t>Version</w:t>
            </w:r>
          </w:p>
        </w:tc>
        <w:tc>
          <w:tcPr>
            <w:tcW w:type="dxa" w:w="6912"/>
            <w:vAlign w:val="center"/>
          </w:tcPr>
          <w:p>
            <w:r/>
            <w:r>
              <w:rPr>
                <w:b w:val="0"/>
                <w:sz w:val="16"/>
              </w:rPr>
              <w:t>Final submission</w:t>
            </w:r>
          </w:p>
        </w:tc>
      </w:tr>
      <w:tr>
        <w:tc>
          <w:tcPr>
            <w:tcW w:type="dxa" w:w="2880"/>
            <w:vAlign w:val="center"/>
            <w:shd w:fill="F3F5F7"/>
          </w:tcPr>
          <w:p>
            <w:r/>
            <w:r>
              <w:rPr>
                <w:b w:val="0"/>
                <w:sz w:val="16"/>
              </w:rPr>
              <w:t>Date of Submission</w:t>
            </w:r>
          </w:p>
        </w:tc>
        <w:tc>
          <w:tcPr>
            <w:tcW w:type="dxa" w:w="6912"/>
            <w:vAlign w:val="center"/>
            <w:shd w:fill="F3F5F7"/>
          </w:tcPr>
          <w:p>
            <w:r/>
            <w:r>
              <w:rPr>
                <w:b w:val="0"/>
                <w:sz w:val="16"/>
              </w:rPr>
              <w:t>4 October 2026</w:t>
            </w:r>
          </w:p>
        </w:tc>
      </w:tr>
      <w:tr>
        <w:tc>
          <w:tcPr>
            <w:tcW w:type="dxa" w:w="2880"/>
            <w:vAlign w:val="center"/>
          </w:tcPr>
          <w:p>
            <w:r/>
            <w:r>
              <w:rPr>
                <w:b w:val="0"/>
                <w:sz w:val="16"/>
              </w:rPr>
              <w:t>Deadline</w:t>
            </w:r>
          </w:p>
        </w:tc>
        <w:tc>
          <w:tcPr>
            <w:tcW w:type="dxa" w:w="6912"/>
            <w:vAlign w:val="center"/>
          </w:tcPr>
          <w:p>
            <w:r/>
            <w:r>
              <w:rPr>
                <w:b w:val="0"/>
                <w:sz w:val="16"/>
              </w:rPr>
              <w:t>4 October 2026, 11:59 PM WAT</w:t>
            </w:r>
          </w:p>
        </w:tc>
      </w:tr>
      <w:tr>
        <w:tc>
          <w:tcPr>
            <w:tcW w:type="dxa" w:w="2880"/>
            <w:vAlign w:val="center"/>
            <w:shd w:fill="F3F5F7"/>
          </w:tcPr>
          <w:p>
            <w:r/>
            <w:r>
              <w:rPr>
                <w:b w:val="0"/>
                <w:sz w:val="16"/>
              </w:rPr>
              <w:t>Repository</w:t>
            </w:r>
          </w:p>
        </w:tc>
        <w:tc>
          <w:tcPr>
            <w:tcW w:type="dxa" w:w="6912"/>
            <w:vAlign w:val="center"/>
            <w:shd w:fill="F3F5F7"/>
          </w:tcPr>
          <w:p>
            <w:r/>
            <w:r>
              <w:rPr>
                <w:b w:val="0"/>
                <w:sz w:val="16"/>
              </w:rPr>
              <w:t>github.com/tgumbo07-ctrl/fintrust-risk-intelligence</w:t>
            </w:r>
          </w:p>
        </w:tc>
      </w:tr>
      <w:tr>
        <w:tc>
          <w:tcPr>
            <w:tcW w:type="dxa" w:w="2880"/>
            <w:vAlign w:val="center"/>
          </w:tcPr>
          <w:p>
            <w:r/>
            <w:r>
              <w:rPr>
                <w:b w:val="0"/>
                <w:sz w:val="16"/>
              </w:rPr>
              <w:t>Headline result</w:t>
            </w:r>
          </w:p>
        </w:tc>
        <w:tc>
          <w:tcPr>
            <w:tcW w:type="dxa" w:w="6912"/>
            <w:vAlign w:val="center"/>
          </w:tcPr>
          <w:p>
            <w:r/>
            <w:r>
              <w:rPr>
                <w:b w:val="0"/>
                <w:sz w:val="16"/>
              </w:rPr>
              <w:t>Refined logistic regression retained: validation ROC-AUC 0.683; recall 0.703 at threshold 0.4869</w:t>
            </w:r>
          </w:p>
        </w:tc>
      </w:tr>
      <w:tr>
        <w:tc>
          <w:tcPr>
            <w:tcW w:type="dxa" w:w="2880"/>
            <w:vAlign w:val="center"/>
            <w:shd w:fill="F3F5F7"/>
          </w:tcPr>
          <w:p>
            <w:r/>
            <w:r>
              <w:rPr>
                <w:b w:val="0"/>
                <w:sz w:val="16"/>
              </w:rPr>
              <w:t>Data status</w:t>
            </w:r>
          </w:p>
        </w:tc>
        <w:tc>
          <w:tcPr>
            <w:tcW w:type="dxa" w:w="6912"/>
            <w:vAlign w:val="center"/>
            <w:shd w:fill="F3F5F7"/>
          </w:tcPr>
          <w:p>
            <w:r/>
            <w:r>
              <w:rPr>
                <w:b w:val="0"/>
                <w:sz w:val="16"/>
              </w:rPr>
              <w:t>Entirely synthetic; test set untouched</w:t>
            </w:r>
          </w:p>
        </w:tc>
      </w:tr>
    </w:tbl>
    <w:p>
      <w:pPr>
        <w:spacing w:after="20"/>
      </w:pPr>
    </w:p>
    <w:p>
      <w:pPr>
        <w:spacing w:after="100" w:line="252" w:lineRule="auto"/>
      </w:pPr>
      <w:r>
        <w:rPr>
          <w:b/>
          <w:i w:val="0"/>
          <w:sz w:val="19"/>
        </w:rPr>
        <w:t>Responsible-use notice</w:t>
      </w:r>
    </w:p>
    <w:p>
      <w:pPr>
        <w:spacing w:after="100" w:line="252" w:lineRule="auto"/>
      </w:pPr>
      <w:r>
        <w:rPr>
          <w:b w:val="0"/>
          <w:i/>
          <w:sz w:val="19"/>
        </w:rPr>
        <w:t>This project uses entirely synthetic educational data. Risk_Review_Flag is a synthetic review-prioritisation label and must not be interpreted as real fraud detection, a fraud probability, or an automated basis for adverse customer action.</w:t>
      </w:r>
    </w:p>
    <w:p>
      <w:r>
        <w:rPr>
          <w:sz w:val="19"/>
        </w:rPr>
        <w:br w:type="page"/>
      </w:r>
    </w:p>
    <w:p>
      <w:pPr>
        <w:pStyle w:val="Heading1"/>
        <w:spacing w:before="200" w:after="100"/>
      </w:pPr>
      <w:r>
        <w:t>Contents</w:t>
      </w:r>
    </w:p>
    <w:p>
      <w:pPr>
        <w:spacing w:after="60" w:line="252" w:lineRule="auto"/>
      </w:pPr>
      <w:r>
        <w:rPr>
          <w:b w:val="0"/>
          <w:i w:val="0"/>
          <w:sz w:val="19"/>
        </w:rPr>
        <w:t>1.  Executive Summary</w:t>
      </w:r>
    </w:p>
    <w:p>
      <w:pPr>
        <w:spacing w:after="60" w:line="252" w:lineRule="auto"/>
      </w:pPr>
      <w:r>
        <w:rPr>
          <w:b w:val="0"/>
          <w:i w:val="0"/>
          <w:sz w:val="19"/>
        </w:rPr>
        <w:t>2.  Applying the Week 2 Plan</w:t>
      </w:r>
    </w:p>
    <w:p>
      <w:pPr>
        <w:spacing w:after="60" w:line="252" w:lineRule="auto"/>
      </w:pPr>
      <w:r>
        <w:rPr>
          <w:b w:val="0"/>
          <w:i w:val="0"/>
          <w:sz w:val="19"/>
        </w:rPr>
        <w:t>3.  Resources and Tools Used</w:t>
      </w:r>
    </w:p>
    <w:p>
      <w:pPr>
        <w:spacing w:after="60" w:line="252" w:lineRule="auto"/>
      </w:pPr>
      <w:r>
        <w:rPr>
          <w:b w:val="0"/>
          <w:i w:val="0"/>
          <w:sz w:val="19"/>
        </w:rPr>
        <w:t>4.  Part A — Baseline Model Review</w:t>
      </w:r>
    </w:p>
    <w:p>
      <w:pPr>
        <w:spacing w:after="60" w:line="252" w:lineRule="auto"/>
      </w:pPr>
      <w:r>
        <w:rPr>
          <w:b w:val="0"/>
          <w:i w:val="0"/>
          <w:sz w:val="19"/>
        </w:rPr>
        <w:t>5.  Part B — Additional Model Development</w:t>
      </w:r>
    </w:p>
    <w:p>
      <w:pPr>
        <w:spacing w:after="60" w:line="252" w:lineRule="auto"/>
      </w:pPr>
      <w:r>
        <w:rPr>
          <w:b w:val="0"/>
          <w:i w:val="0"/>
          <w:sz w:val="19"/>
        </w:rPr>
        <w:t>6.  Part C — Feature Refinement</w:t>
      </w:r>
    </w:p>
    <w:p>
      <w:pPr>
        <w:spacing w:after="60" w:line="252" w:lineRule="auto"/>
      </w:pPr>
      <w:r>
        <w:rPr>
          <w:b w:val="0"/>
          <w:i w:val="0"/>
          <w:sz w:val="19"/>
        </w:rPr>
        <w:t>7.  Part D — Model Comparison</w:t>
      </w:r>
    </w:p>
    <w:p>
      <w:pPr>
        <w:spacing w:after="60" w:line="252" w:lineRule="auto"/>
      </w:pPr>
      <w:r>
        <w:rPr>
          <w:b w:val="0"/>
          <w:i w:val="0"/>
          <w:sz w:val="19"/>
        </w:rPr>
        <w:t>8.  Part E — Error Analysis</w:t>
      </w:r>
    </w:p>
    <w:p>
      <w:pPr>
        <w:spacing w:after="60" w:line="252" w:lineRule="auto"/>
      </w:pPr>
      <w:r>
        <w:rPr>
          <w:b w:val="0"/>
          <w:i w:val="0"/>
          <w:sz w:val="19"/>
        </w:rPr>
        <w:t>9.  Part F — Model Interpretation</w:t>
      </w:r>
    </w:p>
    <w:p>
      <w:pPr>
        <w:spacing w:after="60" w:line="252" w:lineRule="auto"/>
      </w:pPr>
      <w:r>
        <w:rPr>
          <w:b w:val="0"/>
          <w:i w:val="0"/>
          <w:sz w:val="19"/>
        </w:rPr>
        <w:t>10. Part G — Candidate Final Model</w:t>
      </w:r>
    </w:p>
    <w:p>
      <w:pPr>
        <w:spacing w:after="60" w:line="252" w:lineRule="auto"/>
      </w:pPr>
      <w:r>
        <w:rPr>
          <w:b w:val="0"/>
          <w:i w:val="0"/>
          <w:sz w:val="19"/>
        </w:rPr>
        <w:t>11. Mandatory Validation Chain</w:t>
      </w:r>
    </w:p>
    <w:p>
      <w:pPr>
        <w:spacing w:after="60" w:line="252" w:lineRule="auto"/>
      </w:pPr>
      <w:r>
        <w:rPr>
          <w:b w:val="0"/>
          <w:i w:val="0"/>
          <w:sz w:val="19"/>
        </w:rPr>
        <w:t>12. Testing and Quality Assurance</w:t>
      </w:r>
    </w:p>
    <w:p>
      <w:pPr>
        <w:spacing w:after="60" w:line="252" w:lineRule="auto"/>
      </w:pPr>
      <w:r>
        <w:rPr>
          <w:b w:val="0"/>
          <w:i w:val="0"/>
          <w:sz w:val="19"/>
        </w:rPr>
        <w:t>13. Decision Log</w:t>
      </w:r>
    </w:p>
    <w:p>
      <w:pPr>
        <w:spacing w:after="60" w:line="252" w:lineRule="auto"/>
      </w:pPr>
      <w:r>
        <w:rPr>
          <w:b w:val="0"/>
          <w:i w:val="0"/>
          <w:sz w:val="19"/>
        </w:rPr>
        <w:t>14. Assumptions, Limitations and Risks — Week 2 Review</w:t>
      </w:r>
    </w:p>
    <w:p>
      <w:pPr>
        <w:spacing w:after="60" w:line="252" w:lineRule="auto"/>
      </w:pPr>
      <w:r>
        <w:rPr>
          <w:b w:val="0"/>
          <w:i w:val="0"/>
          <w:sz w:val="19"/>
        </w:rPr>
        <w:t>15. Week 3 Project Summary</w:t>
      </w:r>
    </w:p>
    <w:p>
      <w:pPr>
        <w:spacing w:after="60" w:line="252" w:lineRule="auto"/>
      </w:pPr>
      <w:r>
        <w:rPr>
          <w:b w:val="0"/>
          <w:i w:val="0"/>
          <w:sz w:val="19"/>
        </w:rPr>
        <w:t>16. Appendices</w:t>
      </w:r>
    </w:p>
    <w:p>
      <w:r>
        <w:rPr>
          <w:sz w:val="19"/>
        </w:rPr>
        <w:br w:type="page"/>
      </w:r>
    </w:p>
    <w:p>
      <w:pPr>
        <w:pStyle w:val="Heading1"/>
        <w:spacing w:before="200" w:after="100"/>
      </w:pPr>
      <w:r>
        <w:t>1. Executive Summary</w:t>
      </w:r>
    </w:p>
    <w:p>
      <w:pPr>
        <w:spacing w:after="100" w:line="252" w:lineRule="auto"/>
      </w:pPr>
      <w:r>
        <w:rPr>
          <w:b w:val="0"/>
          <w:i w:val="0"/>
          <w:sz w:val="19"/>
        </w:rPr>
        <w:t>Week 3 continues the same FinTrust modelling project rather than starting a new analysis. The central question was whether the performance ceiling observed in Weeks 1 and 2 was primarily a limitation of the Week 2 model specification or a limitation of the information available in the supplied synthetic data. The work therefore combined feature refinement, additional nonlinear model families, hyperparameter search, threshold evaluation, error analysis and model interpretation while preserving the original split and success criteria.</w:t>
      </w:r>
    </w:p>
    <w:p>
      <w:pPr>
        <w:spacing w:after="100" w:line="252" w:lineRule="auto"/>
      </w:pPr>
      <w:r>
        <w:rPr>
          <w:b w:val="0"/>
          <w:i w:val="0"/>
          <w:sz w:val="19"/>
        </w:rPr>
        <w:t>The headline finding is that greater model complexity did not materially improve discrimination. Feature refinement reduced the model from 24 to 16 raw inputs while preserving cross-validated performance and correcting the Week 2 coefficient-sign problem. Gradient Boosting, HistGradientBoosting and a tuned Random Forest were then evaluated as challengers. None met the pre-registered replacement rule, so the refined logistic regression is retained as the candidate final model for Week 4.</w:t>
      </w:r>
    </w:p>
    <w:tbl>
      <w:tblPr>
        <w:tblW w:type="auto" w:w="0"/>
        <w:jc w:val="center"/>
        <w:tblLook w:firstColumn="1" w:firstRow="1" w:lastColumn="0" w:lastRow="0" w:noHBand="0" w:noVBand="1" w:val="04A0"/>
      </w:tblPr>
      <w:tblGrid>
        <w:gridCol w:w="3009"/>
        <w:gridCol w:w="3009"/>
        <w:gridCol w:w="3009"/>
      </w:tblGrid>
      <w:tr>
        <w:tc>
          <w:tcPr>
            <w:tcW w:type="dxa" w:w="3744"/>
            <w:vAlign w:val="center"/>
            <w:shd w:fill="1F3B63"/>
          </w:tcPr>
          <w:p>
            <w:r/>
            <w:r>
              <w:rPr>
                <w:b/>
                <w:color w:val="FFFFFF"/>
                <w:sz w:val="16"/>
              </w:rPr>
              <w:t>Result</w:t>
            </w:r>
          </w:p>
        </w:tc>
        <w:tc>
          <w:tcPr>
            <w:tcW w:type="dxa" w:w="2592"/>
            <w:vAlign w:val="center"/>
            <w:shd w:fill="1F3B63"/>
          </w:tcPr>
          <w:p>
            <w:r/>
            <w:r>
              <w:rPr>
                <w:b/>
                <w:color w:val="FFFFFF"/>
                <w:sz w:val="16"/>
              </w:rPr>
              <w:t>Value</w:t>
            </w:r>
          </w:p>
        </w:tc>
        <w:tc>
          <w:tcPr>
            <w:tcW w:type="dxa" w:w="3456"/>
            <w:vAlign w:val="center"/>
            <w:shd w:fill="1F3B63"/>
          </w:tcPr>
          <w:p>
            <w:r/>
            <w:r>
              <w:rPr>
                <w:b/>
                <w:color w:val="FFFFFF"/>
                <w:sz w:val="16"/>
              </w:rPr>
              <w:t>Against project criterion</w:t>
            </w:r>
          </w:p>
        </w:tc>
      </w:tr>
      <w:tr>
        <w:tc>
          <w:tcPr>
            <w:tcW w:type="dxa" w:w="3744"/>
            <w:vAlign w:val="center"/>
          </w:tcPr>
          <w:p>
            <w:r/>
            <w:r>
              <w:rPr>
                <w:b w:val="0"/>
                <w:sz w:val="16"/>
              </w:rPr>
              <w:t>Refined logistic regression ROC-AUC (5-fold CV)</w:t>
            </w:r>
          </w:p>
        </w:tc>
        <w:tc>
          <w:tcPr>
            <w:tcW w:type="dxa" w:w="2592"/>
            <w:vAlign w:val="center"/>
          </w:tcPr>
          <w:p>
            <w:r/>
            <w:r>
              <w:rPr>
                <w:b w:val="0"/>
                <w:sz w:val="16"/>
              </w:rPr>
              <w:t>0.663 ± 0.021</w:t>
            </w:r>
          </w:p>
        </w:tc>
        <w:tc>
          <w:tcPr>
            <w:tcW w:type="dxa" w:w="3456"/>
            <w:vAlign w:val="center"/>
          </w:tcPr>
          <w:p>
            <w:r/>
            <w:r>
              <w:rPr>
                <w:b w:val="0"/>
                <w:sz w:val="16"/>
              </w:rPr>
              <w:t>Below the ≥ 0.75 target</w:t>
            </w:r>
          </w:p>
        </w:tc>
      </w:tr>
      <w:tr>
        <w:tc>
          <w:tcPr>
            <w:tcW w:type="dxa" w:w="3744"/>
            <w:vAlign w:val="center"/>
            <w:shd w:fill="F3F5F7"/>
          </w:tcPr>
          <w:p>
            <w:r/>
            <w:r>
              <w:rPr>
                <w:b w:val="0"/>
                <w:sz w:val="16"/>
              </w:rPr>
              <w:t>Validation ROC-AUC</w:t>
            </w:r>
          </w:p>
        </w:tc>
        <w:tc>
          <w:tcPr>
            <w:tcW w:type="dxa" w:w="2592"/>
            <w:vAlign w:val="center"/>
            <w:shd w:fill="F3F5F7"/>
          </w:tcPr>
          <w:p>
            <w:r/>
            <w:r>
              <w:rPr>
                <w:b w:val="0"/>
                <w:sz w:val="16"/>
              </w:rPr>
              <w:t>0.683</w:t>
            </w:r>
          </w:p>
        </w:tc>
        <w:tc>
          <w:tcPr>
            <w:tcW w:type="dxa" w:w="3456"/>
            <w:vAlign w:val="center"/>
            <w:shd w:fill="F3F5F7"/>
          </w:tcPr>
          <w:p>
            <w:r/>
            <w:r>
              <w:rPr>
                <w:b w:val="0"/>
                <w:sz w:val="16"/>
              </w:rPr>
              <w:t>Highest Week 3 validation AUC</w:t>
            </w:r>
          </w:p>
        </w:tc>
      </w:tr>
      <w:tr>
        <w:tc>
          <w:tcPr>
            <w:tcW w:type="dxa" w:w="3744"/>
            <w:vAlign w:val="center"/>
          </w:tcPr>
          <w:p>
            <w:r/>
            <w:r>
              <w:rPr>
                <w:b w:val="0"/>
                <w:sz w:val="16"/>
              </w:rPr>
              <w:t>Recall at tuned threshold 0.4869</w:t>
            </w:r>
          </w:p>
        </w:tc>
        <w:tc>
          <w:tcPr>
            <w:tcW w:type="dxa" w:w="2592"/>
            <w:vAlign w:val="center"/>
          </w:tcPr>
          <w:p>
            <w:r/>
            <w:r>
              <w:rPr>
                <w:b w:val="0"/>
                <w:sz w:val="16"/>
              </w:rPr>
              <w:t>0.703</w:t>
            </w:r>
          </w:p>
        </w:tc>
        <w:tc>
          <w:tcPr>
            <w:tcW w:type="dxa" w:w="3456"/>
            <w:vAlign w:val="center"/>
          </w:tcPr>
          <w:p>
            <w:r/>
            <w:r>
              <w:rPr>
                <w:b w:val="0"/>
                <w:sz w:val="16"/>
              </w:rPr>
              <w:t>Meets the ≥ 0.70 binding constraint</w:t>
            </w:r>
          </w:p>
        </w:tc>
      </w:tr>
      <w:tr>
        <w:tc>
          <w:tcPr>
            <w:tcW w:type="dxa" w:w="3744"/>
            <w:vAlign w:val="center"/>
            <w:shd w:fill="F3F5F7"/>
          </w:tcPr>
          <w:p>
            <w:r/>
            <w:r>
              <w:rPr>
                <w:b w:val="0"/>
                <w:sz w:val="16"/>
              </w:rPr>
              <w:t>Precision at that threshold</w:t>
            </w:r>
          </w:p>
        </w:tc>
        <w:tc>
          <w:tcPr>
            <w:tcW w:type="dxa" w:w="2592"/>
            <w:vAlign w:val="center"/>
            <w:shd w:fill="F3F5F7"/>
          </w:tcPr>
          <w:p>
            <w:r/>
            <w:r>
              <w:rPr>
                <w:b w:val="0"/>
                <w:sz w:val="16"/>
              </w:rPr>
              <w:t>0.286</w:t>
            </w:r>
          </w:p>
        </w:tc>
        <w:tc>
          <w:tcPr>
            <w:tcW w:type="dxa" w:w="3456"/>
            <w:vAlign w:val="center"/>
            <w:shd w:fill="F3F5F7"/>
          </w:tcPr>
          <w:p>
            <w:r/>
            <w:r>
              <w:rPr>
                <w:b w:val="0"/>
                <w:sz w:val="16"/>
              </w:rPr>
              <w:t>Explicit review-workload trade-off</w:t>
            </w:r>
          </w:p>
        </w:tc>
      </w:tr>
      <w:tr>
        <w:tc>
          <w:tcPr>
            <w:tcW w:type="dxa" w:w="3744"/>
            <w:vAlign w:val="center"/>
          </w:tcPr>
          <w:p>
            <w:r/>
            <w:r>
              <w:rPr>
                <w:b w:val="0"/>
                <w:sz w:val="16"/>
              </w:rPr>
              <w:t>Feature-set reduction</w:t>
            </w:r>
          </w:p>
        </w:tc>
        <w:tc>
          <w:tcPr>
            <w:tcW w:type="dxa" w:w="2592"/>
            <w:vAlign w:val="center"/>
          </w:tcPr>
          <w:p>
            <w:r/>
            <w:r>
              <w:rPr>
                <w:b w:val="0"/>
                <w:sz w:val="16"/>
              </w:rPr>
              <w:t>24 → 16 raw inputs</w:t>
            </w:r>
          </w:p>
        </w:tc>
        <w:tc>
          <w:tcPr>
            <w:tcW w:type="dxa" w:w="3456"/>
            <w:vAlign w:val="center"/>
          </w:tcPr>
          <w:p>
            <w:r/>
            <w:r>
              <w:rPr>
                <w:b w:val="0"/>
                <w:sz w:val="16"/>
              </w:rPr>
              <w:t>Interpretability improved with negligible CV change</w:t>
            </w:r>
          </w:p>
        </w:tc>
      </w:tr>
      <w:tr>
        <w:tc>
          <w:tcPr>
            <w:tcW w:type="dxa" w:w="3744"/>
            <w:vAlign w:val="center"/>
            <w:shd w:fill="F3F5F7"/>
          </w:tcPr>
          <w:p>
            <w:r/>
            <w:r>
              <w:rPr>
                <w:b w:val="0"/>
                <w:sz w:val="16"/>
              </w:rPr>
              <w:t>Best new-model validation AUC</w:t>
            </w:r>
          </w:p>
        </w:tc>
        <w:tc>
          <w:tcPr>
            <w:tcW w:type="dxa" w:w="2592"/>
            <w:vAlign w:val="center"/>
            <w:shd w:fill="F3F5F7"/>
          </w:tcPr>
          <w:p>
            <w:r/>
            <w:r>
              <w:rPr>
                <w:b w:val="0"/>
                <w:sz w:val="16"/>
              </w:rPr>
              <w:t>0.672 — Gradient Boosting</w:t>
            </w:r>
          </w:p>
        </w:tc>
        <w:tc>
          <w:tcPr>
            <w:tcW w:type="dxa" w:w="3456"/>
            <w:vAlign w:val="center"/>
            <w:shd w:fill="F3F5F7"/>
          </w:tcPr>
          <w:p>
            <w:r/>
            <w:r>
              <w:rPr>
                <w:b w:val="0"/>
                <w:sz w:val="16"/>
              </w:rPr>
              <w:t>Does not replace incumbent</w:t>
            </w:r>
          </w:p>
        </w:tc>
      </w:tr>
      <w:tr>
        <w:tc>
          <w:tcPr>
            <w:tcW w:type="dxa" w:w="3744"/>
            <w:vAlign w:val="center"/>
          </w:tcPr>
          <w:p>
            <w:r/>
            <w:r>
              <w:rPr>
                <w:b w:val="0"/>
                <w:sz w:val="16"/>
              </w:rPr>
              <w:t>Candidate for Week 4</w:t>
            </w:r>
          </w:p>
        </w:tc>
        <w:tc>
          <w:tcPr>
            <w:tcW w:type="dxa" w:w="2592"/>
            <w:vAlign w:val="center"/>
          </w:tcPr>
          <w:p>
            <w:r/>
            <w:r>
              <w:rPr>
                <w:b w:val="0"/>
                <w:sz w:val="16"/>
              </w:rPr>
              <w:t>Refined Logistic Regression</w:t>
            </w:r>
          </w:p>
        </w:tc>
        <w:tc>
          <w:tcPr>
            <w:tcW w:type="dxa" w:w="3456"/>
            <w:vAlign w:val="center"/>
          </w:tcPr>
          <w:p>
            <w:r/>
            <w:r>
              <w:rPr>
                <w:b w:val="0"/>
                <w:sz w:val="16"/>
              </w:rPr>
              <w:t>Frozen before final test scoring</w:t>
            </w:r>
          </w:p>
        </w:tc>
      </w:tr>
    </w:tbl>
    <w:p>
      <w:pPr>
        <w:spacing w:after="20"/>
      </w:pPr>
    </w:p>
    <w:p>
      <w:pPr>
        <w:spacing w:after="100" w:line="252" w:lineRule="auto"/>
      </w:pPr>
      <w:r>
        <w:rPr>
          <w:b w:val="0"/>
          <w:i w:val="0"/>
          <w:sz w:val="19"/>
        </w:rPr>
        <w:t>Five findings shape the Week 4 handoff:</w:t>
      </w:r>
    </w:p>
    <w:p>
      <w:pPr>
        <w:spacing w:after="40"/>
        <w:ind w:left="288" w:hanging="216"/>
      </w:pPr>
      <w:r>
        <w:rPr>
          <w:sz w:val="19"/>
        </w:rPr>
        <w:t>• The Week 2 performance ceiling persists. The strongest nonlinear challenger, Gradient Boosting, reached validation ROC-AUC 0.672, below the refined logistic regression at 0.683.</w:t>
      </w:r>
    </w:p>
    <w:p>
      <w:pPr>
        <w:spacing w:after="40"/>
        <w:ind w:left="288" w:hanging="216"/>
      </w:pPr>
      <w:r>
        <w:rPr>
          <w:sz w:val="19"/>
        </w:rPr>
        <w:t>• Feature refinement solved a genuine interpretability defect without buying performance through leakage or post-hoc target chasing. CV ROC-AUC moved only from 0.6650 ± 0.0174 to 0.6630 ± 0.0208, while Amount_Band_Q5 changed to the directionally coherent +0.407 coefficient.</w:t>
      </w:r>
    </w:p>
    <w:p>
      <w:pPr>
        <w:spacing w:after="40"/>
        <w:ind w:left="288" w:hanging="216"/>
      </w:pPr>
      <w:r>
        <w:rPr>
          <w:sz w:val="19"/>
        </w:rPr>
        <w:t>• The binding recall constraint remains achievable. At threshold 0.4869, validation recall is 0.703 and precision is 0.286.</w:t>
      </w:r>
    </w:p>
    <w:p>
      <w:pPr>
        <w:spacing w:after="40"/>
        <w:ind w:left="288" w:hanging="216"/>
      </w:pPr>
      <w:r>
        <w:rPr>
          <w:sz w:val="19"/>
        </w:rPr>
        <w:t>• The error pattern remains uneven by transaction type. Transfer recall is 0.950 while Bill Payment recall is 0.269, so aggregate recall cannot be treated as uniform performance.</w:t>
      </w:r>
    </w:p>
    <w:p>
      <w:pPr>
        <w:spacing w:after="40"/>
        <w:ind w:left="288" w:hanging="216"/>
      </w:pPr>
      <w:r>
        <w:rPr>
          <w:sz w:val="19"/>
        </w:rPr>
        <w:t>• The untouched test set remains reserved for the single Week 4 score. Week 3 therefore ends with a frozen candidate rather than another round of validation-driven model changes.</w:t>
      </w:r>
    </w:p>
    <w:p>
      <w:pPr>
        <w:spacing w:after="100" w:line="252" w:lineRule="auto"/>
      </w:pPr>
      <w:r>
        <w:rPr>
          <w:b w:val="0"/>
          <w:i/>
          <w:sz w:val="19"/>
        </w:rPr>
        <w:t>Responsible-use notice: Risk_Review_Flag is synthetic and is not a real fraud label. All results are educational evidence for review prioritisation only.</w:t>
      </w:r>
    </w:p>
    <w:p>
      <w:pPr>
        <w:pStyle w:val="Heading1"/>
        <w:spacing w:before="200" w:after="100"/>
      </w:pPr>
      <w:r>
        <w:t>2. Applying the Week 2 Plan</w:t>
      </w:r>
    </w:p>
    <w:p>
      <w:pPr>
        <w:spacing w:after="100" w:line="252" w:lineRule="auto"/>
      </w:pPr>
      <w:r>
        <w:rPr>
          <w:b w:val="0"/>
          <w:i w:val="0"/>
          <w:sz w:val="19"/>
        </w:rPr>
        <w:t>This section mirrors the Week 2 report’s “Applying the previous week’s plan” structure. Each Week 2 action is traced to what was implemented, what changed and why.</w:t>
      </w:r>
    </w:p>
    <w:p>
      <w:pPr>
        <w:pStyle w:val="Heading2"/>
        <w:spacing w:before="160" w:after="80"/>
      </w:pPr>
      <w:r>
        <w:t>2.1 Planned versus implemented</w:t>
      </w:r>
    </w:p>
    <w:tbl>
      <w:tblPr>
        <w:tblW w:type="auto" w:w="0"/>
        <w:jc w:val="center"/>
        <w:tblLook w:firstColumn="1" w:firstRow="1" w:lastColumn="0" w:lastRow="0" w:noHBand="0" w:noVBand="1" w:val="04A0"/>
      </w:tblPr>
      <w:tblGrid>
        <w:gridCol w:w="3009"/>
        <w:gridCol w:w="3009"/>
        <w:gridCol w:w="3009"/>
      </w:tblGrid>
      <w:tr>
        <w:tc>
          <w:tcPr>
            <w:tcW w:type="dxa" w:w="2880"/>
            <w:vAlign w:val="center"/>
            <w:shd w:fill="1F3B63"/>
          </w:tcPr>
          <w:p>
            <w:r/>
            <w:r>
              <w:rPr>
                <w:b/>
                <w:color w:val="FFFFFF"/>
                <w:sz w:val="16"/>
              </w:rPr>
              <w:t>Week 2 plan</w:t>
            </w:r>
          </w:p>
        </w:tc>
        <w:tc>
          <w:tcPr>
            <w:tcW w:type="dxa" w:w="1440"/>
            <w:vAlign w:val="center"/>
            <w:shd w:fill="1F3B63"/>
          </w:tcPr>
          <w:p>
            <w:r/>
            <w:r>
              <w:rPr>
                <w:b/>
                <w:color w:val="FFFFFF"/>
                <w:sz w:val="16"/>
              </w:rPr>
              <w:t>Status</w:t>
            </w:r>
          </w:p>
        </w:tc>
        <w:tc>
          <w:tcPr>
            <w:tcW w:type="dxa" w:w="5472"/>
            <w:vAlign w:val="center"/>
            <w:shd w:fill="1F3B63"/>
          </w:tcPr>
          <w:p>
            <w:r/>
            <w:r>
              <w:rPr>
                <w:b/>
                <w:color w:val="FFFFFF"/>
                <w:sz w:val="16"/>
              </w:rPr>
              <w:t>Week 3 implementation / evidence</w:t>
            </w:r>
          </w:p>
        </w:tc>
      </w:tr>
      <w:tr>
        <w:tc>
          <w:tcPr>
            <w:tcW w:type="dxa" w:w="2880"/>
            <w:vAlign w:val="center"/>
          </w:tcPr>
          <w:p>
            <w:r/>
            <w:r>
              <w:rPr>
                <w:b w:val="0"/>
                <w:sz w:val="16"/>
              </w:rPr>
              <w:t>Reduce redundant amount encodings</w:t>
            </w:r>
          </w:p>
        </w:tc>
        <w:tc>
          <w:tcPr>
            <w:tcW w:type="dxa" w:w="1440"/>
            <w:vAlign w:val="center"/>
          </w:tcPr>
          <w:p>
            <w:r/>
            <w:r>
              <w:rPr>
                <w:b w:val="0"/>
                <w:sz w:val="16"/>
              </w:rPr>
              <w:t>Complete</w:t>
            </w:r>
          </w:p>
        </w:tc>
        <w:tc>
          <w:tcPr>
            <w:tcW w:type="dxa" w:w="5472"/>
            <w:vAlign w:val="center"/>
          </w:tcPr>
          <w:p>
            <w:r/>
            <w:r>
              <w:rPr>
                <w:b w:val="0"/>
                <w:sz w:val="16"/>
              </w:rPr>
              <w:t>Kept Amount_Band; removed Amount_Log and Is_High_Value. CV changed by only -0.0020 and Q5 coefficient became +0.407.</w:t>
            </w:r>
          </w:p>
        </w:tc>
      </w:tr>
      <w:tr>
        <w:tc>
          <w:tcPr>
            <w:tcW w:type="dxa" w:w="2880"/>
            <w:vAlign w:val="center"/>
            <w:shd w:fill="F3F5F7"/>
          </w:tcPr>
          <w:p>
            <w:r/>
            <w:r>
              <w:rPr>
                <w:b w:val="0"/>
                <w:sz w:val="16"/>
              </w:rPr>
              <w:t>Test whether Amount_vs_Cust_Mean adds independent value</w:t>
            </w:r>
          </w:p>
        </w:tc>
        <w:tc>
          <w:tcPr>
            <w:tcW w:type="dxa" w:w="1440"/>
            <w:vAlign w:val="center"/>
            <w:shd w:fill="F3F5F7"/>
          </w:tcPr>
          <w:p>
            <w:r/>
            <w:r>
              <w:rPr>
                <w:b w:val="0"/>
                <w:sz w:val="16"/>
              </w:rPr>
              <w:t>Complete</w:t>
            </w:r>
          </w:p>
        </w:tc>
        <w:tc>
          <w:tcPr>
            <w:tcW w:type="dxa" w:w="5472"/>
            <w:vAlign w:val="center"/>
            <w:shd w:fill="F3F5F7"/>
          </w:tcPr>
          <w:p>
            <w:r/>
            <w:r>
              <w:rPr>
                <w:b w:val="0"/>
                <w:sz w:val="16"/>
              </w:rPr>
              <w:t>Removed after Week 2 permutation importance of only 0.003 and evidence of confounding with absolute amount.</w:t>
            </w:r>
          </w:p>
        </w:tc>
      </w:tr>
      <w:tr>
        <w:tc>
          <w:tcPr>
            <w:tcW w:type="dxa" w:w="2880"/>
            <w:vAlign w:val="center"/>
          </w:tcPr>
          <w:p>
            <w:r/>
            <w:r>
              <w:rPr>
                <w:b w:val="0"/>
                <w:sz w:val="16"/>
              </w:rPr>
              <w:t>Remove weak temporal/activity features</w:t>
            </w:r>
          </w:p>
        </w:tc>
        <w:tc>
          <w:tcPr>
            <w:tcW w:type="dxa" w:w="1440"/>
            <w:vAlign w:val="center"/>
          </w:tcPr>
          <w:p>
            <w:r/>
            <w:r>
              <w:rPr>
                <w:b w:val="0"/>
                <w:sz w:val="16"/>
              </w:rPr>
              <w:t>Complete</w:t>
            </w:r>
          </w:p>
        </w:tc>
        <w:tc>
          <w:tcPr>
            <w:tcW w:type="dxa" w:w="5472"/>
            <w:vAlign w:val="center"/>
          </w:tcPr>
          <w:p>
            <w:r/>
            <w:r>
              <w:rPr>
                <w:b w:val="0"/>
                <w:sz w:val="16"/>
              </w:rPr>
              <w:t>Transaction_DayOfWeek, Is_Weekend and Cust_Txn_Count removed.</w:t>
            </w:r>
          </w:p>
        </w:tc>
      </w:tr>
      <w:tr>
        <w:tc>
          <w:tcPr>
            <w:tcW w:type="dxa" w:w="2880"/>
            <w:vAlign w:val="center"/>
            <w:shd w:fill="F3F5F7"/>
          </w:tcPr>
          <w:p>
            <w:r/>
            <w:r>
              <w:rPr>
                <w:b w:val="0"/>
                <w:sz w:val="16"/>
              </w:rPr>
              <w:t>Review weak fairness-sensitive candidates</w:t>
            </w:r>
          </w:p>
        </w:tc>
        <w:tc>
          <w:tcPr>
            <w:tcW w:type="dxa" w:w="1440"/>
            <w:vAlign w:val="center"/>
            <w:shd w:fill="F3F5F7"/>
          </w:tcPr>
          <w:p>
            <w:r/>
            <w:r>
              <w:rPr>
                <w:b w:val="0"/>
                <w:sz w:val="16"/>
              </w:rPr>
              <w:t>Complete</w:t>
            </w:r>
          </w:p>
        </w:tc>
        <w:tc>
          <w:tcPr>
            <w:tcW w:type="dxa" w:w="5472"/>
            <w:vAlign w:val="center"/>
            <w:shd w:fill="F3F5F7"/>
          </w:tcPr>
          <w:p>
            <w:r/>
            <w:r>
              <w:rPr>
                <w:b w:val="0"/>
                <w:sz w:val="16"/>
              </w:rPr>
              <w:t>Age and Monthly_Income_Band removed; Gender remains excluded.</w:t>
            </w:r>
          </w:p>
        </w:tc>
      </w:tr>
      <w:tr>
        <w:tc>
          <w:tcPr>
            <w:tcW w:type="dxa" w:w="2880"/>
            <w:vAlign w:val="center"/>
          </w:tcPr>
          <w:p>
            <w:r/>
            <w:r>
              <w:rPr>
                <w:b w:val="0"/>
                <w:sz w:val="16"/>
              </w:rPr>
              <w:t>Test stronger nonlinear algorithms</w:t>
            </w:r>
          </w:p>
        </w:tc>
        <w:tc>
          <w:tcPr>
            <w:tcW w:type="dxa" w:w="1440"/>
            <w:vAlign w:val="center"/>
          </w:tcPr>
          <w:p>
            <w:r/>
            <w:r>
              <w:rPr>
                <w:b w:val="0"/>
                <w:sz w:val="16"/>
              </w:rPr>
              <w:t>Complete</w:t>
            </w:r>
          </w:p>
        </w:tc>
        <w:tc>
          <w:tcPr>
            <w:tcW w:type="dxa" w:w="5472"/>
            <w:vAlign w:val="center"/>
          </w:tcPr>
          <w:p>
            <w:r/>
            <w:r>
              <w:rPr>
                <w:b w:val="0"/>
                <w:sz w:val="16"/>
              </w:rPr>
              <w:t>Gradient Boosting and HistGradientBoosting added; tuned Random Forest also evaluated.</w:t>
            </w:r>
          </w:p>
        </w:tc>
      </w:tr>
      <w:tr>
        <w:tc>
          <w:tcPr>
            <w:tcW w:type="dxa" w:w="2880"/>
            <w:vAlign w:val="center"/>
            <w:shd w:fill="F3F5F7"/>
          </w:tcPr>
          <w:p>
            <w:r/>
            <w:r>
              <w:rPr>
                <w:b w:val="0"/>
                <w:sz w:val="16"/>
              </w:rPr>
              <w:t>Hyperparameter tuning</w:t>
            </w:r>
          </w:p>
        </w:tc>
        <w:tc>
          <w:tcPr>
            <w:tcW w:type="dxa" w:w="1440"/>
            <w:vAlign w:val="center"/>
            <w:shd w:fill="F3F5F7"/>
          </w:tcPr>
          <w:p>
            <w:r/>
            <w:r>
              <w:rPr>
                <w:b w:val="0"/>
                <w:sz w:val="16"/>
              </w:rPr>
              <w:t>Complete</w:t>
            </w:r>
          </w:p>
        </w:tc>
        <w:tc>
          <w:tcPr>
            <w:tcW w:type="dxa" w:w="5472"/>
            <w:vAlign w:val="center"/>
            <w:shd w:fill="F3F5F7"/>
          </w:tcPr>
          <w:p>
            <w:r/>
            <w:r>
              <w:rPr>
                <w:b w:val="0"/>
                <w:sz w:val="16"/>
              </w:rPr>
              <w:t>RandomizedSearchCV used on training folds; validation reserved for comparison/threshold selection.</w:t>
            </w:r>
          </w:p>
        </w:tc>
      </w:tr>
      <w:tr>
        <w:tc>
          <w:tcPr>
            <w:tcW w:type="dxa" w:w="2880"/>
            <w:vAlign w:val="center"/>
          </w:tcPr>
          <w:p>
            <w:r/>
            <w:r>
              <w:rPr>
                <w:b w:val="0"/>
                <w:sz w:val="16"/>
              </w:rPr>
              <w:t>Deepen error analysis</w:t>
            </w:r>
          </w:p>
        </w:tc>
        <w:tc>
          <w:tcPr>
            <w:tcW w:type="dxa" w:w="1440"/>
            <w:vAlign w:val="center"/>
          </w:tcPr>
          <w:p>
            <w:r/>
            <w:r>
              <w:rPr>
                <w:b w:val="0"/>
                <w:sz w:val="16"/>
              </w:rPr>
              <w:t>Complete</w:t>
            </w:r>
          </w:p>
        </w:tc>
        <w:tc>
          <w:tcPr>
            <w:tcW w:type="dxa" w:w="5472"/>
            <w:vAlign w:val="center"/>
          </w:tcPr>
          <w:p>
            <w:r/>
            <w:r>
              <w:rPr>
                <w:b w:val="0"/>
                <w:sz w:val="16"/>
              </w:rPr>
              <w:t>False positives/false negatives and transaction-type patterns quantified.</w:t>
            </w:r>
          </w:p>
        </w:tc>
      </w:tr>
      <w:tr>
        <w:tc>
          <w:tcPr>
            <w:tcW w:type="dxa" w:w="2880"/>
            <w:vAlign w:val="center"/>
            <w:shd w:fill="F3F5F7"/>
          </w:tcPr>
          <w:p>
            <w:r/>
            <w:r>
              <w:rPr>
                <w:b w:val="0"/>
                <w:sz w:val="16"/>
              </w:rPr>
              <w:t>Prepare a Week 4 candidate</w:t>
            </w:r>
          </w:p>
        </w:tc>
        <w:tc>
          <w:tcPr>
            <w:tcW w:type="dxa" w:w="1440"/>
            <w:vAlign w:val="center"/>
            <w:shd w:fill="F3F5F7"/>
          </w:tcPr>
          <w:p>
            <w:r/>
            <w:r>
              <w:rPr>
                <w:b w:val="0"/>
                <w:sz w:val="16"/>
              </w:rPr>
              <w:t>Complete</w:t>
            </w:r>
          </w:p>
        </w:tc>
        <w:tc>
          <w:tcPr>
            <w:tcW w:type="dxa" w:w="5472"/>
            <w:vAlign w:val="center"/>
            <w:shd w:fill="F3F5F7"/>
          </w:tcPr>
          <w:p>
            <w:r/>
            <w:r>
              <w:rPr>
                <w:b w:val="0"/>
                <w:sz w:val="16"/>
              </w:rPr>
              <w:t>Refined Logistic Regression frozen; test set remains untouched.</w:t>
            </w:r>
          </w:p>
        </w:tc>
      </w:tr>
    </w:tbl>
    <w:p>
      <w:pPr>
        <w:spacing w:after="20"/>
      </w:pPr>
    </w:p>
    <w:p>
      <w:pPr>
        <w:pStyle w:val="Heading2"/>
        <w:spacing w:before="160" w:after="80"/>
      </w:pPr>
      <w:r>
        <w:t>2.2 What changed from the Week 2 approach, and why</w:t>
      </w:r>
    </w:p>
    <w:tbl>
      <w:tblPr>
        <w:tblW w:type="auto" w:w="0"/>
        <w:jc w:val="center"/>
        <w:tblLook w:firstColumn="1" w:firstRow="1" w:lastColumn="0" w:lastRow="0" w:noHBand="0" w:noVBand="1" w:val="04A0"/>
      </w:tblPr>
      <w:tblGrid>
        <w:gridCol w:w="2256"/>
        <w:gridCol w:w="2256"/>
        <w:gridCol w:w="2256"/>
        <w:gridCol w:w="2256"/>
      </w:tblGrid>
      <w:tr>
        <w:tc>
          <w:tcPr>
            <w:tcW w:type="dxa" w:w="1944"/>
            <w:vAlign w:val="center"/>
            <w:shd w:fill="1F3B63"/>
          </w:tcPr>
          <w:p>
            <w:r/>
            <w:r>
              <w:rPr>
                <w:b/>
                <w:color w:val="FFFFFF"/>
                <w:sz w:val="16"/>
              </w:rPr>
              <w:t>Change</w:t>
            </w:r>
          </w:p>
        </w:tc>
        <w:tc>
          <w:tcPr>
            <w:tcW w:type="dxa" w:w="2448"/>
            <w:vAlign w:val="center"/>
            <w:shd w:fill="1F3B63"/>
          </w:tcPr>
          <w:p>
            <w:r/>
            <w:r>
              <w:rPr>
                <w:b/>
                <w:color w:val="FFFFFF"/>
                <w:sz w:val="16"/>
              </w:rPr>
              <w:t>Week 2 position</w:t>
            </w:r>
          </w:p>
        </w:tc>
        <w:tc>
          <w:tcPr>
            <w:tcW w:type="dxa" w:w="2448"/>
            <w:vAlign w:val="center"/>
            <w:shd w:fill="1F3B63"/>
          </w:tcPr>
          <w:p>
            <w:r/>
            <w:r>
              <w:rPr>
                <w:b/>
                <w:color w:val="FFFFFF"/>
                <w:sz w:val="16"/>
              </w:rPr>
              <w:t>Week 3 position</w:t>
            </w:r>
          </w:p>
        </w:tc>
        <w:tc>
          <w:tcPr>
            <w:tcW w:type="dxa" w:w="3024"/>
            <w:vAlign w:val="center"/>
            <w:shd w:fill="1F3B63"/>
          </w:tcPr>
          <w:p>
            <w:r/>
            <w:r>
              <w:rPr>
                <w:b/>
                <w:color w:val="FFFFFF"/>
                <w:sz w:val="16"/>
              </w:rPr>
              <w:t>Reason</w:t>
            </w:r>
          </w:p>
        </w:tc>
      </w:tr>
      <w:tr>
        <w:tc>
          <w:tcPr>
            <w:tcW w:type="dxa" w:w="1944"/>
            <w:vAlign w:val="center"/>
          </w:tcPr>
          <w:p>
            <w:r/>
            <w:r>
              <w:rPr>
                <w:b w:val="0"/>
                <w:sz w:val="16"/>
              </w:rPr>
              <w:t>Amount representation</w:t>
            </w:r>
          </w:p>
        </w:tc>
        <w:tc>
          <w:tcPr>
            <w:tcW w:type="dxa" w:w="2448"/>
            <w:vAlign w:val="center"/>
          </w:tcPr>
          <w:p>
            <w:r/>
            <w:r>
              <w:rPr>
                <w:b w:val="0"/>
                <w:sz w:val="16"/>
              </w:rPr>
              <w:t>Amount_Log, Amount_Band and Is_High_Value all present</w:t>
            </w:r>
          </w:p>
        </w:tc>
        <w:tc>
          <w:tcPr>
            <w:tcW w:type="dxa" w:w="2448"/>
            <w:vAlign w:val="center"/>
          </w:tcPr>
          <w:p>
            <w:r/>
            <w:r>
              <w:rPr>
                <w:b w:val="0"/>
                <w:sz w:val="16"/>
              </w:rPr>
              <w:t>Amount_Band retained alone</w:t>
            </w:r>
          </w:p>
        </w:tc>
        <w:tc>
          <w:tcPr>
            <w:tcW w:type="dxa" w:w="3024"/>
            <w:vAlign w:val="center"/>
          </w:tcPr>
          <w:p>
            <w:r/>
            <w:r>
              <w:rPr>
                <w:b w:val="0"/>
                <w:sz w:val="16"/>
              </w:rPr>
              <w:t>Three overlapping encodings destabilised coefficients; Amount_Band had the strongest Week 2 amount importance.</w:t>
            </w:r>
          </w:p>
        </w:tc>
      </w:tr>
      <w:tr>
        <w:tc>
          <w:tcPr>
            <w:tcW w:type="dxa" w:w="1944"/>
            <w:vAlign w:val="center"/>
            <w:shd w:fill="F3F5F7"/>
          </w:tcPr>
          <w:p>
            <w:r/>
            <w:r>
              <w:rPr>
                <w:b w:val="0"/>
                <w:sz w:val="16"/>
              </w:rPr>
              <w:t>Customer-relative amount</w:t>
            </w:r>
          </w:p>
        </w:tc>
        <w:tc>
          <w:tcPr>
            <w:tcW w:type="dxa" w:w="2448"/>
            <w:vAlign w:val="center"/>
            <w:shd w:fill="F3F5F7"/>
          </w:tcPr>
          <w:p>
            <w:r/>
            <w:r>
              <w:rPr>
                <w:b w:val="0"/>
                <w:sz w:val="16"/>
              </w:rPr>
              <w:t>Amount_vs_Cust_Mean retained</w:t>
            </w:r>
          </w:p>
        </w:tc>
        <w:tc>
          <w:tcPr>
            <w:tcW w:type="dxa" w:w="2448"/>
            <w:vAlign w:val="center"/>
            <w:shd w:fill="F3F5F7"/>
          </w:tcPr>
          <w:p>
            <w:r/>
            <w:r>
              <w:rPr>
                <w:b w:val="0"/>
                <w:sz w:val="16"/>
              </w:rPr>
              <w:t>Removed</w:t>
            </w:r>
          </w:p>
        </w:tc>
        <w:tc>
          <w:tcPr>
            <w:tcW w:type="dxa" w:w="3024"/>
            <w:vAlign w:val="center"/>
            <w:shd w:fill="F3F5F7"/>
          </w:tcPr>
          <w:p>
            <w:r/>
            <w:r>
              <w:rPr>
                <w:b w:val="0"/>
                <w:sz w:val="16"/>
              </w:rPr>
              <w:t>Week 2 importance only 0.003; support for H1 did not translate into independent model value.</w:t>
            </w:r>
          </w:p>
        </w:tc>
      </w:tr>
      <w:tr>
        <w:tc>
          <w:tcPr>
            <w:tcW w:type="dxa" w:w="1944"/>
            <w:vAlign w:val="center"/>
          </w:tcPr>
          <w:p>
            <w:r/>
            <w:r>
              <w:rPr>
                <w:b w:val="0"/>
                <w:sz w:val="16"/>
              </w:rPr>
              <w:t>Model families</w:t>
            </w:r>
          </w:p>
        </w:tc>
        <w:tc>
          <w:tcPr>
            <w:tcW w:type="dxa" w:w="2448"/>
            <w:vAlign w:val="center"/>
          </w:tcPr>
          <w:p>
            <w:r/>
            <w:r>
              <w:rPr>
                <w:b w:val="0"/>
                <w:sz w:val="16"/>
              </w:rPr>
              <w:t>LR, Decision Tree, Random Forest</w:t>
            </w:r>
          </w:p>
        </w:tc>
        <w:tc>
          <w:tcPr>
            <w:tcW w:type="dxa" w:w="2448"/>
            <w:vAlign w:val="center"/>
          </w:tcPr>
          <w:p>
            <w:r/>
            <w:r>
              <w:rPr>
                <w:b w:val="0"/>
                <w:sz w:val="16"/>
              </w:rPr>
              <w:t>Adds tuned RF, Gradient Boosting and HistGradientBoosting</w:t>
            </w:r>
          </w:p>
        </w:tc>
        <w:tc>
          <w:tcPr>
            <w:tcW w:type="dxa" w:w="3024"/>
            <w:vAlign w:val="center"/>
          </w:tcPr>
          <w:p>
            <w:r/>
            <w:r>
              <w:rPr>
                <w:b w:val="0"/>
                <w:sz w:val="16"/>
              </w:rPr>
              <w:t>Tests whether the ceiling is algorithmic rather than data-driven.</w:t>
            </w:r>
          </w:p>
        </w:tc>
      </w:tr>
      <w:tr>
        <w:tc>
          <w:tcPr>
            <w:tcW w:type="dxa" w:w="1944"/>
            <w:vAlign w:val="center"/>
            <w:shd w:fill="F3F5F7"/>
          </w:tcPr>
          <w:p>
            <w:r/>
            <w:r>
              <w:rPr>
                <w:b w:val="0"/>
                <w:sz w:val="16"/>
              </w:rPr>
              <w:t>XGBoost</w:t>
            </w:r>
          </w:p>
        </w:tc>
        <w:tc>
          <w:tcPr>
            <w:tcW w:type="dxa" w:w="2448"/>
            <w:vAlign w:val="center"/>
            <w:shd w:fill="F3F5F7"/>
          </w:tcPr>
          <w:p>
            <w:r/>
            <w:r>
              <w:rPr>
                <w:b w:val="0"/>
                <w:sz w:val="16"/>
              </w:rPr>
              <w:t>Planned candidate</w:t>
            </w:r>
          </w:p>
        </w:tc>
        <w:tc>
          <w:tcPr>
            <w:tcW w:type="dxa" w:w="2448"/>
            <w:vAlign w:val="center"/>
            <w:shd w:fill="F3F5F7"/>
          </w:tcPr>
          <w:p>
            <w:r/>
            <w:r>
              <w:rPr>
                <w:b w:val="0"/>
                <w:sz w:val="16"/>
              </w:rPr>
              <w:t>Not used</w:t>
            </w:r>
          </w:p>
        </w:tc>
        <w:tc>
          <w:tcPr>
            <w:tcW w:type="dxa" w:w="3024"/>
            <w:vAlign w:val="center"/>
            <w:shd w:fill="F3F5F7"/>
          </w:tcPr>
          <w:p>
            <w:r/>
            <w:r>
              <w:rPr>
                <w:b w:val="0"/>
                <w:sz w:val="16"/>
              </w:rPr>
              <w:t>Unavailable in the execution environment; sklearn histogram boosting supplied a justified tree-boosting alternative.</w:t>
            </w:r>
          </w:p>
        </w:tc>
      </w:tr>
      <w:tr>
        <w:tc>
          <w:tcPr>
            <w:tcW w:type="dxa" w:w="1944"/>
            <w:vAlign w:val="center"/>
          </w:tcPr>
          <w:p>
            <w:r/>
            <w:r>
              <w:rPr>
                <w:b w:val="0"/>
                <w:sz w:val="16"/>
              </w:rPr>
              <w:t>Candidate interpretation</w:t>
            </w:r>
          </w:p>
        </w:tc>
        <w:tc>
          <w:tcPr>
            <w:tcW w:type="dxa" w:w="2448"/>
            <w:vAlign w:val="center"/>
          </w:tcPr>
          <w:p>
            <w:r/>
            <w:r>
              <w:rPr>
                <w:b w:val="0"/>
                <w:sz w:val="16"/>
              </w:rPr>
              <w:t>Permutation importance required because coefficients conflicted</w:t>
            </w:r>
          </w:p>
        </w:tc>
        <w:tc>
          <w:tcPr>
            <w:tcW w:type="dxa" w:w="2448"/>
            <w:vAlign w:val="center"/>
          </w:tcPr>
          <w:p>
            <w:r/>
            <w:r>
              <w:rPr>
                <w:b w:val="0"/>
                <w:sz w:val="16"/>
              </w:rPr>
              <w:t>Permutation importance retained; coefficients again usable as a secondary check</w:t>
            </w:r>
          </w:p>
        </w:tc>
        <w:tc>
          <w:tcPr>
            <w:tcW w:type="dxa" w:w="3024"/>
            <w:vAlign w:val="center"/>
          </w:tcPr>
          <w:p>
            <w:r/>
            <w:r>
              <w:rPr>
                <w:b w:val="0"/>
                <w:sz w:val="16"/>
              </w:rPr>
              <w:t>Feature reduction corrected the multicollinearity-driven sign problem.</w:t>
            </w:r>
          </w:p>
        </w:tc>
      </w:tr>
    </w:tbl>
    <w:p>
      <w:pPr>
        <w:spacing w:after="20"/>
      </w:pPr>
    </w:p>
    <w:p>
      <w:pPr>
        <w:spacing w:after="100" w:line="252" w:lineRule="auto"/>
      </w:pPr>
      <w:r>
        <w:rPr>
          <w:b w:val="0"/>
          <w:i w:val="0"/>
          <w:sz w:val="19"/>
        </w:rPr>
        <w:t>No change was made to the target definition, the 70/15/15 stratified split, seed 42, primary metric, recall constraint, replacement rule or test-set policy. Keeping these commitments fixed is essential to making Week 3 a genuine validation exercise rather than a moving-target optimisation exercise.</w:t>
      </w:r>
    </w:p>
    <w:p>
      <w:pPr>
        <w:pStyle w:val="Heading1"/>
        <w:spacing w:before="200" w:after="100"/>
      </w:pPr>
      <w:r>
        <w:t>3. Resources and Tools Used</w:t>
      </w:r>
    </w:p>
    <w:p>
      <w:pPr>
        <w:pStyle w:val="Heading2"/>
        <w:spacing w:before="160" w:after="80"/>
      </w:pPr>
      <w:r>
        <w:t>3.1 Resources</w:t>
      </w:r>
    </w:p>
    <w:tbl>
      <w:tblPr>
        <w:tblW w:type="auto" w:w="0"/>
        <w:jc w:val="center"/>
        <w:tblLook w:firstColumn="1" w:firstRow="1" w:lastColumn="0" w:lastRow="0" w:noHBand="0" w:noVBand="1" w:val="04A0"/>
      </w:tblPr>
      <w:tblGrid>
        <w:gridCol w:w="2256"/>
        <w:gridCol w:w="2256"/>
        <w:gridCol w:w="2256"/>
        <w:gridCol w:w="2256"/>
      </w:tblGrid>
      <w:tr>
        <w:tc>
          <w:tcPr>
            <w:tcW w:type="dxa" w:w="2160"/>
            <w:vAlign w:val="center"/>
            <w:shd w:fill="1F3B63"/>
          </w:tcPr>
          <w:p>
            <w:r/>
            <w:r>
              <w:rPr>
                <w:b/>
                <w:color w:val="FFFFFF"/>
                <w:sz w:val="16"/>
              </w:rPr>
              <w:t>Resource</w:t>
            </w:r>
          </w:p>
        </w:tc>
        <w:tc>
          <w:tcPr>
            <w:tcW w:type="dxa" w:w="2592"/>
            <w:vAlign w:val="center"/>
            <w:shd w:fill="1F3B63"/>
          </w:tcPr>
          <w:p>
            <w:r/>
            <w:r>
              <w:rPr>
                <w:b/>
                <w:color w:val="FFFFFF"/>
                <w:sz w:val="16"/>
              </w:rPr>
              <w:t>How it was used in Week 3</w:t>
            </w:r>
          </w:p>
        </w:tc>
        <w:tc>
          <w:tcPr>
            <w:tcW w:type="dxa" w:w="2592"/>
            <w:vAlign w:val="center"/>
            <w:shd w:fill="1F3B63"/>
          </w:tcPr>
          <w:p>
            <w:r/>
            <w:r>
              <w:rPr>
                <w:b/>
                <w:color w:val="FFFFFF"/>
                <w:sz w:val="16"/>
              </w:rPr>
              <w:t>What it provided</w:t>
            </w:r>
          </w:p>
        </w:tc>
        <w:tc>
          <w:tcPr>
            <w:tcW w:type="dxa" w:w="2592"/>
            <w:vAlign w:val="center"/>
            <w:shd w:fill="1F3B63"/>
          </w:tcPr>
          <w:p>
            <w:r/>
            <w:r>
              <w:rPr>
                <w:b/>
                <w:color w:val="FFFFFF"/>
                <w:sz w:val="16"/>
              </w:rPr>
              <w:t>Limitations encountered</w:t>
            </w:r>
          </w:p>
        </w:tc>
      </w:tr>
      <w:tr>
        <w:tc>
          <w:tcPr>
            <w:tcW w:type="dxa" w:w="2160"/>
            <w:vAlign w:val="center"/>
          </w:tcPr>
          <w:p>
            <w:r/>
            <w:r>
              <w:rPr>
                <w:b w:val="0"/>
                <w:sz w:val="16"/>
              </w:rPr>
              <w:t>FinTrust_Transaction_Data.csv</w:t>
            </w:r>
          </w:p>
        </w:tc>
        <w:tc>
          <w:tcPr>
            <w:tcW w:type="dxa" w:w="2592"/>
            <w:vAlign w:val="center"/>
          </w:tcPr>
          <w:p>
            <w:r/>
            <w:r>
              <w:rPr>
                <w:b w:val="0"/>
                <w:sz w:val="16"/>
              </w:rPr>
              <w:t>Primary transaction-level source and synthetic target</w:t>
            </w:r>
          </w:p>
        </w:tc>
        <w:tc>
          <w:tcPr>
            <w:tcW w:type="dxa" w:w="2592"/>
            <w:vAlign w:val="center"/>
          </w:tcPr>
          <w:p>
            <w:r/>
            <w:r>
              <w:rPr>
                <w:b w:val="0"/>
                <w:sz w:val="16"/>
              </w:rPr>
              <w:t>Amount, time, transaction type, channel, location, international status and Risk_Review_Flag</w:t>
            </w:r>
          </w:p>
        </w:tc>
        <w:tc>
          <w:tcPr>
            <w:tcW w:type="dxa" w:w="2592"/>
            <w:vAlign w:val="center"/>
          </w:tcPr>
          <w:p>
            <w:r/>
            <w:r>
              <w:rPr>
                <w:b w:val="0"/>
                <w:sz w:val="16"/>
              </w:rPr>
              <w:t>Synthetic target definition remains undocumented; no velocity, counterparty, device-fingerprint or network signals.</w:t>
            </w:r>
          </w:p>
        </w:tc>
      </w:tr>
      <w:tr>
        <w:tc>
          <w:tcPr>
            <w:tcW w:type="dxa" w:w="2160"/>
            <w:vAlign w:val="center"/>
            <w:shd w:fill="F3F5F7"/>
          </w:tcPr>
          <w:p>
            <w:r/>
            <w:r>
              <w:rPr>
                <w:b w:val="0"/>
                <w:sz w:val="16"/>
              </w:rPr>
              <w:t>FinTrust_Customer_Data.csv</w:t>
            </w:r>
          </w:p>
        </w:tc>
        <w:tc>
          <w:tcPr>
            <w:tcW w:type="dxa" w:w="2592"/>
            <w:vAlign w:val="center"/>
            <w:shd w:fill="F3F5F7"/>
          </w:tcPr>
          <w:p>
            <w:r/>
            <w:r>
              <w:rPr>
                <w:b w:val="0"/>
                <w:sz w:val="16"/>
              </w:rPr>
              <w:t>Customer attributes joined by Customer_ID</w:t>
            </w:r>
          </w:p>
        </w:tc>
        <w:tc>
          <w:tcPr>
            <w:tcW w:type="dxa" w:w="2592"/>
            <w:vAlign w:val="center"/>
            <w:shd w:fill="F3F5F7"/>
          </w:tcPr>
          <w:p>
            <w:r/>
            <w:r>
              <w:rPr>
                <w:b w:val="0"/>
                <w:sz w:val="16"/>
              </w:rPr>
              <w:t>Segment, account, tenure and engagement context</w:t>
            </w:r>
          </w:p>
        </w:tc>
        <w:tc>
          <w:tcPr>
            <w:tcW w:type="dxa" w:w="2592"/>
            <w:vAlign w:val="center"/>
            <w:shd w:fill="F3F5F7"/>
          </w:tcPr>
          <w:p>
            <w:r/>
            <w:r>
              <w:rPr>
                <w:b w:val="0"/>
                <w:sz w:val="16"/>
              </w:rPr>
              <w:t>Customer-level attributes remain weak predictors.</w:t>
            </w:r>
          </w:p>
        </w:tc>
      </w:tr>
      <w:tr>
        <w:tc>
          <w:tcPr>
            <w:tcW w:type="dxa" w:w="2160"/>
            <w:vAlign w:val="center"/>
          </w:tcPr>
          <w:p>
            <w:r/>
            <w:r>
              <w:rPr>
                <w:b w:val="0"/>
                <w:sz w:val="16"/>
              </w:rPr>
              <w:t>Week 2 notebook and modelling outputs</w:t>
            </w:r>
          </w:p>
        </w:tc>
        <w:tc>
          <w:tcPr>
            <w:tcW w:type="dxa" w:w="2592"/>
            <w:vAlign w:val="center"/>
          </w:tcPr>
          <w:p>
            <w:r/>
            <w:r>
              <w:rPr>
                <w:b w:val="0"/>
                <w:sz w:val="16"/>
              </w:rPr>
              <w:t>Exact methodological continuation</w:t>
            </w:r>
          </w:p>
        </w:tc>
        <w:tc>
          <w:tcPr>
            <w:tcW w:type="dxa" w:w="2592"/>
            <w:vAlign w:val="center"/>
          </w:tcPr>
          <w:p>
            <w:r/>
            <w:r>
              <w:rPr>
                <w:b w:val="0"/>
                <w:sz w:val="16"/>
              </w:rPr>
              <w:t>Split logic, baseline specification, feature evidence, permutation importance and risk register</w:t>
            </w:r>
          </w:p>
        </w:tc>
        <w:tc>
          <w:tcPr>
            <w:tcW w:type="dxa" w:w="2592"/>
            <w:vAlign w:val="center"/>
          </w:tcPr>
          <w:p>
            <w:r/>
            <w:r>
              <w:rPr>
                <w:b w:val="0"/>
                <w:sz w:val="16"/>
              </w:rPr>
              <w:t>Week 2 feature redundancy had to be corrected before coefficients could be interpreted safely.</w:t>
            </w:r>
          </w:p>
        </w:tc>
      </w:tr>
      <w:tr>
        <w:tc>
          <w:tcPr>
            <w:tcW w:type="dxa" w:w="2160"/>
            <w:vAlign w:val="center"/>
            <w:shd w:fill="F3F5F7"/>
          </w:tcPr>
          <w:p>
            <w:r/>
            <w:r>
              <w:rPr>
                <w:b w:val="0"/>
                <w:sz w:val="16"/>
              </w:rPr>
              <w:t>Week 2 prepared modelling dataset</w:t>
            </w:r>
          </w:p>
        </w:tc>
        <w:tc>
          <w:tcPr>
            <w:tcW w:type="dxa" w:w="2592"/>
            <w:vAlign w:val="center"/>
            <w:shd w:fill="F3F5F7"/>
          </w:tcPr>
          <w:p>
            <w:r/>
            <w:r>
              <w:rPr>
                <w:b w:val="0"/>
                <w:sz w:val="16"/>
              </w:rPr>
              <w:t>Reproducibility/reference check</w:t>
            </w:r>
          </w:p>
        </w:tc>
        <w:tc>
          <w:tcPr>
            <w:tcW w:type="dxa" w:w="2592"/>
            <w:vAlign w:val="center"/>
            <w:shd w:fill="F3F5F7"/>
          </w:tcPr>
          <w:p>
            <w:r/>
            <w:r>
              <w:rPr>
                <w:b w:val="0"/>
                <w:sz w:val="16"/>
              </w:rPr>
              <w:t>Confirmed previous engineered-feature definitions and dimensions</w:t>
            </w:r>
          </w:p>
        </w:tc>
        <w:tc>
          <w:tcPr>
            <w:tcW w:type="dxa" w:w="2592"/>
            <w:vAlign w:val="center"/>
            <w:shd w:fill="F3F5F7"/>
          </w:tcPr>
          <w:p>
            <w:r/>
            <w:r>
              <w:rPr>
                <w:b w:val="0"/>
                <w:sz w:val="16"/>
              </w:rPr>
              <w:t>Not used as a shortcut around training-only fitting; Week 3 reconstruction preserves the original split logic.</w:t>
            </w:r>
          </w:p>
        </w:tc>
      </w:tr>
      <w:tr>
        <w:tc>
          <w:tcPr>
            <w:tcW w:type="dxa" w:w="2160"/>
            <w:vAlign w:val="center"/>
          </w:tcPr>
          <w:p>
            <w:r/>
            <w:r>
              <w:rPr>
                <w:b w:val="0"/>
                <w:sz w:val="16"/>
              </w:rPr>
              <w:t>FinTrust project brief / roadmap</w:t>
            </w:r>
          </w:p>
        </w:tc>
        <w:tc>
          <w:tcPr>
            <w:tcW w:type="dxa" w:w="2592"/>
            <w:vAlign w:val="center"/>
          </w:tcPr>
          <w:p>
            <w:r/>
            <w:r>
              <w:rPr>
                <w:b w:val="0"/>
                <w:sz w:val="16"/>
              </w:rPr>
              <w:t>Business framing and scope control</w:t>
            </w:r>
          </w:p>
        </w:tc>
        <w:tc>
          <w:tcPr>
            <w:tcW w:type="dxa" w:w="2592"/>
            <w:vAlign w:val="center"/>
          </w:tcPr>
          <w:p>
            <w:r/>
            <w:r>
              <w:rPr>
                <w:b w:val="0"/>
                <w:sz w:val="16"/>
              </w:rPr>
              <w:t>Review-prioritisation framing and four-week sequence</w:t>
            </w:r>
          </w:p>
        </w:tc>
        <w:tc>
          <w:tcPr>
            <w:tcW w:type="dxa" w:w="2592"/>
            <w:vAlign w:val="center"/>
          </w:tcPr>
          <w:p>
            <w:r/>
            <w:r>
              <w:rPr>
                <w:b w:val="0"/>
                <w:sz w:val="16"/>
              </w:rPr>
              <w:t>No quantified business cost ratio for false positives versus false negatives.</w:t>
            </w:r>
          </w:p>
        </w:tc>
      </w:tr>
    </w:tbl>
    <w:p>
      <w:pPr>
        <w:spacing w:after="20"/>
      </w:pPr>
    </w:p>
    <w:p>
      <w:pPr>
        <w:pStyle w:val="Heading2"/>
        <w:spacing w:before="160" w:after="80"/>
      </w:pPr>
      <w:r>
        <w:t>3.2 Tools</w:t>
      </w:r>
    </w:p>
    <w:tbl>
      <w:tblPr>
        <w:tblW w:type="auto" w:w="0"/>
        <w:jc w:val="center"/>
        <w:tblLook w:firstColumn="1" w:firstRow="1" w:lastColumn="0" w:lastRow="0" w:noHBand="0" w:noVBand="1" w:val="04A0"/>
      </w:tblPr>
      <w:tblGrid>
        <w:gridCol w:w="3009"/>
        <w:gridCol w:w="3009"/>
        <w:gridCol w:w="3009"/>
      </w:tblGrid>
      <w:tr>
        <w:tc>
          <w:tcPr>
            <w:tcW w:type="dxa" w:w="2304"/>
            <w:vAlign w:val="center"/>
            <w:shd w:fill="1F3B63"/>
          </w:tcPr>
          <w:p>
            <w:r/>
            <w:r>
              <w:rPr>
                <w:b/>
                <w:color w:val="FFFFFF"/>
                <w:sz w:val="16"/>
              </w:rPr>
              <w:t>Tool</w:t>
            </w:r>
          </w:p>
        </w:tc>
        <w:tc>
          <w:tcPr>
            <w:tcW w:type="dxa" w:w="3168"/>
            <w:vAlign w:val="center"/>
            <w:shd w:fill="1F3B63"/>
          </w:tcPr>
          <w:p>
            <w:r/>
            <w:r>
              <w:rPr>
                <w:b/>
                <w:color w:val="FFFFFF"/>
                <w:sz w:val="16"/>
              </w:rPr>
              <w:t>What it was used for</w:t>
            </w:r>
          </w:p>
        </w:tc>
        <w:tc>
          <w:tcPr>
            <w:tcW w:type="dxa" w:w="4320"/>
            <w:vAlign w:val="center"/>
            <w:shd w:fill="1F3B63"/>
          </w:tcPr>
          <w:p>
            <w:r/>
            <w:r>
              <w:rPr>
                <w:b/>
                <w:color w:val="FFFFFF"/>
                <w:sz w:val="16"/>
              </w:rPr>
              <w:t>Why appropriate</w:t>
            </w:r>
          </w:p>
        </w:tc>
      </w:tr>
      <w:tr>
        <w:tc>
          <w:tcPr>
            <w:tcW w:type="dxa" w:w="2304"/>
            <w:vAlign w:val="center"/>
          </w:tcPr>
          <w:p>
            <w:r/>
            <w:r>
              <w:rPr>
                <w:b w:val="0"/>
                <w:sz w:val="16"/>
              </w:rPr>
              <w:t>Python 3 / Jupyter / Colab</w:t>
            </w:r>
          </w:p>
        </w:tc>
        <w:tc>
          <w:tcPr>
            <w:tcW w:type="dxa" w:w="3168"/>
            <w:vAlign w:val="center"/>
          </w:tcPr>
          <w:p>
            <w:r/>
            <w:r>
              <w:rPr>
                <w:b w:val="0"/>
                <w:sz w:val="16"/>
              </w:rPr>
              <w:t>End-to-end reproducible Week 3 analysis</w:t>
            </w:r>
          </w:p>
        </w:tc>
        <w:tc>
          <w:tcPr>
            <w:tcW w:type="dxa" w:w="4320"/>
            <w:vAlign w:val="center"/>
          </w:tcPr>
          <w:p>
            <w:r/>
            <w:r>
              <w:rPr>
                <w:b w:val="0"/>
                <w:sz w:val="16"/>
              </w:rPr>
              <w:t>Keeps code, outputs and reasoning together; notebook verified to run end-to-end.</w:t>
            </w:r>
          </w:p>
        </w:tc>
      </w:tr>
      <w:tr>
        <w:tc>
          <w:tcPr>
            <w:tcW w:type="dxa" w:w="2304"/>
            <w:vAlign w:val="center"/>
            <w:shd w:fill="F3F5F7"/>
          </w:tcPr>
          <w:p>
            <w:r/>
            <w:r>
              <w:rPr>
                <w:b w:val="0"/>
                <w:sz w:val="16"/>
              </w:rPr>
              <w:t>pandas / NumPy</w:t>
            </w:r>
          </w:p>
        </w:tc>
        <w:tc>
          <w:tcPr>
            <w:tcW w:type="dxa" w:w="3168"/>
            <w:vAlign w:val="center"/>
            <w:shd w:fill="F3F5F7"/>
          </w:tcPr>
          <w:p>
            <w:r/>
            <w:r>
              <w:rPr>
                <w:b w:val="0"/>
                <w:sz w:val="16"/>
              </w:rPr>
              <w:t>Data preparation, feature transformations, result tables</w:t>
            </w:r>
          </w:p>
        </w:tc>
        <w:tc>
          <w:tcPr>
            <w:tcW w:type="dxa" w:w="4320"/>
            <w:vAlign w:val="center"/>
            <w:shd w:fill="F3F5F7"/>
          </w:tcPr>
          <w:p>
            <w:r/>
            <w:r>
              <w:rPr>
                <w:b w:val="0"/>
                <w:sz w:val="16"/>
              </w:rPr>
              <w:t>Consistent with Week 2 and sufficient for tabular synthetic data.</w:t>
            </w:r>
          </w:p>
        </w:tc>
      </w:tr>
      <w:tr>
        <w:tc>
          <w:tcPr>
            <w:tcW w:type="dxa" w:w="2304"/>
            <w:vAlign w:val="center"/>
          </w:tcPr>
          <w:p>
            <w:r/>
            <w:r>
              <w:rPr>
                <w:b w:val="0"/>
                <w:sz w:val="16"/>
              </w:rPr>
              <w:t>scikit-learn Pipeline / ColumnTransformer</w:t>
            </w:r>
          </w:p>
        </w:tc>
        <w:tc>
          <w:tcPr>
            <w:tcW w:type="dxa" w:w="3168"/>
            <w:vAlign w:val="center"/>
          </w:tcPr>
          <w:p>
            <w:r/>
            <w:r>
              <w:rPr>
                <w:b w:val="0"/>
                <w:sz w:val="16"/>
              </w:rPr>
              <w:t>Preprocessing, fitting and fold-safe transformation</w:t>
            </w:r>
          </w:p>
        </w:tc>
        <w:tc>
          <w:tcPr>
            <w:tcW w:type="dxa" w:w="4320"/>
            <w:vAlign w:val="center"/>
          </w:tcPr>
          <w:p>
            <w:r/>
            <w:r>
              <w:rPr>
                <w:b w:val="0"/>
                <w:sz w:val="16"/>
              </w:rPr>
              <w:t>Refits preprocessing inside each CV fold, enforcing leakage control mechanically.</w:t>
            </w:r>
          </w:p>
        </w:tc>
      </w:tr>
      <w:tr>
        <w:tc>
          <w:tcPr>
            <w:tcW w:type="dxa" w:w="2304"/>
            <w:vAlign w:val="center"/>
            <w:shd w:fill="F3F5F7"/>
          </w:tcPr>
          <w:p>
            <w:r/>
            <w:r>
              <w:rPr>
                <w:b w:val="0"/>
                <w:sz w:val="16"/>
              </w:rPr>
              <w:t>RandomizedSearchCV</w:t>
            </w:r>
          </w:p>
        </w:tc>
        <w:tc>
          <w:tcPr>
            <w:tcW w:type="dxa" w:w="3168"/>
            <w:vAlign w:val="center"/>
            <w:shd w:fill="F3F5F7"/>
          </w:tcPr>
          <w:p>
            <w:r/>
            <w:r>
              <w:rPr>
                <w:b w:val="0"/>
                <w:sz w:val="16"/>
              </w:rPr>
              <w:t>Bounded tuning of tree/boosting candidates</w:t>
            </w:r>
          </w:p>
        </w:tc>
        <w:tc>
          <w:tcPr>
            <w:tcW w:type="dxa" w:w="4320"/>
            <w:vAlign w:val="center"/>
            <w:shd w:fill="F3F5F7"/>
          </w:tcPr>
          <w:p>
            <w:r/>
            <w:r>
              <w:rPr>
                <w:b w:val="0"/>
                <w:sz w:val="16"/>
              </w:rPr>
              <w:t>Tests useful parameter combinations without an excessive exhaustive grid.</w:t>
            </w:r>
          </w:p>
        </w:tc>
      </w:tr>
      <w:tr>
        <w:tc>
          <w:tcPr>
            <w:tcW w:type="dxa" w:w="2304"/>
            <w:vAlign w:val="center"/>
          </w:tcPr>
          <w:p>
            <w:r/>
            <w:r>
              <w:rPr>
                <w:b w:val="0"/>
                <w:sz w:val="16"/>
              </w:rPr>
              <w:t>GradientBoostingClassifier</w:t>
            </w:r>
          </w:p>
        </w:tc>
        <w:tc>
          <w:tcPr>
            <w:tcW w:type="dxa" w:w="3168"/>
            <w:vAlign w:val="center"/>
          </w:tcPr>
          <w:p>
            <w:r/>
            <w:r>
              <w:rPr>
                <w:b w:val="0"/>
                <w:sz w:val="16"/>
              </w:rPr>
              <w:t>First additional model family</w:t>
            </w:r>
          </w:p>
        </w:tc>
        <w:tc>
          <w:tcPr>
            <w:tcW w:type="dxa" w:w="4320"/>
            <w:vAlign w:val="center"/>
          </w:tcPr>
          <w:p>
            <w:r/>
            <w:r>
              <w:rPr>
                <w:b w:val="0"/>
                <w:sz w:val="16"/>
              </w:rPr>
              <w:t>Tests sequential nonlinear boosting using standard sklearn.</w:t>
            </w:r>
          </w:p>
        </w:tc>
      </w:tr>
      <w:tr>
        <w:tc>
          <w:tcPr>
            <w:tcW w:type="dxa" w:w="2304"/>
            <w:vAlign w:val="center"/>
            <w:shd w:fill="F3F5F7"/>
          </w:tcPr>
          <w:p>
            <w:r/>
            <w:r>
              <w:rPr>
                <w:b w:val="0"/>
                <w:sz w:val="16"/>
              </w:rPr>
              <w:t>HistGradientBoostingClassifier</w:t>
            </w:r>
          </w:p>
        </w:tc>
        <w:tc>
          <w:tcPr>
            <w:tcW w:type="dxa" w:w="3168"/>
            <w:vAlign w:val="center"/>
            <w:shd w:fill="F3F5F7"/>
          </w:tcPr>
          <w:p>
            <w:r/>
            <w:r>
              <w:rPr>
                <w:b w:val="0"/>
                <w:sz w:val="16"/>
              </w:rPr>
              <w:t>Second additional model family</w:t>
            </w:r>
          </w:p>
        </w:tc>
        <w:tc>
          <w:tcPr>
            <w:tcW w:type="dxa" w:w="4320"/>
            <w:vAlign w:val="center"/>
            <w:shd w:fill="F3F5F7"/>
          </w:tcPr>
          <w:p>
            <w:r/>
            <w:r>
              <w:rPr>
                <w:b w:val="0"/>
                <w:sz w:val="16"/>
              </w:rPr>
              <w:t>Efficient histogram-based nonlinear boosting; justified substitute when XGBoost was unavailable.</w:t>
            </w:r>
          </w:p>
        </w:tc>
      </w:tr>
      <w:tr>
        <w:tc>
          <w:tcPr>
            <w:tcW w:type="dxa" w:w="2304"/>
            <w:vAlign w:val="center"/>
          </w:tcPr>
          <w:p>
            <w:r/>
            <w:r>
              <w:rPr>
                <w:b w:val="0"/>
                <w:sz w:val="16"/>
              </w:rPr>
              <w:t>Permutation importance</w:t>
            </w:r>
          </w:p>
        </w:tc>
        <w:tc>
          <w:tcPr>
            <w:tcW w:type="dxa" w:w="3168"/>
            <w:vAlign w:val="center"/>
          </w:tcPr>
          <w:p>
            <w:r/>
            <w:r>
              <w:rPr>
                <w:b w:val="0"/>
                <w:sz w:val="16"/>
              </w:rPr>
              <w:t>Validation-set model interpretation</w:t>
            </w:r>
          </w:p>
        </w:tc>
        <w:tc>
          <w:tcPr>
            <w:tcW w:type="dxa" w:w="4320"/>
            <w:vAlign w:val="center"/>
          </w:tcPr>
          <w:p>
            <w:r/>
            <w:r>
              <w:rPr>
                <w:b w:val="0"/>
                <w:sz w:val="16"/>
              </w:rPr>
              <w:t>Model-agnostic and directly comparable with Week 2 interpretation.</w:t>
            </w:r>
          </w:p>
        </w:tc>
      </w:tr>
      <w:tr>
        <w:tc>
          <w:tcPr>
            <w:tcW w:type="dxa" w:w="2304"/>
            <w:vAlign w:val="center"/>
            <w:shd w:fill="F3F5F7"/>
          </w:tcPr>
          <w:p>
            <w:r/>
            <w:r>
              <w:rPr>
                <w:b w:val="0"/>
                <w:sz w:val="16"/>
              </w:rPr>
              <w:t>Git / GitHub</w:t>
            </w:r>
          </w:p>
        </w:tc>
        <w:tc>
          <w:tcPr>
            <w:tcW w:type="dxa" w:w="3168"/>
            <w:vAlign w:val="center"/>
            <w:shd w:fill="F3F5F7"/>
          </w:tcPr>
          <w:p>
            <w:r/>
            <w:r>
              <w:rPr>
                <w:b w:val="0"/>
                <w:sz w:val="16"/>
              </w:rPr>
              <w:t>Version control and portfolio submission</w:t>
            </w:r>
          </w:p>
        </w:tc>
        <w:tc>
          <w:tcPr>
            <w:tcW w:type="dxa" w:w="4320"/>
            <w:vAlign w:val="center"/>
            <w:shd w:fill="F3F5F7"/>
          </w:tcPr>
          <w:p>
            <w:r/>
            <w:r>
              <w:rPr>
                <w:b w:val="0"/>
                <w:sz w:val="16"/>
              </w:rPr>
              <w:t>Preserves the Week 1 → Week 2 → Week 3 progression in one repository.</w:t>
            </w:r>
          </w:p>
        </w:tc>
      </w:tr>
    </w:tbl>
    <w:p>
      <w:pPr>
        <w:spacing w:after="20"/>
      </w:pPr>
    </w:p>
    <w:p>
      <w:pPr>
        <w:pStyle w:val="Heading1"/>
        <w:spacing w:before="200" w:after="100"/>
      </w:pPr>
      <w:r>
        <w:t>4. Part A — Baseline Model Review</w:t>
      </w:r>
    </w:p>
    <w:p>
      <w:pPr>
        <w:spacing w:after="100" w:line="252" w:lineRule="auto"/>
      </w:pPr>
      <w:r>
        <w:rPr>
          <w:b w:val="0"/>
          <w:i w:val="0"/>
          <w:sz w:val="19"/>
        </w:rPr>
        <w:t>Week 3 begins from the selected Week 2 logistic-regression baseline, not from a new specification. The review covers performance, features, preprocessing, metrics, error behaviour and limitations, as required by Part A.</w:t>
      </w:r>
    </w:p>
    <w:p>
      <w:pPr>
        <w:pStyle w:val="Heading2"/>
        <w:spacing w:before="160" w:after="80"/>
      </w:pPr>
      <w:r>
        <w:t>4.1 Performance carried forward from Week 2</w:t>
      </w:r>
    </w:p>
    <w:tbl>
      <w:tblPr>
        <w:tblW w:type="auto" w:w="0"/>
        <w:jc w:val="center"/>
        <w:tblLook w:firstColumn="1" w:firstRow="1" w:lastColumn="0" w:lastRow="0" w:noHBand="0" w:noVBand="1" w:val="04A0"/>
      </w:tblPr>
      <w:tblGrid>
        <w:gridCol w:w="3009"/>
        <w:gridCol w:w="3009"/>
        <w:gridCol w:w="3009"/>
      </w:tblGrid>
      <w:tr>
        <w:tc>
          <w:tcPr>
            <w:tcW w:type="dxa" w:w="2592"/>
            <w:vAlign w:val="center"/>
            <w:shd w:fill="1F3B63"/>
          </w:tcPr>
          <w:p>
            <w:r/>
            <w:r>
              <w:rPr>
                <w:b/>
                <w:color w:val="FFFFFF"/>
                <w:sz w:val="16"/>
              </w:rPr>
              <w:t>Measure</w:t>
            </w:r>
          </w:p>
        </w:tc>
        <w:tc>
          <w:tcPr>
            <w:tcW w:type="dxa" w:w="2592"/>
            <w:vAlign w:val="center"/>
            <w:shd w:fill="1F3B63"/>
          </w:tcPr>
          <w:p>
            <w:r/>
            <w:r>
              <w:rPr>
                <w:b/>
                <w:color w:val="FFFFFF"/>
                <w:sz w:val="16"/>
              </w:rPr>
              <w:t>Week 2 evidence</w:t>
            </w:r>
          </w:p>
        </w:tc>
        <w:tc>
          <w:tcPr>
            <w:tcW w:type="dxa" w:w="4320"/>
            <w:vAlign w:val="center"/>
            <w:shd w:fill="1F3B63"/>
          </w:tcPr>
          <w:p>
            <w:r/>
            <w:r>
              <w:rPr>
                <w:b/>
                <w:color w:val="FFFFFF"/>
                <w:sz w:val="16"/>
              </w:rPr>
              <w:t>Week 3 implication</w:t>
            </w:r>
          </w:p>
        </w:tc>
      </w:tr>
      <w:tr>
        <w:tc>
          <w:tcPr>
            <w:tcW w:type="dxa" w:w="2592"/>
            <w:vAlign w:val="center"/>
          </w:tcPr>
          <w:p>
            <w:r/>
            <w:r>
              <w:rPr>
                <w:b w:val="0"/>
                <w:sz w:val="16"/>
              </w:rPr>
              <w:t>5-fold CV ROC-AUC</w:t>
            </w:r>
          </w:p>
        </w:tc>
        <w:tc>
          <w:tcPr>
            <w:tcW w:type="dxa" w:w="2592"/>
            <w:vAlign w:val="center"/>
          </w:tcPr>
          <w:p>
            <w:r/>
            <w:r>
              <w:rPr>
                <w:b w:val="0"/>
                <w:sz w:val="16"/>
              </w:rPr>
              <w:t>0.665 ± 0.017</w:t>
            </w:r>
          </w:p>
        </w:tc>
        <w:tc>
          <w:tcPr>
            <w:tcW w:type="dxa" w:w="4320"/>
            <w:vAlign w:val="center"/>
          </w:tcPr>
          <w:p>
            <w:r/>
            <w:r>
              <w:rPr>
                <w:b w:val="0"/>
                <w:sz w:val="16"/>
              </w:rPr>
              <w:t>Below the ≥0.75 target; meaningful challenger must clear the replacement rule.</w:t>
            </w:r>
          </w:p>
        </w:tc>
      </w:tr>
      <w:tr>
        <w:tc>
          <w:tcPr>
            <w:tcW w:type="dxa" w:w="2592"/>
            <w:vAlign w:val="center"/>
            <w:shd w:fill="F3F5F7"/>
          </w:tcPr>
          <w:p>
            <w:r/>
            <w:r>
              <w:rPr>
                <w:b w:val="0"/>
                <w:sz w:val="16"/>
              </w:rPr>
              <w:t>Validation ROC-AUC</w:t>
            </w:r>
          </w:p>
        </w:tc>
        <w:tc>
          <w:tcPr>
            <w:tcW w:type="dxa" w:w="2592"/>
            <w:vAlign w:val="center"/>
            <w:shd w:fill="F3F5F7"/>
          </w:tcPr>
          <w:p>
            <w:r/>
            <w:r>
              <w:rPr>
                <w:b w:val="0"/>
                <w:sz w:val="16"/>
              </w:rPr>
              <w:t>0.674</w:t>
            </w:r>
          </w:p>
        </w:tc>
        <w:tc>
          <w:tcPr>
            <w:tcW w:type="dxa" w:w="4320"/>
            <w:vAlign w:val="center"/>
            <w:shd w:fill="F3F5F7"/>
          </w:tcPr>
          <w:p>
            <w:r/>
            <w:r>
              <w:rPr>
                <w:b w:val="0"/>
                <w:sz w:val="16"/>
              </w:rPr>
              <w:t>Modest discrimination; room for improvement.</w:t>
            </w:r>
          </w:p>
        </w:tc>
      </w:tr>
      <w:tr>
        <w:tc>
          <w:tcPr>
            <w:tcW w:type="dxa" w:w="2592"/>
            <w:vAlign w:val="center"/>
          </w:tcPr>
          <w:p>
            <w:r/>
            <w:r>
              <w:rPr>
                <w:b w:val="0"/>
                <w:sz w:val="16"/>
              </w:rPr>
              <w:t>Recall at default 0.5</w:t>
            </w:r>
          </w:p>
        </w:tc>
        <w:tc>
          <w:tcPr>
            <w:tcW w:type="dxa" w:w="2592"/>
            <w:vAlign w:val="center"/>
          </w:tcPr>
          <w:p>
            <w:r/>
            <w:r>
              <w:rPr>
                <w:b w:val="0"/>
                <w:sz w:val="16"/>
              </w:rPr>
              <w:t>0.671</w:t>
            </w:r>
          </w:p>
        </w:tc>
        <w:tc>
          <w:tcPr>
            <w:tcW w:type="dxa" w:w="4320"/>
            <w:vAlign w:val="center"/>
          </w:tcPr>
          <w:p>
            <w:r/>
            <w:r>
              <w:rPr>
                <w:b w:val="0"/>
                <w:sz w:val="16"/>
              </w:rPr>
              <w:t>Below binding ≥0.70 constraint.</w:t>
            </w:r>
          </w:p>
        </w:tc>
      </w:tr>
      <w:tr>
        <w:tc>
          <w:tcPr>
            <w:tcW w:type="dxa" w:w="2592"/>
            <w:vAlign w:val="center"/>
            <w:shd w:fill="F3F5F7"/>
          </w:tcPr>
          <w:p>
            <w:r/>
            <w:r>
              <w:rPr>
                <w:b w:val="0"/>
                <w:sz w:val="16"/>
              </w:rPr>
              <w:t>Recall at tuned threshold</w:t>
            </w:r>
          </w:p>
        </w:tc>
        <w:tc>
          <w:tcPr>
            <w:tcW w:type="dxa" w:w="2592"/>
            <w:vAlign w:val="center"/>
            <w:shd w:fill="F3F5F7"/>
          </w:tcPr>
          <w:p>
            <w:r/>
            <w:r>
              <w:rPr>
                <w:b w:val="0"/>
                <w:sz w:val="16"/>
              </w:rPr>
              <w:t>0.703</w:t>
            </w:r>
          </w:p>
        </w:tc>
        <w:tc>
          <w:tcPr>
            <w:tcW w:type="dxa" w:w="4320"/>
            <w:vAlign w:val="center"/>
            <w:shd w:fill="F3F5F7"/>
          </w:tcPr>
          <w:p>
            <w:r/>
            <w:r>
              <w:rPr>
                <w:b w:val="0"/>
                <w:sz w:val="16"/>
              </w:rPr>
              <w:t>Constraint achievable through threshold selection.</w:t>
            </w:r>
          </w:p>
        </w:tc>
      </w:tr>
      <w:tr>
        <w:tc>
          <w:tcPr>
            <w:tcW w:type="dxa" w:w="2592"/>
            <w:vAlign w:val="center"/>
          </w:tcPr>
          <w:p>
            <w:r/>
            <w:r>
              <w:rPr>
                <w:b w:val="0"/>
                <w:sz w:val="16"/>
              </w:rPr>
              <w:t>Precision at tuned threshold</w:t>
            </w:r>
          </w:p>
        </w:tc>
        <w:tc>
          <w:tcPr>
            <w:tcW w:type="dxa" w:w="2592"/>
            <w:vAlign w:val="center"/>
          </w:tcPr>
          <w:p>
            <w:r/>
            <w:r>
              <w:rPr>
                <w:b w:val="0"/>
                <w:sz w:val="16"/>
              </w:rPr>
              <w:t>0.283</w:t>
            </w:r>
          </w:p>
        </w:tc>
        <w:tc>
          <w:tcPr>
            <w:tcW w:type="dxa" w:w="4320"/>
            <w:vAlign w:val="center"/>
          </w:tcPr>
          <w:p>
            <w:r/>
            <w:r>
              <w:rPr>
                <w:b w:val="0"/>
                <w:sz w:val="16"/>
              </w:rPr>
              <w:t>High review workload must be reported explicitly.</w:t>
            </w:r>
          </w:p>
        </w:tc>
      </w:tr>
      <w:tr>
        <w:tc>
          <w:tcPr>
            <w:tcW w:type="dxa" w:w="2592"/>
            <w:vAlign w:val="center"/>
            <w:shd w:fill="F3F5F7"/>
          </w:tcPr>
          <w:p>
            <w:r/>
            <w:r>
              <w:rPr>
                <w:b w:val="0"/>
                <w:sz w:val="16"/>
              </w:rPr>
              <w:t>Top-decile lift</w:t>
            </w:r>
          </w:p>
        </w:tc>
        <w:tc>
          <w:tcPr>
            <w:tcW w:type="dxa" w:w="2592"/>
            <w:vAlign w:val="center"/>
            <w:shd w:fill="F3F5F7"/>
          </w:tcPr>
          <w:p>
            <w:r/>
            <w:r>
              <w:rPr>
                <w:b w:val="0"/>
                <w:sz w:val="16"/>
              </w:rPr>
              <w:t>1.96×</w:t>
            </w:r>
          </w:p>
        </w:tc>
        <w:tc>
          <w:tcPr>
            <w:tcW w:type="dxa" w:w="4320"/>
            <w:vAlign w:val="center"/>
            <w:shd w:fill="F3F5F7"/>
          </w:tcPr>
          <w:p>
            <w:r/>
            <w:r>
              <w:rPr>
                <w:b w:val="0"/>
                <w:sz w:val="16"/>
              </w:rPr>
              <w:t>Some prioritisation value despite modest AUC.</w:t>
            </w:r>
          </w:p>
        </w:tc>
      </w:tr>
    </w:tbl>
    <w:p>
      <w:pPr>
        <w:spacing w:after="20"/>
      </w:pPr>
    </w:p>
    <w:p>
      <w:pPr>
        <w:pStyle w:val="Heading2"/>
        <w:spacing w:before="160" w:after="80"/>
      </w:pPr>
      <w:r>
        <w:t>4.2 Feature-set review</w:t>
      </w:r>
    </w:p>
    <w:p>
      <w:pPr>
        <w:spacing w:after="100" w:line="252" w:lineRule="auto"/>
      </w:pPr>
      <w:r>
        <w:rPr>
          <w:b w:val="0"/>
          <w:i w:val="0"/>
          <w:sz w:val="19"/>
        </w:rPr>
        <w:t>Week 2 interpretation identified a clear hierarchy: Transaction_Type and Is_Overnight dominated; amount and international status added secondary signal; customer-level attributes contributed almost nothing. The major defect was not leakage but redundancy: Amount_Log, Amount_Band and Is_High_Value encoded the same underlying quantity, while Amount_vs_Cust_Mean added little once absolute amount was present.</w:t>
      </w:r>
    </w:p>
    <w:p>
      <w:pPr>
        <w:pStyle w:val="Heading2"/>
        <w:spacing w:before="160" w:after="80"/>
      </w:pPr>
      <w:r>
        <w:t>4.3 Preprocessing review</w:t>
      </w:r>
    </w:p>
    <w:p>
      <w:pPr>
        <w:spacing w:after="100" w:line="252" w:lineRule="auto"/>
      </w:pPr>
      <w:r>
        <w:rPr>
          <w:b w:val="0"/>
          <w:i w:val="0"/>
          <w:sz w:val="19"/>
        </w:rPr>
        <w:t>The preprocessing design itself was retained. Numeric scaling and categorical one-hot encoding remain inside a ColumnTransformer embedded in each scikit-learn Pipeline. This is important because cross-validation refits preprocessing inside every training fold. The Week 3 improvement therefore targets feature content and model family, not the leakage-safe architecture.</w:t>
      </w:r>
    </w:p>
    <w:p>
      <w:pPr>
        <w:pStyle w:val="Heading2"/>
        <w:spacing w:before="160" w:after="80"/>
      </w:pPr>
      <w:r>
        <w:t>4.4 Areas requiring improvement</w:t>
      </w:r>
    </w:p>
    <w:p>
      <w:pPr>
        <w:spacing w:after="40"/>
        <w:ind w:left="288" w:hanging="216"/>
      </w:pPr>
      <w:r>
        <w:rPr>
          <w:sz w:val="19"/>
        </w:rPr>
        <w:t>• Remove redundant and near-zero-value features so the candidate can be interpreted directly.</w:t>
      </w:r>
    </w:p>
    <w:p>
      <w:pPr>
        <w:spacing w:after="40"/>
        <w:ind w:left="288" w:hanging="216"/>
      </w:pPr>
      <w:r>
        <w:rPr>
          <w:sz w:val="19"/>
        </w:rPr>
        <w:t>• Test at least two additional nonlinear classifiers beyond the Week 2 LR/DT/RF set.</w:t>
      </w:r>
    </w:p>
    <w:p>
      <w:pPr>
        <w:spacing w:after="40"/>
        <w:ind w:left="288" w:hanging="216"/>
      </w:pPr>
      <w:r>
        <w:rPr>
          <w:sz w:val="19"/>
        </w:rPr>
        <w:t>• Tune tree-based candidates without using the test set.</w:t>
      </w:r>
    </w:p>
    <w:p>
      <w:pPr>
        <w:spacing w:after="40"/>
        <w:ind w:left="288" w:hanging="216"/>
      </w:pPr>
      <w:r>
        <w:rPr>
          <w:sz w:val="19"/>
        </w:rPr>
        <w:t>• Re-run threshold selection against the binding recall constraint for every candidate.</w:t>
      </w:r>
    </w:p>
    <w:p>
      <w:pPr>
        <w:spacing w:after="40"/>
        <w:ind w:left="288" w:hanging="216"/>
      </w:pPr>
      <w:r>
        <w:rPr>
          <w:sz w:val="19"/>
        </w:rPr>
        <w:t>• Go beyond aggregate recall and quantify false-negative/false-positive patterns by transaction type.</w:t>
      </w:r>
    </w:p>
    <w:p>
      <w:pPr>
        <w:spacing w:after="40"/>
        <w:ind w:left="288" w:hanging="216"/>
      </w:pPr>
      <w:r>
        <w:rPr>
          <w:sz w:val="19"/>
        </w:rPr>
        <w:t>• Freeze the selected candidate after Week 3 to reduce validation overfitting before Week 4.</w:t>
      </w:r>
    </w:p>
    <w:p>
      <w:pPr>
        <w:pStyle w:val="Heading1"/>
        <w:spacing w:before="200" w:after="100"/>
      </w:pPr>
      <w:r>
        <w:t>5. Part B — Additional Model Development</w:t>
      </w:r>
    </w:p>
    <w:p>
      <w:pPr>
        <w:spacing w:after="100" w:line="252" w:lineRule="auto"/>
      </w:pPr>
      <w:r>
        <w:rPr>
          <w:b w:val="0"/>
          <w:i w:val="0"/>
          <w:sz w:val="19"/>
        </w:rPr>
        <w:t>Three challengers were evaluated on the refined Week 3 feature set: a tuned Random Forest and two additional model families, Gradient Boosting and HistGradientBoosting. The two boosting models satisfy the assignment requirement for at least two classifiers beyond the three Week 2 models.</w:t>
      </w:r>
    </w:p>
    <w:p>
      <w:pPr>
        <w:pStyle w:val="Heading2"/>
        <w:spacing w:before="160" w:after="80"/>
      </w:pPr>
      <w:r>
        <w:t>5.1 Search discipline</w:t>
      </w:r>
    </w:p>
    <w:p>
      <w:pPr>
        <w:spacing w:after="100" w:line="252" w:lineRule="auto"/>
      </w:pPr>
      <w:r>
        <w:rPr>
          <w:b w:val="0"/>
          <w:i w:val="0"/>
          <w:sz w:val="19"/>
        </w:rPr>
        <w:t>Hyperparameter search used training-fold ROC-AUC. Validation was not used to fit preprocessing or search parameters; it was used only after fitting for model comparison and threshold selection. The test split remained untouched.</w:t>
      </w:r>
    </w:p>
    <w:tbl>
      <w:tblPr>
        <w:tblW w:type="auto" w:w="0"/>
        <w:jc w:val="center"/>
        <w:tblLook w:firstColumn="1" w:firstRow="1" w:lastColumn="0" w:lastRow="0" w:noHBand="0" w:noVBand="1" w:val="04A0"/>
      </w:tblPr>
      <w:tblGrid>
        <w:gridCol w:w="2256"/>
        <w:gridCol w:w="2256"/>
        <w:gridCol w:w="2256"/>
        <w:gridCol w:w="2256"/>
      </w:tblGrid>
      <w:tr>
        <w:tc>
          <w:tcPr>
            <w:tcW w:type="dxa" w:w="2880"/>
            <w:vAlign w:val="center"/>
            <w:shd w:fill="1F3B63"/>
          </w:tcPr>
          <w:p>
            <w:r/>
            <w:r>
              <w:rPr>
                <w:b/>
                <w:color w:val="FFFFFF"/>
                <w:sz w:val="16"/>
              </w:rPr>
              <w:t>Model</w:t>
            </w:r>
          </w:p>
        </w:tc>
        <w:tc>
          <w:tcPr>
            <w:tcW w:type="dxa" w:w="1872"/>
            <w:vAlign w:val="center"/>
            <w:shd w:fill="1F3B63"/>
          </w:tcPr>
          <w:p>
            <w:r/>
            <w:r>
              <w:rPr>
                <w:b/>
                <w:color w:val="FFFFFF"/>
                <w:sz w:val="16"/>
              </w:rPr>
              <w:t>Best CV ROC-AUC</w:t>
            </w:r>
          </w:p>
        </w:tc>
        <w:tc>
          <w:tcPr>
            <w:tcW w:type="dxa" w:w="2016"/>
            <w:vAlign w:val="center"/>
            <w:shd w:fill="1F3B63"/>
          </w:tcPr>
          <w:p>
            <w:r/>
            <w:r>
              <w:rPr>
                <w:b/>
                <w:color w:val="FFFFFF"/>
                <w:sz w:val="16"/>
              </w:rPr>
              <w:t>Validation ROC-AUC</w:t>
            </w:r>
          </w:p>
        </w:tc>
        <w:tc>
          <w:tcPr>
            <w:tcW w:type="dxa" w:w="3168"/>
            <w:vAlign w:val="center"/>
            <w:shd w:fill="1F3B63"/>
          </w:tcPr>
          <w:p>
            <w:r/>
            <w:r>
              <w:rPr>
                <w:b/>
                <w:color w:val="FFFFFF"/>
                <w:sz w:val="16"/>
              </w:rPr>
              <w:t>Role / finding</w:t>
            </w:r>
          </w:p>
        </w:tc>
      </w:tr>
      <w:tr>
        <w:tc>
          <w:tcPr>
            <w:tcW w:type="dxa" w:w="2880"/>
            <w:vAlign w:val="center"/>
          </w:tcPr>
          <w:p>
            <w:r/>
            <w:r>
              <w:rPr>
                <w:b w:val="0"/>
                <w:sz w:val="16"/>
              </w:rPr>
              <w:t>Tuned Random Forest</w:t>
            </w:r>
          </w:p>
        </w:tc>
        <w:tc>
          <w:tcPr>
            <w:tcW w:type="dxa" w:w="1872"/>
            <w:vAlign w:val="center"/>
          </w:tcPr>
          <w:p>
            <w:r/>
            <w:r>
              <w:rPr>
                <w:b w:val="0"/>
                <w:sz w:val="16"/>
              </w:rPr>
              <w:t>0.662</w:t>
            </w:r>
          </w:p>
        </w:tc>
        <w:tc>
          <w:tcPr>
            <w:tcW w:type="dxa" w:w="2016"/>
            <w:vAlign w:val="center"/>
          </w:tcPr>
          <w:p>
            <w:r/>
            <w:r>
              <w:rPr>
                <w:b w:val="0"/>
                <w:sz w:val="16"/>
              </w:rPr>
              <w:t>0.668</w:t>
            </w:r>
          </w:p>
        </w:tc>
        <w:tc>
          <w:tcPr>
            <w:tcW w:type="dxa" w:w="3168"/>
            <w:vAlign w:val="center"/>
          </w:tcPr>
          <w:p>
            <w:r/>
            <w:r>
              <w:rPr>
                <w:b w:val="0"/>
                <w:sz w:val="16"/>
              </w:rPr>
              <w:t>Checks whether tuning rescues the Week 2 ensemble; it does not.</w:t>
            </w:r>
          </w:p>
        </w:tc>
      </w:tr>
      <w:tr>
        <w:tc>
          <w:tcPr>
            <w:tcW w:type="dxa" w:w="2880"/>
            <w:vAlign w:val="center"/>
            <w:shd w:fill="F3F5F7"/>
          </w:tcPr>
          <w:p>
            <w:r/>
            <w:r>
              <w:rPr>
                <w:b w:val="0"/>
                <w:sz w:val="16"/>
              </w:rPr>
              <w:t>Gradient Boosting</w:t>
            </w:r>
          </w:p>
        </w:tc>
        <w:tc>
          <w:tcPr>
            <w:tcW w:type="dxa" w:w="1872"/>
            <w:vAlign w:val="center"/>
            <w:shd w:fill="F3F5F7"/>
          </w:tcPr>
          <w:p>
            <w:r/>
            <w:r>
              <w:rPr>
                <w:b w:val="0"/>
                <w:sz w:val="16"/>
              </w:rPr>
              <w:t>0.664</w:t>
            </w:r>
          </w:p>
        </w:tc>
        <w:tc>
          <w:tcPr>
            <w:tcW w:type="dxa" w:w="2016"/>
            <w:vAlign w:val="center"/>
            <w:shd w:fill="F3F5F7"/>
          </w:tcPr>
          <w:p>
            <w:r/>
            <w:r>
              <w:rPr>
                <w:b w:val="0"/>
                <w:sz w:val="16"/>
              </w:rPr>
              <w:t>0.672</w:t>
            </w:r>
          </w:p>
        </w:tc>
        <w:tc>
          <w:tcPr>
            <w:tcW w:type="dxa" w:w="3168"/>
            <w:vAlign w:val="center"/>
            <w:shd w:fill="F3F5F7"/>
          </w:tcPr>
          <w:p>
            <w:r/>
            <w:r>
              <w:rPr>
                <w:b w:val="0"/>
                <w:sz w:val="16"/>
              </w:rPr>
              <w:t>Best new nonlinear challenger, but below the refined LR on validation.</w:t>
            </w:r>
          </w:p>
        </w:tc>
      </w:tr>
      <w:tr>
        <w:tc>
          <w:tcPr>
            <w:tcW w:type="dxa" w:w="2880"/>
            <w:vAlign w:val="center"/>
          </w:tcPr>
          <w:p>
            <w:r/>
            <w:r>
              <w:rPr>
                <w:b w:val="0"/>
                <w:sz w:val="16"/>
              </w:rPr>
              <w:t>HistGradientBoosting</w:t>
            </w:r>
          </w:p>
        </w:tc>
        <w:tc>
          <w:tcPr>
            <w:tcW w:type="dxa" w:w="1872"/>
            <w:vAlign w:val="center"/>
          </w:tcPr>
          <w:p>
            <w:r/>
            <w:r>
              <w:rPr>
                <w:b w:val="0"/>
                <w:sz w:val="16"/>
              </w:rPr>
              <w:t>0.658</w:t>
            </w:r>
          </w:p>
        </w:tc>
        <w:tc>
          <w:tcPr>
            <w:tcW w:type="dxa" w:w="2016"/>
            <w:vAlign w:val="center"/>
          </w:tcPr>
          <w:p>
            <w:r/>
            <w:r>
              <w:rPr>
                <w:b w:val="0"/>
                <w:sz w:val="16"/>
              </w:rPr>
              <w:t>0.667</w:t>
            </w:r>
          </w:p>
        </w:tc>
        <w:tc>
          <w:tcPr>
            <w:tcW w:type="dxa" w:w="3168"/>
            <w:vAlign w:val="center"/>
          </w:tcPr>
          <w:p>
            <w:r/>
            <w:r>
              <w:rPr>
                <w:b w:val="0"/>
                <w:sz w:val="16"/>
              </w:rPr>
              <w:t>Second required new family; no material gain.</w:t>
            </w:r>
          </w:p>
        </w:tc>
      </w:tr>
    </w:tbl>
    <w:p>
      <w:pPr>
        <w:spacing w:after="20"/>
      </w:pPr>
    </w:p>
    <w:p>
      <w:pPr>
        <w:pStyle w:val="Heading2"/>
        <w:spacing w:before="160" w:after="80"/>
      </w:pPr>
      <w:r>
        <w:t>5.2 Why XGBoost was not used</w:t>
      </w:r>
    </w:p>
    <w:p>
      <w:pPr>
        <w:spacing w:after="100" w:line="252" w:lineRule="auto"/>
      </w:pPr>
      <w:r>
        <w:rPr>
          <w:b w:val="0"/>
          <w:i w:val="0"/>
          <w:sz w:val="19"/>
        </w:rPr>
        <w:t>XGBoost was planned as a possible Week 3 candidate but was unavailable in the execution environment and could not be installed there. The substitution is documented rather than hidden: scikit-learn’s GradientBoostingClassifier and HistGradientBoostingClassifier provide two legitimate gradient-boosting approaches without adding an unverified external dependency.</w:t>
      </w:r>
    </w:p>
    <w:p>
      <w:pPr>
        <w:pStyle w:val="Heading2"/>
        <w:spacing w:before="160" w:after="80"/>
      </w:pPr>
      <w:r>
        <w:t>5.3 Result of the algorithmic-ceiling test</w:t>
      </w:r>
    </w:p>
    <w:p>
      <w:pPr>
        <w:spacing w:after="100" w:line="252" w:lineRule="auto"/>
      </w:pPr>
      <w:r>
        <w:rPr>
          <w:b w:val="0"/>
          <w:i w:val="0"/>
          <w:sz w:val="19"/>
        </w:rPr>
        <w:t>The best new challenger reached validation ROC-AUC 0.672. The refined logistic regression reached 0.683. More importantly, no challenger exceeded the incumbent by more than the incumbent’s own cross-fold standard deviation. The pre-registered replacement rule therefore does not trigger. The result supports the Week 2 narrative that the main constraint is the feature information available, not simply the absence of a more sophisticated classifier.</w:t>
      </w:r>
    </w:p>
    <w:p>
      <w:pPr>
        <w:pStyle w:val="Heading1"/>
        <w:spacing w:before="200" w:after="100"/>
      </w:pPr>
      <w:r>
        <w:t>6. Part C — Feature Refinement</w:t>
      </w:r>
    </w:p>
    <w:p>
      <w:pPr>
        <w:spacing w:after="100" w:line="252" w:lineRule="auto"/>
      </w:pPr>
      <w:r>
        <w:rPr>
          <w:b w:val="0"/>
          <w:i w:val="0"/>
          <w:sz w:val="19"/>
        </w:rPr>
        <w:t>Feature refinement was evidence-led. No feature was removed because it was inconvenient to the result; each decision traces to Week 2 importance, hypothesis evidence, fairness scrutiny or the multicollinearity defect.</w:t>
      </w:r>
    </w:p>
    <w:tbl>
      <w:tblPr>
        <w:tblW w:type="auto" w:w="0"/>
        <w:jc w:val="center"/>
        <w:tblLook w:firstColumn="1" w:firstRow="1" w:lastColumn="0" w:lastRow="0" w:noHBand="0" w:noVBand="1" w:val="04A0"/>
      </w:tblPr>
      <w:tblGrid>
        <w:gridCol w:w="2256"/>
        <w:gridCol w:w="2256"/>
        <w:gridCol w:w="2256"/>
        <w:gridCol w:w="2256"/>
      </w:tblGrid>
      <w:tr>
        <w:tc>
          <w:tcPr>
            <w:tcW w:type="dxa" w:w="2376"/>
            <w:vAlign w:val="center"/>
            <w:shd w:fill="1F3B63"/>
          </w:tcPr>
          <w:p>
            <w:r/>
            <w:r>
              <w:rPr>
                <w:b/>
                <w:color w:val="FFFFFF"/>
                <w:sz w:val="16"/>
              </w:rPr>
              <w:t>Feature decision</w:t>
            </w:r>
          </w:p>
        </w:tc>
        <w:tc>
          <w:tcPr>
            <w:tcW w:type="dxa" w:w="2952"/>
            <w:vAlign w:val="center"/>
            <w:shd w:fill="1F3B63"/>
          </w:tcPr>
          <w:p>
            <w:r/>
            <w:r>
              <w:rPr>
                <w:b/>
                <w:color w:val="FFFFFF"/>
                <w:sz w:val="16"/>
              </w:rPr>
              <w:t>Reason</w:t>
            </w:r>
          </w:p>
        </w:tc>
        <w:tc>
          <w:tcPr>
            <w:tcW w:type="dxa" w:w="2448"/>
            <w:vAlign w:val="center"/>
            <w:shd w:fill="1F3B63"/>
          </w:tcPr>
          <w:p>
            <w:r/>
            <w:r>
              <w:rPr>
                <w:b/>
                <w:color w:val="FFFFFF"/>
                <w:sz w:val="16"/>
              </w:rPr>
              <w:t>Expected effect</w:t>
            </w:r>
          </w:p>
        </w:tc>
        <w:tc>
          <w:tcPr>
            <w:tcW w:type="dxa" w:w="2448"/>
            <w:vAlign w:val="center"/>
            <w:shd w:fill="1F3B63"/>
          </w:tcPr>
          <w:p>
            <w:r/>
            <w:r>
              <w:rPr>
                <w:b/>
                <w:color w:val="FFFFFF"/>
                <w:sz w:val="16"/>
              </w:rPr>
              <w:t>Observed result</w:t>
            </w:r>
          </w:p>
        </w:tc>
      </w:tr>
      <w:tr>
        <w:tc>
          <w:tcPr>
            <w:tcW w:type="dxa" w:w="2376"/>
            <w:vAlign w:val="center"/>
          </w:tcPr>
          <w:p>
            <w:r/>
            <w:r>
              <w:rPr>
                <w:b w:val="0"/>
                <w:sz w:val="16"/>
              </w:rPr>
              <w:t>Keep Amount_Band; drop Amount_Log and Is_High_Value</w:t>
            </w:r>
          </w:p>
        </w:tc>
        <w:tc>
          <w:tcPr>
            <w:tcW w:type="dxa" w:w="2952"/>
            <w:vAlign w:val="center"/>
          </w:tcPr>
          <w:p>
            <w:r/>
            <w:r>
              <w:rPr>
                <w:b w:val="0"/>
                <w:sz w:val="16"/>
              </w:rPr>
              <w:t>Three encodings represented the same signal and destabilised coefficients</w:t>
            </w:r>
          </w:p>
        </w:tc>
        <w:tc>
          <w:tcPr>
            <w:tcW w:type="dxa" w:w="2448"/>
            <w:vAlign w:val="center"/>
          </w:tcPr>
          <w:p>
            <w:r/>
            <w:r>
              <w:rPr>
                <w:b w:val="0"/>
                <w:sz w:val="16"/>
              </w:rPr>
              <w:t>Reduce multicollinearity without material information loss</w:t>
            </w:r>
          </w:p>
        </w:tc>
        <w:tc>
          <w:tcPr>
            <w:tcW w:type="dxa" w:w="2448"/>
            <w:vAlign w:val="center"/>
          </w:tcPr>
          <w:p>
            <w:r/>
            <w:r>
              <w:rPr>
                <w:b w:val="0"/>
                <w:sz w:val="16"/>
              </w:rPr>
              <w:t>Q5 coefficient becomes +0.407; CV change negligible.</w:t>
            </w:r>
          </w:p>
        </w:tc>
      </w:tr>
      <w:tr>
        <w:tc>
          <w:tcPr>
            <w:tcW w:type="dxa" w:w="2376"/>
            <w:vAlign w:val="center"/>
            <w:shd w:fill="F3F5F7"/>
          </w:tcPr>
          <w:p>
            <w:r/>
            <w:r>
              <w:rPr>
                <w:b w:val="0"/>
                <w:sz w:val="16"/>
              </w:rPr>
              <w:t>Drop Amount_vs_Cust_Mean</w:t>
            </w:r>
          </w:p>
        </w:tc>
        <w:tc>
          <w:tcPr>
            <w:tcW w:type="dxa" w:w="2952"/>
            <w:vAlign w:val="center"/>
            <w:shd w:fill="F3F5F7"/>
          </w:tcPr>
          <w:p>
            <w:r/>
            <w:r>
              <w:rPr>
                <w:b w:val="0"/>
                <w:sz w:val="16"/>
              </w:rPr>
              <w:t>Week 2 permutation importance only 0.003; confounded with absolute amount</w:t>
            </w:r>
          </w:p>
        </w:tc>
        <w:tc>
          <w:tcPr>
            <w:tcW w:type="dxa" w:w="2448"/>
            <w:vAlign w:val="center"/>
            <w:shd w:fill="F3F5F7"/>
          </w:tcPr>
          <w:p>
            <w:r/>
            <w:r>
              <w:rPr>
                <w:b w:val="0"/>
                <w:sz w:val="16"/>
              </w:rPr>
              <w:t>Simpler amount interpretation</w:t>
            </w:r>
          </w:p>
        </w:tc>
        <w:tc>
          <w:tcPr>
            <w:tcW w:type="dxa" w:w="2448"/>
            <w:vAlign w:val="center"/>
            <w:shd w:fill="F3F5F7"/>
          </w:tcPr>
          <w:p>
            <w:r/>
            <w:r>
              <w:rPr>
                <w:b w:val="0"/>
                <w:sz w:val="16"/>
              </w:rPr>
              <w:t>No material performance loss.</w:t>
            </w:r>
          </w:p>
        </w:tc>
      </w:tr>
      <w:tr>
        <w:tc>
          <w:tcPr>
            <w:tcW w:type="dxa" w:w="2376"/>
            <w:vAlign w:val="center"/>
          </w:tcPr>
          <w:p>
            <w:r/>
            <w:r>
              <w:rPr>
                <w:b w:val="0"/>
                <w:sz w:val="16"/>
              </w:rPr>
              <w:t>Drop Transaction_DayOfWeek and Is_Weekend</w:t>
            </w:r>
          </w:p>
        </w:tc>
        <w:tc>
          <w:tcPr>
            <w:tcW w:type="dxa" w:w="2952"/>
            <w:vAlign w:val="center"/>
          </w:tcPr>
          <w:p>
            <w:r/>
            <w:r>
              <w:rPr>
                <w:b w:val="0"/>
                <w:sz w:val="16"/>
              </w:rPr>
              <w:t>No useful Week 2 signal</w:t>
            </w:r>
          </w:p>
        </w:tc>
        <w:tc>
          <w:tcPr>
            <w:tcW w:type="dxa" w:w="2448"/>
            <w:vAlign w:val="center"/>
          </w:tcPr>
          <w:p>
            <w:r/>
            <w:r>
              <w:rPr>
                <w:b w:val="0"/>
                <w:sz w:val="16"/>
              </w:rPr>
              <w:t>Reduce noise/dimensionality</w:t>
            </w:r>
          </w:p>
        </w:tc>
        <w:tc>
          <w:tcPr>
            <w:tcW w:type="dxa" w:w="2448"/>
            <w:vAlign w:val="center"/>
          </w:tcPr>
          <w:p>
            <w:r/>
            <w:r>
              <w:rPr>
                <w:b w:val="0"/>
                <w:sz w:val="16"/>
              </w:rPr>
              <w:t>Refined model remains within baseline CV noise.</w:t>
            </w:r>
          </w:p>
        </w:tc>
      </w:tr>
      <w:tr>
        <w:tc>
          <w:tcPr>
            <w:tcW w:type="dxa" w:w="2376"/>
            <w:vAlign w:val="center"/>
            <w:shd w:fill="F3F5F7"/>
          </w:tcPr>
          <w:p>
            <w:r/>
            <w:r>
              <w:rPr>
                <w:b w:val="0"/>
                <w:sz w:val="16"/>
              </w:rPr>
              <w:t>Drop Cust_Txn_Count</w:t>
            </w:r>
          </w:p>
        </w:tc>
        <w:tc>
          <w:tcPr>
            <w:tcW w:type="dxa" w:w="2952"/>
            <w:vAlign w:val="center"/>
            <w:shd w:fill="F3F5F7"/>
          </w:tcPr>
          <w:p>
            <w:r/>
            <w:r>
              <w:rPr>
                <w:b w:val="0"/>
                <w:sz w:val="16"/>
              </w:rPr>
              <w:t>Near-zero importance and weak behavioural meaning</w:t>
            </w:r>
          </w:p>
        </w:tc>
        <w:tc>
          <w:tcPr>
            <w:tcW w:type="dxa" w:w="2448"/>
            <w:vAlign w:val="center"/>
            <w:shd w:fill="F3F5F7"/>
          </w:tcPr>
          <w:p>
            <w:r/>
            <w:r>
              <w:rPr>
                <w:b w:val="0"/>
                <w:sz w:val="16"/>
              </w:rPr>
              <w:t>Remove weak feature</w:t>
            </w:r>
          </w:p>
        </w:tc>
        <w:tc>
          <w:tcPr>
            <w:tcW w:type="dxa" w:w="2448"/>
            <w:vAlign w:val="center"/>
            <w:shd w:fill="F3F5F7"/>
          </w:tcPr>
          <w:p>
            <w:r/>
            <w:r>
              <w:rPr>
                <w:b w:val="0"/>
                <w:sz w:val="16"/>
              </w:rPr>
              <w:t>No material loss.</w:t>
            </w:r>
          </w:p>
        </w:tc>
      </w:tr>
      <w:tr>
        <w:tc>
          <w:tcPr>
            <w:tcW w:type="dxa" w:w="2376"/>
            <w:vAlign w:val="center"/>
          </w:tcPr>
          <w:p>
            <w:r/>
            <w:r>
              <w:rPr>
                <w:b w:val="0"/>
                <w:sz w:val="16"/>
              </w:rPr>
              <w:t>Drop Age and Monthly_Income_Band</w:t>
            </w:r>
          </w:p>
        </w:tc>
        <w:tc>
          <w:tcPr>
            <w:tcW w:type="dxa" w:w="2952"/>
            <w:vAlign w:val="center"/>
          </w:tcPr>
          <w:p>
            <w:r/>
            <w:r>
              <w:rPr>
                <w:b w:val="0"/>
                <w:sz w:val="16"/>
              </w:rPr>
              <w:t>Negligible signal under fairness scrutiny</w:t>
            </w:r>
          </w:p>
        </w:tc>
        <w:tc>
          <w:tcPr>
            <w:tcW w:type="dxa" w:w="2448"/>
            <w:vAlign w:val="center"/>
          </w:tcPr>
          <w:p>
            <w:r/>
            <w:r>
              <w:rPr>
                <w:b w:val="0"/>
                <w:sz w:val="16"/>
              </w:rPr>
              <w:t>Avoid weak demographic/proxy candidates</w:t>
            </w:r>
          </w:p>
        </w:tc>
        <w:tc>
          <w:tcPr>
            <w:tcW w:type="dxa" w:w="2448"/>
            <w:vAlign w:val="center"/>
          </w:tcPr>
          <w:p>
            <w:r/>
            <w:r>
              <w:rPr>
                <w:b w:val="0"/>
                <w:sz w:val="16"/>
              </w:rPr>
              <w:t>Candidate uses fewer fairness-sensitive inputs.</w:t>
            </w:r>
          </w:p>
        </w:tc>
      </w:tr>
      <w:tr>
        <w:tc>
          <w:tcPr>
            <w:tcW w:type="dxa" w:w="2376"/>
            <w:vAlign w:val="center"/>
            <w:shd w:fill="F3F5F7"/>
          </w:tcPr>
          <w:p>
            <w:r/>
            <w:r>
              <w:rPr>
                <w:b w:val="0"/>
                <w:sz w:val="16"/>
              </w:rPr>
              <w:t>Continue excluding Gender</w:t>
            </w:r>
          </w:p>
        </w:tc>
        <w:tc>
          <w:tcPr>
            <w:tcW w:type="dxa" w:w="2952"/>
            <w:vAlign w:val="center"/>
            <w:shd w:fill="F3F5F7"/>
          </w:tcPr>
          <w:p>
            <w:r/>
            <w:r>
              <w:rPr>
                <w:b w:val="0"/>
                <w:sz w:val="16"/>
              </w:rPr>
              <w:t>Protected attribute; prior fairness commitment</w:t>
            </w:r>
          </w:p>
        </w:tc>
        <w:tc>
          <w:tcPr>
            <w:tcW w:type="dxa" w:w="2448"/>
            <w:vAlign w:val="center"/>
            <w:shd w:fill="F3F5F7"/>
          </w:tcPr>
          <w:p>
            <w:r/>
            <w:r>
              <w:rPr>
                <w:b w:val="0"/>
                <w:sz w:val="16"/>
              </w:rPr>
              <w:t>Prevent direct protected-attribute use</w:t>
            </w:r>
          </w:p>
        </w:tc>
        <w:tc>
          <w:tcPr>
            <w:tcW w:type="dxa" w:w="2448"/>
            <w:vAlign w:val="center"/>
            <w:shd w:fill="F3F5F7"/>
          </w:tcPr>
          <w:p>
            <w:r/>
            <w:r>
              <w:rPr>
                <w:b w:val="0"/>
                <w:sz w:val="16"/>
              </w:rPr>
              <w:t>Exclusion maintained.</w:t>
            </w:r>
          </w:p>
        </w:tc>
      </w:tr>
    </w:tbl>
    <w:p>
      <w:pPr>
        <w:spacing w:after="20"/>
      </w:pPr>
    </w:p>
    <w:p>
      <w:pPr>
        <w:pStyle w:val="Heading2"/>
        <w:spacing w:before="160" w:after="80"/>
      </w:pPr>
      <w:r>
        <w:t>6.1 Re-test after refinement</w:t>
      </w:r>
    </w:p>
    <w:tbl>
      <w:tblPr>
        <w:tblW w:type="auto" w:w="0"/>
        <w:jc w:val="center"/>
        <w:tblLook w:firstColumn="1" w:firstRow="1" w:lastColumn="0" w:lastRow="0" w:noHBand="0" w:noVBand="1" w:val="04A0"/>
      </w:tblPr>
      <w:tblGrid>
        <w:gridCol w:w="2256"/>
        <w:gridCol w:w="2256"/>
        <w:gridCol w:w="2256"/>
        <w:gridCol w:w="2256"/>
      </w:tblGrid>
      <w:tr>
        <w:tc>
          <w:tcPr>
            <w:tcW w:type="dxa" w:w="3312"/>
            <w:vAlign w:val="center"/>
            <w:shd w:fill="1F3B63"/>
          </w:tcPr>
          <w:p>
            <w:r/>
            <w:r>
              <w:rPr>
                <w:b/>
                <w:color w:val="FFFFFF"/>
                <w:sz w:val="16"/>
              </w:rPr>
              <w:t>Specification</w:t>
            </w:r>
          </w:p>
        </w:tc>
        <w:tc>
          <w:tcPr>
            <w:tcW w:type="dxa" w:w="1440"/>
            <w:vAlign w:val="center"/>
            <w:shd w:fill="1F3B63"/>
          </w:tcPr>
          <w:p>
            <w:r/>
            <w:r>
              <w:rPr>
                <w:b/>
                <w:color w:val="FFFFFF"/>
                <w:sz w:val="16"/>
              </w:rPr>
              <w:t>Raw inputs</w:t>
            </w:r>
          </w:p>
        </w:tc>
        <w:tc>
          <w:tcPr>
            <w:tcW w:type="dxa" w:w="2448"/>
            <w:vAlign w:val="center"/>
            <w:shd w:fill="1F3B63"/>
          </w:tcPr>
          <w:p>
            <w:r/>
            <w:r>
              <w:rPr>
                <w:b/>
                <w:color w:val="FFFFFF"/>
                <w:sz w:val="16"/>
              </w:rPr>
              <w:t>5-fold CV ROC-AUC</w:t>
            </w:r>
          </w:p>
        </w:tc>
        <w:tc>
          <w:tcPr>
            <w:tcW w:type="dxa" w:w="3024"/>
            <w:vAlign w:val="center"/>
            <w:shd w:fill="1F3B63"/>
          </w:tcPr>
          <w:p>
            <w:r/>
            <w:r>
              <w:rPr>
                <w:b/>
                <w:color w:val="FFFFFF"/>
                <w:sz w:val="16"/>
              </w:rPr>
              <w:t>Interpretability</w:t>
            </w:r>
          </w:p>
        </w:tc>
      </w:tr>
      <w:tr>
        <w:tc>
          <w:tcPr>
            <w:tcW w:type="dxa" w:w="3312"/>
            <w:vAlign w:val="center"/>
          </w:tcPr>
          <w:p>
            <w:r/>
            <w:r>
              <w:rPr>
                <w:b w:val="0"/>
                <w:sz w:val="16"/>
              </w:rPr>
              <w:t>Week 2 logistic regression</w:t>
            </w:r>
          </w:p>
        </w:tc>
        <w:tc>
          <w:tcPr>
            <w:tcW w:type="dxa" w:w="1440"/>
            <w:vAlign w:val="center"/>
          </w:tcPr>
          <w:p>
            <w:r/>
            <w:r>
              <w:rPr>
                <w:b w:val="0"/>
                <w:sz w:val="16"/>
              </w:rPr>
              <w:t>24</w:t>
            </w:r>
          </w:p>
        </w:tc>
        <w:tc>
          <w:tcPr>
            <w:tcW w:type="dxa" w:w="2448"/>
            <w:vAlign w:val="center"/>
          </w:tcPr>
          <w:p>
            <w:r/>
            <w:r>
              <w:rPr>
                <w:b w:val="0"/>
                <w:sz w:val="16"/>
              </w:rPr>
              <w:t>0.6650 ± 0.0174</w:t>
            </w:r>
          </w:p>
        </w:tc>
        <w:tc>
          <w:tcPr>
            <w:tcW w:type="dxa" w:w="3024"/>
            <w:vAlign w:val="center"/>
          </w:tcPr>
          <w:p>
            <w:r/>
            <w:r>
              <w:rPr>
                <w:b w:val="0"/>
                <w:sz w:val="16"/>
              </w:rPr>
              <w:t>Amount-band coefficient signs unstable</w:t>
            </w:r>
          </w:p>
        </w:tc>
      </w:tr>
      <w:tr>
        <w:tc>
          <w:tcPr>
            <w:tcW w:type="dxa" w:w="3312"/>
            <w:vAlign w:val="center"/>
            <w:shd w:fill="F3F5F7"/>
          </w:tcPr>
          <w:p>
            <w:r/>
            <w:r>
              <w:rPr>
                <w:b w:val="0"/>
                <w:sz w:val="16"/>
              </w:rPr>
              <w:t>Week 3 refined logistic regression</w:t>
            </w:r>
          </w:p>
        </w:tc>
        <w:tc>
          <w:tcPr>
            <w:tcW w:type="dxa" w:w="1440"/>
            <w:vAlign w:val="center"/>
            <w:shd w:fill="F3F5F7"/>
          </w:tcPr>
          <w:p>
            <w:r/>
            <w:r>
              <w:rPr>
                <w:b w:val="0"/>
                <w:sz w:val="16"/>
              </w:rPr>
              <w:t>16</w:t>
            </w:r>
          </w:p>
        </w:tc>
        <w:tc>
          <w:tcPr>
            <w:tcW w:type="dxa" w:w="2448"/>
            <w:vAlign w:val="center"/>
            <w:shd w:fill="F3F5F7"/>
          </w:tcPr>
          <w:p>
            <w:r/>
            <w:r>
              <w:rPr>
                <w:b w:val="0"/>
                <w:sz w:val="16"/>
              </w:rPr>
              <w:t>0.6630 ± 0.0208</w:t>
            </w:r>
          </w:p>
        </w:tc>
        <w:tc>
          <w:tcPr>
            <w:tcW w:type="dxa" w:w="3024"/>
            <w:vAlign w:val="center"/>
            <w:shd w:fill="F3F5F7"/>
          </w:tcPr>
          <w:p>
            <w:r/>
            <w:r>
              <w:rPr>
                <w:b w:val="0"/>
                <w:sz w:val="16"/>
              </w:rPr>
              <w:t>Amount_Band_Q5 +0.407; direction coherent</w:t>
            </w:r>
          </w:p>
        </w:tc>
      </w:tr>
    </w:tbl>
    <w:p>
      <w:pPr>
        <w:spacing w:after="20"/>
      </w:pPr>
    </w:p>
    <w:p>
      <w:pPr>
        <w:spacing w:after="100" w:line="252" w:lineRule="auto"/>
      </w:pPr>
      <w:r>
        <w:rPr>
          <w:b w:val="0"/>
          <w:i w:val="0"/>
          <w:sz w:val="19"/>
        </w:rPr>
        <w:t>The -0.0020 change in mean CV ROC-AUC is negligible relative to cross-fold variability. The refinement therefore succeeds on its intended objective: remove redundant/weak inputs and restore direct interpretability without sacrificing meaningful predictive information.</w:t>
      </w:r>
    </w:p>
    <w:p>
      <w:pPr>
        <w:pStyle w:val="Heading1"/>
        <w:spacing w:before="200" w:after="100"/>
      </w:pPr>
      <w:r>
        <w:t>7. Part D — Model Comparison</w:t>
      </w:r>
    </w:p>
    <w:p>
      <w:pPr>
        <w:spacing w:after="100" w:line="252" w:lineRule="auto"/>
      </w:pPr>
      <w:r>
        <w:rPr>
          <w:b w:val="0"/>
          <w:i w:val="0"/>
          <w:sz w:val="19"/>
        </w:rPr>
        <w:t>Every model is compared at a validation threshold selected to satisfy recall ≥0.70. Accuracy is shown because the assignment asks for it, but it remains excluded from selection for the same reason established in Week 1: with a 19.6% positive class, accuracy can reward models that simply avoid predicting the minority class.</w:t>
      </w:r>
    </w:p>
    <w:tbl>
      <w:tblPr>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2520"/>
            <w:vAlign w:val="center"/>
            <w:shd w:fill="1F3B63"/>
          </w:tcPr>
          <w:p>
            <w:r/>
            <w:r>
              <w:rPr>
                <w:b/>
                <w:color w:val="FFFFFF"/>
                <w:sz w:val="16"/>
              </w:rPr>
              <w:t>Model</w:t>
            </w:r>
          </w:p>
        </w:tc>
        <w:tc>
          <w:tcPr>
            <w:tcW w:type="dxa" w:w="1080"/>
            <w:vAlign w:val="center"/>
            <w:shd w:fill="1F3B63"/>
          </w:tcPr>
          <w:p>
            <w:r/>
            <w:r>
              <w:rPr>
                <w:b/>
                <w:color w:val="FFFFFF"/>
                <w:sz w:val="16"/>
              </w:rPr>
              <w:t>Accuracy</w:t>
            </w:r>
          </w:p>
        </w:tc>
        <w:tc>
          <w:tcPr>
            <w:tcW w:type="dxa" w:w="1152"/>
            <w:vAlign w:val="center"/>
            <w:shd w:fill="1F3B63"/>
          </w:tcPr>
          <w:p>
            <w:r/>
            <w:r>
              <w:rPr>
                <w:b/>
                <w:color w:val="FFFFFF"/>
                <w:sz w:val="16"/>
              </w:rPr>
              <w:t>Precision</w:t>
            </w:r>
          </w:p>
        </w:tc>
        <w:tc>
          <w:tcPr>
            <w:tcW w:type="dxa" w:w="936"/>
            <w:vAlign w:val="center"/>
            <w:shd w:fill="1F3B63"/>
          </w:tcPr>
          <w:p>
            <w:r/>
            <w:r>
              <w:rPr>
                <w:b/>
                <w:color w:val="FFFFFF"/>
                <w:sz w:val="16"/>
              </w:rPr>
              <w:t>Recall</w:t>
            </w:r>
          </w:p>
        </w:tc>
        <w:tc>
          <w:tcPr>
            <w:tcW w:type="dxa" w:w="936"/>
            <w:vAlign w:val="center"/>
            <w:shd w:fill="1F3B63"/>
          </w:tcPr>
          <w:p>
            <w:r/>
            <w:r>
              <w:rPr>
                <w:b/>
                <w:color w:val="FFFFFF"/>
                <w:sz w:val="16"/>
              </w:rPr>
              <w:t>F1</w:t>
            </w:r>
          </w:p>
        </w:tc>
        <w:tc>
          <w:tcPr>
            <w:tcW w:type="dxa" w:w="1224"/>
            <w:vAlign w:val="center"/>
            <w:shd w:fill="1F3B63"/>
          </w:tcPr>
          <w:p>
            <w:r/>
            <w:r>
              <w:rPr>
                <w:b/>
                <w:color w:val="FFFFFF"/>
                <w:sz w:val="16"/>
              </w:rPr>
              <w:t>ROC-AUC</w:t>
            </w:r>
          </w:p>
        </w:tc>
        <w:tc>
          <w:tcPr>
            <w:tcW w:type="dxa" w:w="1152"/>
            <w:vAlign w:val="center"/>
            <w:shd w:fill="1F3B63"/>
          </w:tcPr>
          <w:p>
            <w:r/>
            <w:r>
              <w:rPr>
                <w:b/>
                <w:color w:val="FFFFFF"/>
                <w:sz w:val="16"/>
              </w:rPr>
              <w:t>Threshold</w:t>
            </w:r>
          </w:p>
        </w:tc>
      </w:tr>
      <w:tr>
        <w:tc>
          <w:tcPr>
            <w:tcW w:type="dxa" w:w="2520"/>
            <w:vAlign w:val="center"/>
          </w:tcPr>
          <w:p>
            <w:r/>
            <w:r>
              <w:rPr>
                <w:b w:val="0"/>
                <w:sz w:val="16"/>
              </w:rPr>
              <w:t>Logistic Regression</w:t>
            </w:r>
          </w:p>
        </w:tc>
        <w:tc>
          <w:tcPr>
            <w:tcW w:type="dxa" w:w="1080"/>
            <w:vAlign w:val="center"/>
          </w:tcPr>
          <w:p>
            <w:r/>
            <w:r>
              <w:rPr>
                <w:b w:val="0"/>
                <w:sz w:val="16"/>
              </w:rPr>
              <w:t>0.599</w:t>
            </w:r>
          </w:p>
        </w:tc>
        <w:tc>
          <w:tcPr>
            <w:tcW w:type="dxa" w:w="1152"/>
            <w:vAlign w:val="center"/>
          </w:tcPr>
          <w:p>
            <w:r/>
            <w:r>
              <w:rPr>
                <w:b w:val="0"/>
                <w:sz w:val="16"/>
              </w:rPr>
              <w:t>0.286</w:t>
            </w:r>
          </w:p>
        </w:tc>
        <w:tc>
          <w:tcPr>
            <w:tcW w:type="dxa" w:w="936"/>
            <w:vAlign w:val="center"/>
          </w:tcPr>
          <w:p>
            <w:r/>
            <w:r>
              <w:rPr>
                <w:b w:val="0"/>
                <w:sz w:val="16"/>
              </w:rPr>
              <w:t>0.703</w:t>
            </w:r>
          </w:p>
        </w:tc>
        <w:tc>
          <w:tcPr>
            <w:tcW w:type="dxa" w:w="936"/>
            <w:vAlign w:val="center"/>
          </w:tcPr>
          <w:p>
            <w:r/>
            <w:r>
              <w:rPr>
                <w:b w:val="0"/>
                <w:sz w:val="16"/>
              </w:rPr>
              <w:t>0.407</w:t>
            </w:r>
          </w:p>
        </w:tc>
        <w:tc>
          <w:tcPr>
            <w:tcW w:type="dxa" w:w="1224"/>
            <w:vAlign w:val="center"/>
          </w:tcPr>
          <w:p>
            <w:r/>
            <w:r>
              <w:rPr>
                <w:b w:val="0"/>
                <w:sz w:val="16"/>
              </w:rPr>
              <w:t>0.683</w:t>
            </w:r>
          </w:p>
        </w:tc>
        <w:tc>
          <w:tcPr>
            <w:tcW w:type="dxa" w:w="1152"/>
            <w:vAlign w:val="center"/>
          </w:tcPr>
          <w:p>
            <w:r/>
            <w:r>
              <w:rPr>
                <w:b w:val="0"/>
                <w:sz w:val="16"/>
              </w:rPr>
              <w:t>0.4869</w:t>
            </w:r>
          </w:p>
        </w:tc>
      </w:tr>
      <w:tr>
        <w:tc>
          <w:tcPr>
            <w:tcW w:type="dxa" w:w="2520"/>
            <w:vAlign w:val="center"/>
            <w:shd w:fill="F3F5F7"/>
          </w:tcPr>
          <w:p>
            <w:r/>
            <w:r>
              <w:rPr>
                <w:b w:val="0"/>
                <w:sz w:val="16"/>
              </w:rPr>
              <w:t>Decision Tree</w:t>
            </w:r>
          </w:p>
        </w:tc>
        <w:tc>
          <w:tcPr>
            <w:tcW w:type="dxa" w:w="1080"/>
            <w:vAlign w:val="center"/>
            <w:shd w:fill="F3F5F7"/>
          </w:tcPr>
          <w:p>
            <w:r/>
            <w:r>
              <w:rPr>
                <w:b w:val="0"/>
                <w:sz w:val="16"/>
              </w:rPr>
              <w:t>0.551</w:t>
            </w:r>
          </w:p>
        </w:tc>
        <w:tc>
          <w:tcPr>
            <w:tcW w:type="dxa" w:w="1152"/>
            <w:vAlign w:val="center"/>
            <w:shd w:fill="F3F5F7"/>
          </w:tcPr>
          <w:p>
            <w:r/>
            <w:r>
              <w:rPr>
                <w:b w:val="0"/>
                <w:sz w:val="16"/>
              </w:rPr>
              <w:t>0.262</w:t>
            </w:r>
          </w:p>
        </w:tc>
        <w:tc>
          <w:tcPr>
            <w:tcW w:type="dxa" w:w="936"/>
            <w:vAlign w:val="center"/>
            <w:shd w:fill="F3F5F7"/>
          </w:tcPr>
          <w:p>
            <w:r/>
            <w:r>
              <w:rPr>
                <w:b w:val="0"/>
                <w:sz w:val="16"/>
              </w:rPr>
              <w:t>0.708</w:t>
            </w:r>
          </w:p>
        </w:tc>
        <w:tc>
          <w:tcPr>
            <w:tcW w:type="dxa" w:w="936"/>
            <w:vAlign w:val="center"/>
            <w:shd w:fill="F3F5F7"/>
          </w:tcPr>
          <w:p>
            <w:r/>
            <w:r>
              <w:rPr>
                <w:b w:val="0"/>
                <w:sz w:val="16"/>
              </w:rPr>
              <w:t>0.382</w:t>
            </w:r>
          </w:p>
        </w:tc>
        <w:tc>
          <w:tcPr>
            <w:tcW w:type="dxa" w:w="1224"/>
            <w:vAlign w:val="center"/>
            <w:shd w:fill="F3F5F7"/>
          </w:tcPr>
          <w:p>
            <w:r/>
            <w:r>
              <w:rPr>
                <w:b w:val="0"/>
                <w:sz w:val="16"/>
              </w:rPr>
              <w:t>0.633</w:t>
            </w:r>
          </w:p>
        </w:tc>
        <w:tc>
          <w:tcPr>
            <w:tcW w:type="dxa" w:w="1152"/>
            <w:vAlign w:val="center"/>
            <w:shd w:fill="F3F5F7"/>
          </w:tcPr>
          <w:p>
            <w:r/>
            <w:r>
              <w:rPr>
                <w:b w:val="0"/>
                <w:sz w:val="16"/>
              </w:rPr>
              <w:t>0.5063</w:t>
            </w:r>
          </w:p>
        </w:tc>
      </w:tr>
      <w:tr>
        <w:tc>
          <w:tcPr>
            <w:tcW w:type="dxa" w:w="2520"/>
            <w:vAlign w:val="center"/>
          </w:tcPr>
          <w:p>
            <w:r/>
            <w:r>
              <w:rPr>
                <w:b w:val="0"/>
                <w:sz w:val="16"/>
              </w:rPr>
              <w:t>Random Forest</w:t>
            </w:r>
          </w:p>
        </w:tc>
        <w:tc>
          <w:tcPr>
            <w:tcW w:type="dxa" w:w="1080"/>
            <w:vAlign w:val="center"/>
          </w:tcPr>
          <w:p>
            <w:r/>
            <w:r>
              <w:rPr>
                <w:b w:val="0"/>
                <w:sz w:val="16"/>
              </w:rPr>
              <w:t>0.569</w:t>
            </w:r>
          </w:p>
        </w:tc>
        <w:tc>
          <w:tcPr>
            <w:tcW w:type="dxa" w:w="1152"/>
            <w:vAlign w:val="center"/>
          </w:tcPr>
          <w:p>
            <w:r/>
            <w:r>
              <w:rPr>
                <w:b w:val="0"/>
                <w:sz w:val="16"/>
              </w:rPr>
              <w:t>0.270</w:t>
            </w:r>
          </w:p>
        </w:tc>
        <w:tc>
          <w:tcPr>
            <w:tcW w:type="dxa" w:w="936"/>
            <w:vAlign w:val="center"/>
          </w:tcPr>
          <w:p>
            <w:r/>
            <w:r>
              <w:rPr>
                <w:b w:val="0"/>
                <w:sz w:val="16"/>
              </w:rPr>
              <w:t>0.703</w:t>
            </w:r>
          </w:p>
        </w:tc>
        <w:tc>
          <w:tcPr>
            <w:tcW w:type="dxa" w:w="936"/>
            <w:vAlign w:val="center"/>
          </w:tcPr>
          <w:p>
            <w:r/>
            <w:r>
              <w:rPr>
                <w:b w:val="0"/>
                <w:sz w:val="16"/>
              </w:rPr>
              <w:t>0.390</w:t>
            </w:r>
          </w:p>
        </w:tc>
        <w:tc>
          <w:tcPr>
            <w:tcW w:type="dxa" w:w="1224"/>
            <w:vAlign w:val="center"/>
          </w:tcPr>
          <w:p>
            <w:r/>
            <w:r>
              <w:rPr>
                <w:b w:val="0"/>
                <w:sz w:val="16"/>
              </w:rPr>
              <w:t>0.658</w:t>
            </w:r>
          </w:p>
        </w:tc>
        <w:tc>
          <w:tcPr>
            <w:tcW w:type="dxa" w:w="1152"/>
            <w:vAlign w:val="center"/>
          </w:tcPr>
          <w:p>
            <w:r/>
            <w:r>
              <w:rPr>
                <w:b w:val="0"/>
                <w:sz w:val="16"/>
              </w:rPr>
              <w:t>0.3689</w:t>
            </w:r>
          </w:p>
        </w:tc>
      </w:tr>
      <w:tr>
        <w:tc>
          <w:tcPr>
            <w:tcW w:type="dxa" w:w="2520"/>
            <w:vAlign w:val="center"/>
            <w:shd w:fill="F3F5F7"/>
          </w:tcPr>
          <w:p>
            <w:r/>
            <w:r>
              <w:rPr>
                <w:b w:val="0"/>
                <w:sz w:val="16"/>
              </w:rPr>
              <w:t>Tuned Random Forest</w:t>
            </w:r>
          </w:p>
        </w:tc>
        <w:tc>
          <w:tcPr>
            <w:tcW w:type="dxa" w:w="1080"/>
            <w:vAlign w:val="center"/>
            <w:shd w:fill="F3F5F7"/>
          </w:tcPr>
          <w:p>
            <w:r/>
            <w:r>
              <w:rPr>
                <w:b w:val="0"/>
                <w:sz w:val="16"/>
              </w:rPr>
              <w:t>0.574</w:t>
            </w:r>
          </w:p>
        </w:tc>
        <w:tc>
          <w:tcPr>
            <w:tcW w:type="dxa" w:w="1152"/>
            <w:vAlign w:val="center"/>
            <w:shd w:fill="F3F5F7"/>
          </w:tcPr>
          <w:p>
            <w:r/>
            <w:r>
              <w:rPr>
                <w:b w:val="0"/>
                <w:sz w:val="16"/>
              </w:rPr>
              <w:t>0.273</w:t>
            </w:r>
          </w:p>
        </w:tc>
        <w:tc>
          <w:tcPr>
            <w:tcW w:type="dxa" w:w="936"/>
            <w:vAlign w:val="center"/>
            <w:shd w:fill="F3F5F7"/>
          </w:tcPr>
          <w:p>
            <w:r/>
            <w:r>
              <w:rPr>
                <w:b w:val="0"/>
                <w:sz w:val="16"/>
              </w:rPr>
              <w:t>0.703</w:t>
            </w:r>
          </w:p>
        </w:tc>
        <w:tc>
          <w:tcPr>
            <w:tcW w:type="dxa" w:w="936"/>
            <w:vAlign w:val="center"/>
            <w:shd w:fill="F3F5F7"/>
          </w:tcPr>
          <w:p>
            <w:r/>
            <w:r>
              <w:rPr>
                <w:b w:val="0"/>
                <w:sz w:val="16"/>
              </w:rPr>
              <w:t>0.393</w:t>
            </w:r>
          </w:p>
        </w:tc>
        <w:tc>
          <w:tcPr>
            <w:tcW w:type="dxa" w:w="1224"/>
            <w:vAlign w:val="center"/>
            <w:shd w:fill="F3F5F7"/>
          </w:tcPr>
          <w:p>
            <w:r/>
            <w:r>
              <w:rPr>
                <w:b w:val="0"/>
                <w:sz w:val="16"/>
              </w:rPr>
              <w:t>0.668</w:t>
            </w:r>
          </w:p>
        </w:tc>
        <w:tc>
          <w:tcPr>
            <w:tcW w:type="dxa" w:w="1152"/>
            <w:vAlign w:val="center"/>
            <w:shd w:fill="F3F5F7"/>
          </w:tcPr>
          <w:p>
            <w:r/>
            <w:r>
              <w:rPr>
                <w:b w:val="0"/>
                <w:sz w:val="16"/>
              </w:rPr>
              <w:t>0.4692</w:t>
            </w:r>
          </w:p>
        </w:tc>
      </w:tr>
      <w:tr>
        <w:tc>
          <w:tcPr>
            <w:tcW w:type="dxa" w:w="2520"/>
            <w:vAlign w:val="center"/>
          </w:tcPr>
          <w:p>
            <w:r/>
            <w:r>
              <w:rPr>
                <w:b w:val="0"/>
                <w:sz w:val="16"/>
              </w:rPr>
              <w:t>Gradient Boosting</w:t>
            </w:r>
          </w:p>
        </w:tc>
        <w:tc>
          <w:tcPr>
            <w:tcW w:type="dxa" w:w="1080"/>
            <w:vAlign w:val="center"/>
          </w:tcPr>
          <w:p>
            <w:r/>
            <w:r>
              <w:rPr>
                <w:b w:val="0"/>
                <w:sz w:val="16"/>
              </w:rPr>
              <w:t>0.565</w:t>
            </w:r>
          </w:p>
        </w:tc>
        <w:tc>
          <w:tcPr>
            <w:tcW w:type="dxa" w:w="1152"/>
            <w:vAlign w:val="center"/>
          </w:tcPr>
          <w:p>
            <w:r/>
            <w:r>
              <w:rPr>
                <w:b w:val="0"/>
                <w:sz w:val="16"/>
              </w:rPr>
              <w:t>0.269</w:t>
            </w:r>
          </w:p>
        </w:tc>
        <w:tc>
          <w:tcPr>
            <w:tcW w:type="dxa" w:w="936"/>
            <w:vAlign w:val="center"/>
          </w:tcPr>
          <w:p>
            <w:r/>
            <w:r>
              <w:rPr>
                <w:b w:val="0"/>
                <w:sz w:val="16"/>
              </w:rPr>
              <w:t>0.708</w:t>
            </w:r>
          </w:p>
        </w:tc>
        <w:tc>
          <w:tcPr>
            <w:tcW w:type="dxa" w:w="936"/>
            <w:vAlign w:val="center"/>
          </w:tcPr>
          <w:p>
            <w:r/>
            <w:r>
              <w:rPr>
                <w:b w:val="0"/>
                <w:sz w:val="16"/>
              </w:rPr>
              <w:t>0.389</w:t>
            </w:r>
          </w:p>
        </w:tc>
        <w:tc>
          <w:tcPr>
            <w:tcW w:type="dxa" w:w="1224"/>
            <w:vAlign w:val="center"/>
          </w:tcPr>
          <w:p>
            <w:r/>
            <w:r>
              <w:rPr>
                <w:b w:val="0"/>
                <w:sz w:val="16"/>
              </w:rPr>
              <w:t>0.672</w:t>
            </w:r>
          </w:p>
        </w:tc>
        <w:tc>
          <w:tcPr>
            <w:tcW w:type="dxa" w:w="1152"/>
            <w:vAlign w:val="center"/>
          </w:tcPr>
          <w:p>
            <w:r/>
            <w:r>
              <w:rPr>
                <w:b w:val="0"/>
                <w:sz w:val="16"/>
              </w:rPr>
              <w:t>0.1913</w:t>
            </w:r>
          </w:p>
        </w:tc>
      </w:tr>
      <w:tr>
        <w:tc>
          <w:tcPr>
            <w:tcW w:type="dxa" w:w="2520"/>
            <w:vAlign w:val="center"/>
            <w:shd w:fill="F3F5F7"/>
          </w:tcPr>
          <w:p>
            <w:r/>
            <w:r>
              <w:rPr>
                <w:b w:val="0"/>
                <w:sz w:val="16"/>
              </w:rPr>
              <w:t>HistGradientBoosting</w:t>
            </w:r>
          </w:p>
        </w:tc>
        <w:tc>
          <w:tcPr>
            <w:tcW w:type="dxa" w:w="1080"/>
            <w:vAlign w:val="center"/>
            <w:shd w:fill="F3F5F7"/>
          </w:tcPr>
          <w:p>
            <w:r/>
            <w:r>
              <w:rPr>
                <w:b w:val="0"/>
                <w:sz w:val="16"/>
              </w:rPr>
              <w:t>0.582</w:t>
            </w:r>
          </w:p>
        </w:tc>
        <w:tc>
          <w:tcPr>
            <w:tcW w:type="dxa" w:w="1152"/>
            <w:vAlign w:val="center"/>
            <w:shd w:fill="F3F5F7"/>
          </w:tcPr>
          <w:p>
            <w:r/>
            <w:r>
              <w:rPr>
                <w:b w:val="0"/>
                <w:sz w:val="16"/>
              </w:rPr>
              <w:t>0.277</w:t>
            </w:r>
          </w:p>
        </w:tc>
        <w:tc>
          <w:tcPr>
            <w:tcW w:type="dxa" w:w="936"/>
            <w:vAlign w:val="center"/>
            <w:shd w:fill="F3F5F7"/>
          </w:tcPr>
          <w:p>
            <w:r/>
            <w:r>
              <w:rPr>
                <w:b w:val="0"/>
                <w:sz w:val="16"/>
              </w:rPr>
              <w:t>0.703</w:t>
            </w:r>
          </w:p>
        </w:tc>
        <w:tc>
          <w:tcPr>
            <w:tcW w:type="dxa" w:w="936"/>
            <w:vAlign w:val="center"/>
            <w:shd w:fill="F3F5F7"/>
          </w:tcPr>
          <w:p>
            <w:r/>
            <w:r>
              <w:rPr>
                <w:b w:val="0"/>
                <w:sz w:val="16"/>
              </w:rPr>
              <w:t>0.397</w:t>
            </w:r>
          </w:p>
        </w:tc>
        <w:tc>
          <w:tcPr>
            <w:tcW w:type="dxa" w:w="1224"/>
            <w:vAlign w:val="center"/>
            <w:shd w:fill="F3F5F7"/>
          </w:tcPr>
          <w:p>
            <w:r/>
            <w:r>
              <w:rPr>
                <w:b w:val="0"/>
                <w:sz w:val="16"/>
              </w:rPr>
              <w:t>0.667</w:t>
            </w:r>
          </w:p>
        </w:tc>
        <w:tc>
          <w:tcPr>
            <w:tcW w:type="dxa" w:w="1152"/>
            <w:vAlign w:val="center"/>
            <w:shd w:fill="F3F5F7"/>
          </w:tcPr>
          <w:p>
            <w:r/>
            <w:r>
              <w:rPr>
                <w:b w:val="0"/>
                <w:sz w:val="16"/>
              </w:rPr>
              <w:t>0.2072</w:t>
            </w:r>
          </w:p>
        </w:tc>
      </w:tr>
    </w:tbl>
    <w:p>
      <w:pPr>
        <w:spacing w:after="20"/>
      </w:pPr>
    </w:p>
    <w:p>
      <w:pPr>
        <w:pStyle w:val="Heading2"/>
        <w:spacing w:before="160" w:after="80"/>
      </w:pPr>
      <w:r>
        <w:t>7.1 Trade-off discussion</w:t>
      </w:r>
    </w:p>
    <w:p>
      <w:pPr>
        <w:spacing w:after="40"/>
        <w:ind w:left="288" w:hanging="216"/>
      </w:pPr>
      <w:r>
        <w:rPr>
          <w:sz w:val="19"/>
        </w:rPr>
        <w:t>• Logistic regression has the highest validation ROC-AUC (0.683) and the highest F1 (0.407) among the compared recall-constrained operating points.</w:t>
      </w:r>
    </w:p>
    <w:p>
      <w:pPr>
        <w:spacing w:after="40"/>
        <w:ind w:left="288" w:hanging="216"/>
      </w:pPr>
      <w:r>
        <w:rPr>
          <w:sz w:val="19"/>
        </w:rPr>
        <w:t>• Decision Tree and Gradient Boosting obtain slightly higher recall (0.708), but that small gain is accompanied by lower precision and substantially lower ROC-AUC.</w:t>
      </w:r>
    </w:p>
    <w:p>
      <w:pPr>
        <w:spacing w:after="40"/>
        <w:ind w:left="288" w:hanging="216"/>
      </w:pPr>
      <w:r>
        <w:rPr>
          <w:sz w:val="19"/>
        </w:rPr>
        <w:t>• HistGradientBoosting produces the highest accuracy among the challengers (0.582) and precision 0.277, but neither changes the candidate decision because accuracy is not a selection metric and its ROC-AUC is only 0.667.</w:t>
      </w:r>
    </w:p>
    <w:p>
      <w:pPr>
        <w:spacing w:after="40"/>
        <w:ind w:left="288" w:hanging="216"/>
      </w:pPr>
      <w:r>
        <w:rPr>
          <w:sz w:val="19"/>
        </w:rPr>
        <w:t>• The tuned Random Forest improves on the untuned forest’s validation ROC-AUC from 0.658 to 0.668, but the improvement is insufficient to replace logistic regression.</w:t>
      </w:r>
    </w:p>
    <w:p>
      <w:pPr>
        <w:spacing w:after="40"/>
        <w:ind w:left="288" w:hanging="216"/>
      </w:pPr>
      <w:r>
        <w:rPr>
          <w:sz w:val="19"/>
        </w:rPr>
        <w:t>• No model reaches the project ROC-AUC target of 0.75. That shortfall remains a reported result, not a criterion to tune away.</w:t>
      </w:r>
    </w:p>
    <w:p>
      <w:pPr>
        <w:jc w:val="center"/>
      </w:pPr>
      <w:r>
        <w:rPr>
          <w:sz w:val="19"/>
        </w:rP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image1.png"/>
                    <pic:cNvPicPr/>
                  </pic:nvPicPr>
                  <pic:blipFill>
                    <a:blip r:embed="rId22"/>
                    <a:stretch>
                      <a:fillRect/>
                    </a:stretch>
                  </pic:blipFill>
                  <pic:spPr>
                    <a:xfrm>
                      <a:off x="0" y="0"/>
                      <a:ext cx="5486400" cy="3429000"/>
                    </a:xfrm>
                    <a:prstGeom prst="rect"/>
                  </pic:spPr>
                </pic:pic>
              </a:graphicData>
            </a:graphic>
          </wp:inline>
        </w:drawing>
      </w:r>
    </w:p>
    <w:p>
      <w:pPr>
        <w:jc w:val="center"/>
      </w:pPr>
      <w:r>
        <w:rPr>
          <w:i/>
          <w:color w:val="8C93A0"/>
          <w:sz w:val="16"/>
        </w:rPr>
        <w:t>Figure 15 — Week 3 validation ROC-AUC comparison.</w:t>
      </w:r>
    </w:p>
    <w:p>
      <w:pPr>
        <w:pStyle w:val="Heading1"/>
        <w:spacing w:before="200" w:after="100"/>
      </w:pPr>
      <w:r>
        <w:t>8. Part E — Error Analysis</w:t>
      </w:r>
    </w:p>
    <w:p>
      <w:pPr>
        <w:spacing w:after="100" w:line="252" w:lineRule="auto"/>
      </w:pPr>
      <w:r>
        <w:rPr>
          <w:b w:val="0"/>
          <w:i w:val="0"/>
          <w:sz w:val="19"/>
        </w:rPr>
        <w:t>At the candidate threshold of 0.4869, the refined logistic regression produces TN=830, FP=618, FN=105 and TP=248 on validation. The 105 false negatives are synthetic review cases that would not be prioritised; the 618 false positives represent additional analyst workload. The model therefore meets recall by accepting low precision rather than by creating an impression of uniformly strong classification.</w:t>
      </w:r>
    </w:p>
    <w:tbl>
      <w:tblPr>
        <w:tblW w:type="auto" w:w="0"/>
        <w:jc w:val="center"/>
        <w:tblLook w:firstColumn="1" w:firstRow="1" w:lastColumn="0" w:lastRow="0" w:noHBand="0" w:noVBand="1" w:val="04A0"/>
      </w:tblPr>
      <w:tblGrid>
        <w:gridCol w:w="3009"/>
        <w:gridCol w:w="3009"/>
        <w:gridCol w:w="3009"/>
      </w:tblGrid>
      <w:tr>
        <w:tc>
          <w:tcPr>
            <w:tcW w:type="dxa" w:w="2304"/>
            <w:vAlign w:val="center"/>
            <w:shd w:fill="1F3B63"/>
          </w:tcPr>
          <w:p>
            <w:r/>
            <w:r>
              <w:rPr>
                <w:b/>
                <w:color w:val="FFFFFF"/>
                <w:sz w:val="16"/>
              </w:rPr>
              <w:t>Outcome</w:t>
            </w:r>
          </w:p>
        </w:tc>
        <w:tc>
          <w:tcPr>
            <w:tcW w:type="dxa" w:w="1440"/>
            <w:vAlign w:val="center"/>
            <w:shd w:fill="1F3B63"/>
          </w:tcPr>
          <w:p>
            <w:r/>
            <w:r>
              <w:rPr>
                <w:b/>
                <w:color w:val="FFFFFF"/>
                <w:sz w:val="16"/>
              </w:rPr>
              <w:t>Count</w:t>
            </w:r>
          </w:p>
        </w:tc>
        <w:tc>
          <w:tcPr>
            <w:tcW w:type="dxa" w:w="5904"/>
            <w:vAlign w:val="center"/>
            <w:shd w:fill="1F3B63"/>
          </w:tcPr>
          <w:p>
            <w:r/>
            <w:r>
              <w:rPr>
                <w:b/>
                <w:color w:val="FFFFFF"/>
                <w:sz w:val="16"/>
              </w:rPr>
              <w:t>Operational reading</w:t>
            </w:r>
          </w:p>
        </w:tc>
      </w:tr>
      <w:tr>
        <w:tc>
          <w:tcPr>
            <w:tcW w:type="dxa" w:w="2304"/>
            <w:vAlign w:val="center"/>
          </w:tcPr>
          <w:p>
            <w:r/>
            <w:r>
              <w:rPr>
                <w:b w:val="0"/>
                <w:sz w:val="16"/>
              </w:rPr>
              <w:t>True negatives</w:t>
            </w:r>
          </w:p>
        </w:tc>
        <w:tc>
          <w:tcPr>
            <w:tcW w:type="dxa" w:w="1440"/>
            <w:vAlign w:val="center"/>
          </w:tcPr>
          <w:p>
            <w:r/>
            <w:r>
              <w:rPr>
                <w:b w:val="0"/>
                <w:sz w:val="16"/>
              </w:rPr>
              <w:t>830</w:t>
            </w:r>
          </w:p>
        </w:tc>
        <w:tc>
          <w:tcPr>
            <w:tcW w:type="dxa" w:w="5904"/>
            <w:vAlign w:val="center"/>
          </w:tcPr>
          <w:p>
            <w:r/>
            <w:r>
              <w:rPr>
                <w:b w:val="0"/>
                <w:sz w:val="16"/>
              </w:rPr>
              <w:t>Transactions correctly left outside the prioritised review queue.</w:t>
            </w:r>
          </w:p>
        </w:tc>
      </w:tr>
      <w:tr>
        <w:tc>
          <w:tcPr>
            <w:tcW w:type="dxa" w:w="2304"/>
            <w:vAlign w:val="center"/>
            <w:shd w:fill="F3F5F7"/>
          </w:tcPr>
          <w:p>
            <w:r/>
            <w:r>
              <w:rPr>
                <w:b w:val="0"/>
                <w:sz w:val="16"/>
              </w:rPr>
              <w:t>False positives</w:t>
            </w:r>
          </w:p>
        </w:tc>
        <w:tc>
          <w:tcPr>
            <w:tcW w:type="dxa" w:w="1440"/>
            <w:vAlign w:val="center"/>
            <w:shd w:fill="F3F5F7"/>
          </w:tcPr>
          <w:p>
            <w:r/>
            <w:r>
              <w:rPr>
                <w:b w:val="0"/>
                <w:sz w:val="16"/>
              </w:rPr>
              <w:t>618</w:t>
            </w:r>
          </w:p>
        </w:tc>
        <w:tc>
          <w:tcPr>
            <w:tcW w:type="dxa" w:w="5904"/>
            <w:vAlign w:val="center"/>
            <w:shd w:fill="F3F5F7"/>
          </w:tcPr>
          <w:p>
            <w:r/>
            <w:r>
              <w:rPr>
                <w:b w:val="0"/>
                <w:sz w:val="16"/>
              </w:rPr>
              <w:t>Unflagged synthetic cases sent to review; main workload cost.</w:t>
            </w:r>
          </w:p>
        </w:tc>
      </w:tr>
      <w:tr>
        <w:tc>
          <w:tcPr>
            <w:tcW w:type="dxa" w:w="2304"/>
            <w:vAlign w:val="center"/>
          </w:tcPr>
          <w:p>
            <w:r/>
            <w:r>
              <w:rPr>
                <w:b w:val="0"/>
                <w:sz w:val="16"/>
              </w:rPr>
              <w:t>False negatives</w:t>
            </w:r>
          </w:p>
        </w:tc>
        <w:tc>
          <w:tcPr>
            <w:tcW w:type="dxa" w:w="1440"/>
            <w:vAlign w:val="center"/>
          </w:tcPr>
          <w:p>
            <w:r/>
            <w:r>
              <w:rPr>
                <w:b w:val="0"/>
                <w:sz w:val="16"/>
              </w:rPr>
              <w:t>105</w:t>
            </w:r>
          </w:p>
        </w:tc>
        <w:tc>
          <w:tcPr>
            <w:tcW w:type="dxa" w:w="5904"/>
            <w:vAlign w:val="center"/>
          </w:tcPr>
          <w:p>
            <w:r/>
            <w:r>
              <w:rPr>
                <w:b w:val="0"/>
                <w:sz w:val="16"/>
              </w:rPr>
              <w:t>Flagged synthetic cases missed by the queue; binding risk controlled through recall threshold.</w:t>
            </w:r>
          </w:p>
        </w:tc>
      </w:tr>
      <w:tr>
        <w:tc>
          <w:tcPr>
            <w:tcW w:type="dxa" w:w="2304"/>
            <w:vAlign w:val="center"/>
            <w:shd w:fill="F3F5F7"/>
          </w:tcPr>
          <w:p>
            <w:r/>
            <w:r>
              <w:rPr>
                <w:b w:val="0"/>
                <w:sz w:val="16"/>
              </w:rPr>
              <w:t>True positives</w:t>
            </w:r>
          </w:p>
        </w:tc>
        <w:tc>
          <w:tcPr>
            <w:tcW w:type="dxa" w:w="1440"/>
            <w:vAlign w:val="center"/>
            <w:shd w:fill="F3F5F7"/>
          </w:tcPr>
          <w:p>
            <w:r/>
            <w:r>
              <w:rPr>
                <w:b w:val="0"/>
                <w:sz w:val="16"/>
              </w:rPr>
              <w:t>248</w:t>
            </w:r>
          </w:p>
        </w:tc>
        <w:tc>
          <w:tcPr>
            <w:tcW w:type="dxa" w:w="5904"/>
            <w:vAlign w:val="center"/>
            <w:shd w:fill="F3F5F7"/>
          </w:tcPr>
          <w:p>
            <w:r/>
            <w:r>
              <w:rPr>
                <w:b w:val="0"/>
                <w:sz w:val="16"/>
              </w:rPr>
              <w:t>Flagged synthetic cases correctly prioritised.</w:t>
            </w:r>
          </w:p>
        </w:tc>
      </w:tr>
    </w:tbl>
    <w:p>
      <w:pPr>
        <w:spacing w:after="20"/>
      </w:pPr>
    </w:p>
    <w:p>
      <w:pPr>
        <w:jc w:val="center"/>
      </w:pPr>
      <w:r>
        <w:rPr>
          <w:sz w:val="19"/>
        </w:rPr>
        <w:drawing>
          <wp:inline xmlns:a="http://schemas.openxmlformats.org/drawingml/2006/main" xmlns:pic="http://schemas.openxmlformats.org/drawingml/2006/picture">
            <wp:extent cx="4754880" cy="3803904"/>
            <wp:docPr id="2" name="Picture 2"/>
            <wp:cNvGraphicFramePr>
              <a:graphicFrameLocks noChangeAspect="1"/>
            </wp:cNvGraphicFramePr>
            <a:graphic>
              <a:graphicData uri="http://schemas.openxmlformats.org/drawingml/2006/picture">
                <pic:pic>
                  <pic:nvPicPr>
                    <pic:cNvPr id="0" name="image2.png"/>
                    <pic:cNvPicPr/>
                  </pic:nvPicPr>
                  <pic:blipFill>
                    <a:blip r:embed="rId23"/>
                    <a:stretch>
                      <a:fillRect/>
                    </a:stretch>
                  </pic:blipFill>
                  <pic:spPr>
                    <a:xfrm>
                      <a:off x="0" y="0"/>
                      <a:ext cx="4754880" cy="3803904"/>
                    </a:xfrm>
                    <a:prstGeom prst="rect"/>
                  </pic:spPr>
                </pic:pic>
              </a:graphicData>
            </a:graphic>
          </wp:inline>
        </w:drawing>
      </w:r>
    </w:p>
    <w:p>
      <w:pPr>
        <w:jc w:val="center"/>
      </w:pPr>
      <w:r>
        <w:rPr>
          <w:i/>
          <w:color w:val="8C93A0"/>
          <w:sz w:val="16"/>
        </w:rPr>
        <w:t>Figure 16 — Candidate logistic-regression confusion matrix at the recall-constrained validation threshold.</w:t>
      </w:r>
    </w:p>
    <w:p>
      <w:pPr>
        <w:pStyle w:val="Heading2"/>
        <w:spacing w:before="160" w:after="80"/>
      </w:pPr>
      <w:r>
        <w:t>8.1 Error patterns by transaction type</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2592"/>
            <w:vAlign w:val="center"/>
            <w:shd w:fill="1F3B63"/>
          </w:tcPr>
          <w:p>
            <w:r/>
            <w:r>
              <w:rPr>
                <w:b/>
                <w:color w:val="FFFFFF"/>
                <w:sz w:val="16"/>
              </w:rPr>
              <w:t>Transaction type</w:t>
            </w:r>
          </w:p>
        </w:tc>
        <w:tc>
          <w:tcPr>
            <w:tcW w:type="dxa" w:w="936"/>
            <w:vAlign w:val="center"/>
            <w:shd w:fill="1F3B63"/>
          </w:tcPr>
          <w:p>
            <w:r/>
            <w:r>
              <w:rPr>
                <w:b/>
                <w:color w:val="FFFFFF"/>
                <w:sz w:val="16"/>
              </w:rPr>
              <w:t>n</w:t>
            </w:r>
          </w:p>
        </w:tc>
        <w:tc>
          <w:tcPr>
            <w:tcW w:type="dxa" w:w="1152"/>
            <w:vAlign w:val="center"/>
            <w:shd w:fill="1F3B63"/>
          </w:tcPr>
          <w:p>
            <w:r/>
            <w:r>
              <w:rPr>
                <w:b/>
                <w:color w:val="FFFFFF"/>
                <w:sz w:val="16"/>
              </w:rPr>
              <w:t>Recall</w:t>
            </w:r>
          </w:p>
        </w:tc>
        <w:tc>
          <w:tcPr>
            <w:tcW w:type="dxa" w:w="1224"/>
            <w:vAlign w:val="center"/>
            <w:shd w:fill="1F3B63"/>
          </w:tcPr>
          <w:p>
            <w:r/>
            <w:r>
              <w:rPr>
                <w:b/>
                <w:color w:val="FFFFFF"/>
                <w:sz w:val="16"/>
              </w:rPr>
              <w:t>Precision</w:t>
            </w:r>
          </w:p>
        </w:tc>
        <w:tc>
          <w:tcPr>
            <w:tcW w:type="dxa" w:w="936"/>
            <w:vAlign w:val="center"/>
            <w:shd w:fill="1F3B63"/>
          </w:tcPr>
          <w:p>
            <w:r/>
            <w:r>
              <w:rPr>
                <w:b/>
                <w:color w:val="FFFFFF"/>
                <w:sz w:val="16"/>
              </w:rPr>
              <w:t>FP</w:t>
            </w:r>
          </w:p>
        </w:tc>
        <w:tc>
          <w:tcPr>
            <w:tcW w:type="dxa" w:w="936"/>
            <w:vAlign w:val="center"/>
            <w:shd w:fill="1F3B63"/>
          </w:tcPr>
          <w:p>
            <w:r/>
            <w:r>
              <w:rPr>
                <w:b/>
                <w:color w:val="FFFFFF"/>
                <w:sz w:val="16"/>
              </w:rPr>
              <w:t>FN</w:t>
            </w:r>
          </w:p>
        </w:tc>
      </w:tr>
      <w:tr>
        <w:tc>
          <w:tcPr>
            <w:tcW w:type="dxa" w:w="2592"/>
            <w:vAlign w:val="center"/>
          </w:tcPr>
          <w:p>
            <w:r/>
            <w:r>
              <w:rPr>
                <w:b w:val="0"/>
                <w:sz w:val="16"/>
              </w:rPr>
              <w:t>Airtime/Data</w:t>
            </w:r>
          </w:p>
        </w:tc>
        <w:tc>
          <w:tcPr>
            <w:tcW w:type="dxa" w:w="936"/>
            <w:vAlign w:val="center"/>
          </w:tcPr>
          <w:p>
            <w:r/>
            <w:r>
              <w:rPr>
                <w:b w:val="0"/>
                <w:sz w:val="16"/>
              </w:rPr>
              <w:t>166</w:t>
            </w:r>
          </w:p>
        </w:tc>
        <w:tc>
          <w:tcPr>
            <w:tcW w:type="dxa" w:w="1152"/>
            <w:vAlign w:val="center"/>
          </w:tcPr>
          <w:p>
            <w:r/>
            <w:r>
              <w:rPr>
                <w:b w:val="0"/>
                <w:sz w:val="16"/>
              </w:rPr>
              <w:t>0.476</w:t>
            </w:r>
          </w:p>
        </w:tc>
        <w:tc>
          <w:tcPr>
            <w:tcW w:type="dxa" w:w="1224"/>
            <w:vAlign w:val="center"/>
          </w:tcPr>
          <w:p>
            <w:r/>
            <w:r>
              <w:rPr>
                <w:b w:val="0"/>
                <w:sz w:val="16"/>
              </w:rPr>
              <w:t>0.200</w:t>
            </w:r>
          </w:p>
        </w:tc>
        <w:tc>
          <w:tcPr>
            <w:tcW w:type="dxa" w:w="936"/>
            <w:vAlign w:val="center"/>
          </w:tcPr>
          <w:p>
            <w:r/>
            <w:r>
              <w:rPr>
                <w:b w:val="0"/>
                <w:sz w:val="16"/>
              </w:rPr>
              <w:t>40</w:t>
            </w:r>
          </w:p>
        </w:tc>
        <w:tc>
          <w:tcPr>
            <w:tcW w:type="dxa" w:w="936"/>
            <w:vAlign w:val="center"/>
          </w:tcPr>
          <w:p>
            <w:r/>
            <w:r>
              <w:rPr>
                <w:b w:val="0"/>
                <w:sz w:val="16"/>
              </w:rPr>
              <w:t>11</w:t>
            </w:r>
          </w:p>
        </w:tc>
      </w:tr>
      <w:tr>
        <w:tc>
          <w:tcPr>
            <w:tcW w:type="dxa" w:w="2592"/>
            <w:vAlign w:val="center"/>
            <w:shd w:fill="F3F5F7"/>
          </w:tcPr>
          <w:p>
            <w:r/>
            <w:r>
              <w:rPr>
                <w:b w:val="0"/>
                <w:sz w:val="16"/>
              </w:rPr>
              <w:t>Bill Payment</w:t>
            </w:r>
          </w:p>
        </w:tc>
        <w:tc>
          <w:tcPr>
            <w:tcW w:type="dxa" w:w="936"/>
            <w:vAlign w:val="center"/>
            <w:shd w:fill="F3F5F7"/>
          </w:tcPr>
          <w:p>
            <w:r/>
            <w:r>
              <w:rPr>
                <w:b w:val="0"/>
                <w:sz w:val="16"/>
              </w:rPr>
              <w:t>209</w:t>
            </w:r>
          </w:p>
        </w:tc>
        <w:tc>
          <w:tcPr>
            <w:tcW w:type="dxa" w:w="1152"/>
            <w:vAlign w:val="center"/>
            <w:shd w:fill="F3F5F7"/>
          </w:tcPr>
          <w:p>
            <w:r/>
            <w:r>
              <w:rPr>
                <w:b w:val="0"/>
                <w:sz w:val="16"/>
              </w:rPr>
              <w:t>0.269</w:t>
            </w:r>
          </w:p>
        </w:tc>
        <w:tc>
          <w:tcPr>
            <w:tcW w:type="dxa" w:w="1224"/>
            <w:vAlign w:val="center"/>
            <w:shd w:fill="F3F5F7"/>
          </w:tcPr>
          <w:p>
            <w:r/>
            <w:r>
              <w:rPr>
                <w:b w:val="0"/>
                <w:sz w:val="16"/>
              </w:rPr>
              <w:t>0.259</w:t>
            </w:r>
          </w:p>
        </w:tc>
        <w:tc>
          <w:tcPr>
            <w:tcW w:type="dxa" w:w="936"/>
            <w:vAlign w:val="center"/>
            <w:shd w:fill="F3F5F7"/>
          </w:tcPr>
          <w:p>
            <w:r/>
            <w:r>
              <w:rPr>
                <w:b w:val="0"/>
                <w:sz w:val="16"/>
              </w:rPr>
              <w:t>20</w:t>
            </w:r>
          </w:p>
        </w:tc>
        <w:tc>
          <w:tcPr>
            <w:tcW w:type="dxa" w:w="936"/>
            <w:vAlign w:val="center"/>
            <w:shd w:fill="F3F5F7"/>
          </w:tcPr>
          <w:p>
            <w:r/>
            <w:r>
              <w:rPr>
                <w:b w:val="0"/>
                <w:sz w:val="16"/>
              </w:rPr>
              <w:t>19</w:t>
            </w:r>
          </w:p>
        </w:tc>
      </w:tr>
      <w:tr>
        <w:tc>
          <w:tcPr>
            <w:tcW w:type="dxa" w:w="2592"/>
            <w:vAlign w:val="center"/>
          </w:tcPr>
          <w:p>
            <w:r/>
            <w:r>
              <w:rPr>
                <w:b w:val="0"/>
                <w:sz w:val="16"/>
              </w:rPr>
              <w:t>Card Purchase</w:t>
            </w:r>
          </w:p>
        </w:tc>
        <w:tc>
          <w:tcPr>
            <w:tcW w:type="dxa" w:w="936"/>
            <w:vAlign w:val="center"/>
          </w:tcPr>
          <w:p>
            <w:r/>
            <w:r>
              <w:rPr>
                <w:b w:val="0"/>
                <w:sz w:val="16"/>
              </w:rPr>
              <w:t>470</w:t>
            </w:r>
          </w:p>
        </w:tc>
        <w:tc>
          <w:tcPr>
            <w:tcW w:type="dxa" w:w="1152"/>
            <w:vAlign w:val="center"/>
          </w:tcPr>
          <w:p>
            <w:r/>
            <w:r>
              <w:rPr>
                <w:b w:val="0"/>
                <w:sz w:val="16"/>
              </w:rPr>
              <w:t>0.311</w:t>
            </w:r>
          </w:p>
        </w:tc>
        <w:tc>
          <w:tcPr>
            <w:tcW w:type="dxa" w:w="1224"/>
            <w:vAlign w:val="center"/>
          </w:tcPr>
          <w:p>
            <w:r/>
            <w:r>
              <w:rPr>
                <w:b w:val="0"/>
                <w:sz w:val="16"/>
              </w:rPr>
              <w:t>0.271</w:t>
            </w:r>
          </w:p>
        </w:tc>
        <w:tc>
          <w:tcPr>
            <w:tcW w:type="dxa" w:w="936"/>
            <w:vAlign w:val="center"/>
          </w:tcPr>
          <w:p>
            <w:r/>
            <w:r>
              <w:rPr>
                <w:b w:val="0"/>
                <w:sz w:val="16"/>
              </w:rPr>
              <w:t>51</w:t>
            </w:r>
          </w:p>
        </w:tc>
        <w:tc>
          <w:tcPr>
            <w:tcW w:type="dxa" w:w="936"/>
            <w:vAlign w:val="center"/>
          </w:tcPr>
          <w:p>
            <w:r/>
            <w:r>
              <w:rPr>
                <w:b w:val="0"/>
                <w:sz w:val="16"/>
              </w:rPr>
              <w:t>42</w:t>
            </w:r>
          </w:p>
        </w:tc>
      </w:tr>
      <w:tr>
        <w:tc>
          <w:tcPr>
            <w:tcW w:type="dxa" w:w="2592"/>
            <w:vAlign w:val="center"/>
            <w:shd w:fill="F3F5F7"/>
          </w:tcPr>
          <w:p>
            <w:r/>
            <w:r>
              <w:rPr>
                <w:b w:val="0"/>
                <w:sz w:val="16"/>
              </w:rPr>
              <w:t>Cash Withdrawal</w:t>
            </w:r>
          </w:p>
        </w:tc>
        <w:tc>
          <w:tcPr>
            <w:tcW w:type="dxa" w:w="936"/>
            <w:vAlign w:val="center"/>
            <w:shd w:fill="F3F5F7"/>
          </w:tcPr>
          <w:p>
            <w:r/>
            <w:r>
              <w:rPr>
                <w:b w:val="0"/>
                <w:sz w:val="16"/>
              </w:rPr>
              <w:t>193</w:t>
            </w:r>
          </w:p>
        </w:tc>
        <w:tc>
          <w:tcPr>
            <w:tcW w:type="dxa" w:w="1152"/>
            <w:vAlign w:val="center"/>
            <w:shd w:fill="F3F5F7"/>
          </w:tcPr>
          <w:p>
            <w:r/>
            <w:r>
              <w:rPr>
                <w:b w:val="0"/>
                <w:sz w:val="16"/>
              </w:rPr>
              <w:t>0.885</w:t>
            </w:r>
          </w:p>
        </w:tc>
        <w:tc>
          <w:tcPr>
            <w:tcW w:type="dxa" w:w="1224"/>
            <w:vAlign w:val="center"/>
            <w:shd w:fill="F3F5F7"/>
          </w:tcPr>
          <w:p>
            <w:r/>
            <w:r>
              <w:rPr>
                <w:b w:val="0"/>
                <w:sz w:val="16"/>
              </w:rPr>
              <w:t>0.289</w:t>
            </w:r>
          </w:p>
        </w:tc>
        <w:tc>
          <w:tcPr>
            <w:tcW w:type="dxa" w:w="936"/>
            <w:vAlign w:val="center"/>
            <w:shd w:fill="F3F5F7"/>
          </w:tcPr>
          <w:p>
            <w:r/>
            <w:r>
              <w:rPr>
                <w:b w:val="0"/>
                <w:sz w:val="16"/>
              </w:rPr>
              <w:t>113</w:t>
            </w:r>
          </w:p>
        </w:tc>
        <w:tc>
          <w:tcPr>
            <w:tcW w:type="dxa" w:w="936"/>
            <w:vAlign w:val="center"/>
            <w:shd w:fill="F3F5F7"/>
          </w:tcPr>
          <w:p>
            <w:r/>
            <w:r>
              <w:rPr>
                <w:b w:val="0"/>
                <w:sz w:val="16"/>
              </w:rPr>
              <w:t>6</w:t>
            </w:r>
          </w:p>
        </w:tc>
      </w:tr>
      <w:tr>
        <w:tc>
          <w:tcPr>
            <w:tcW w:type="dxa" w:w="2592"/>
            <w:vAlign w:val="center"/>
          </w:tcPr>
          <w:p>
            <w:r/>
            <w:r>
              <w:rPr>
                <w:b w:val="0"/>
                <w:sz w:val="16"/>
              </w:rPr>
              <w:t>Deposit</w:t>
            </w:r>
          </w:p>
        </w:tc>
        <w:tc>
          <w:tcPr>
            <w:tcW w:type="dxa" w:w="936"/>
            <w:vAlign w:val="center"/>
          </w:tcPr>
          <w:p>
            <w:r/>
            <w:r>
              <w:rPr>
                <w:b w:val="0"/>
                <w:sz w:val="16"/>
              </w:rPr>
              <w:t>202</w:t>
            </w:r>
          </w:p>
        </w:tc>
        <w:tc>
          <w:tcPr>
            <w:tcW w:type="dxa" w:w="1152"/>
            <w:vAlign w:val="center"/>
          </w:tcPr>
          <w:p>
            <w:r/>
            <w:r>
              <w:rPr>
                <w:b w:val="0"/>
                <w:sz w:val="16"/>
              </w:rPr>
              <w:t>0.424</w:t>
            </w:r>
          </w:p>
        </w:tc>
        <w:tc>
          <w:tcPr>
            <w:tcW w:type="dxa" w:w="1224"/>
            <w:vAlign w:val="center"/>
          </w:tcPr>
          <w:p>
            <w:r/>
            <w:r>
              <w:rPr>
                <w:b w:val="0"/>
                <w:sz w:val="16"/>
              </w:rPr>
              <w:t>0.250</w:t>
            </w:r>
          </w:p>
        </w:tc>
        <w:tc>
          <w:tcPr>
            <w:tcW w:type="dxa" w:w="936"/>
            <w:vAlign w:val="center"/>
          </w:tcPr>
          <w:p>
            <w:r/>
            <w:r>
              <w:rPr>
                <w:b w:val="0"/>
                <w:sz w:val="16"/>
              </w:rPr>
              <w:t>42</w:t>
            </w:r>
          </w:p>
        </w:tc>
        <w:tc>
          <w:tcPr>
            <w:tcW w:type="dxa" w:w="936"/>
            <w:vAlign w:val="center"/>
          </w:tcPr>
          <w:p>
            <w:r/>
            <w:r>
              <w:rPr>
                <w:b w:val="0"/>
                <w:sz w:val="16"/>
              </w:rPr>
              <w:t>19</w:t>
            </w:r>
          </w:p>
        </w:tc>
      </w:tr>
      <w:tr>
        <w:tc>
          <w:tcPr>
            <w:tcW w:type="dxa" w:w="2592"/>
            <w:vAlign w:val="center"/>
            <w:shd w:fill="F3F5F7"/>
          </w:tcPr>
          <w:p>
            <w:r/>
            <w:r>
              <w:rPr>
                <w:b w:val="0"/>
                <w:sz w:val="16"/>
              </w:rPr>
              <w:t>Transfer</w:t>
            </w:r>
          </w:p>
        </w:tc>
        <w:tc>
          <w:tcPr>
            <w:tcW w:type="dxa" w:w="936"/>
            <w:vAlign w:val="center"/>
            <w:shd w:fill="F3F5F7"/>
          </w:tcPr>
          <w:p>
            <w:r/>
            <w:r>
              <w:rPr>
                <w:b w:val="0"/>
                <w:sz w:val="16"/>
              </w:rPr>
              <w:t>561</w:t>
            </w:r>
          </w:p>
        </w:tc>
        <w:tc>
          <w:tcPr>
            <w:tcW w:type="dxa" w:w="1152"/>
            <w:vAlign w:val="center"/>
            <w:shd w:fill="F3F5F7"/>
          </w:tcPr>
          <w:p>
            <w:r/>
            <w:r>
              <w:rPr>
                <w:b w:val="0"/>
                <w:sz w:val="16"/>
              </w:rPr>
              <w:t>0.950</w:t>
            </w:r>
          </w:p>
        </w:tc>
        <w:tc>
          <w:tcPr>
            <w:tcW w:type="dxa" w:w="1224"/>
            <w:vAlign w:val="center"/>
            <w:shd w:fill="F3F5F7"/>
          </w:tcPr>
          <w:p>
            <w:r/>
            <w:r>
              <w:rPr>
                <w:b w:val="0"/>
                <w:sz w:val="16"/>
              </w:rPr>
              <w:t>0.302</w:t>
            </w:r>
          </w:p>
        </w:tc>
        <w:tc>
          <w:tcPr>
            <w:tcW w:type="dxa" w:w="936"/>
            <w:vAlign w:val="center"/>
            <w:shd w:fill="F3F5F7"/>
          </w:tcPr>
          <w:p>
            <w:r/>
            <w:r>
              <w:rPr>
                <w:b w:val="0"/>
                <w:sz w:val="16"/>
              </w:rPr>
              <w:t>352</w:t>
            </w:r>
          </w:p>
        </w:tc>
        <w:tc>
          <w:tcPr>
            <w:tcW w:type="dxa" w:w="936"/>
            <w:vAlign w:val="center"/>
            <w:shd w:fill="F3F5F7"/>
          </w:tcPr>
          <w:p>
            <w:r/>
            <w:r>
              <w:rPr>
                <w:b w:val="0"/>
                <w:sz w:val="16"/>
              </w:rPr>
              <w:t>8</w:t>
            </w:r>
          </w:p>
        </w:tc>
      </w:tr>
    </w:tbl>
    <w:p>
      <w:pPr>
        <w:spacing w:after="20"/>
      </w:pPr>
    </w:p>
    <w:p>
      <w:pPr>
        <w:pStyle w:val="Heading2"/>
        <w:spacing w:before="160" w:after="80"/>
      </w:pPr>
      <w:r>
        <w:t>8.2 What the errors mean</w:t>
      </w:r>
    </w:p>
    <w:p>
      <w:pPr>
        <w:spacing w:after="100" w:line="252" w:lineRule="auto"/>
      </w:pPr>
      <w:r>
        <w:rPr>
          <w:b w:val="0"/>
          <w:i w:val="0"/>
          <w:sz w:val="19"/>
        </w:rPr>
        <w:t>The failure mode is systematic. Transfer recall is 0.950 and Cash Withdrawal recall is 0.885, while Bill Payment is only 0.269 and Card Purchase 0.311. This means the model is effective where the supplied features strongly identify high-base-rate transaction categories, but it has little information for distinguishing flagged from unflagged cases inside low-signal categories. The error analysis therefore reinforces, rather than contradicts, the performance-ceiling conclusion.</w:t>
      </w:r>
    </w:p>
    <w:p>
      <w:pPr>
        <w:spacing w:after="100" w:line="252" w:lineRule="auto"/>
      </w:pPr>
      <w:r>
        <w:rPr>
          <w:b w:val="0"/>
          <w:i w:val="0"/>
          <w:sz w:val="19"/>
        </w:rPr>
        <w:t>The model should not be described as uniformly detecting risky transactions. A more accurate statement is that it prioritises the synthetic review label unevenly, with strong coverage in transfers/cash withdrawals and weak coverage in bill payments/card purchases.</w:t>
      </w:r>
    </w:p>
    <w:p>
      <w:pPr>
        <w:pStyle w:val="Heading1"/>
        <w:spacing w:before="200" w:after="100"/>
      </w:pPr>
      <w:r>
        <w:t>9. Part F — Model Interpretation</w:t>
      </w:r>
    </w:p>
    <w:p>
      <w:pPr>
        <w:spacing w:after="100" w:line="252" w:lineRule="auto"/>
      </w:pPr>
      <w:r>
        <w:rPr>
          <w:b w:val="0"/>
          <w:i w:val="0"/>
          <w:sz w:val="19"/>
        </w:rPr>
        <w:t>Permutation importance remains the primary interpretation method so that Week 3 is directly comparable with Week 2. Logistic-regression coefficients are now added as a secondary directional check because feature refinement removed the amount multicollinearity defect.</w:t>
      </w:r>
    </w:p>
    <w:tbl>
      <w:tblPr>
        <w:tblW w:type="auto" w:w="0"/>
        <w:jc w:val="center"/>
        <w:tblLook w:firstColumn="1" w:firstRow="1" w:lastColumn="0" w:lastRow="0" w:noHBand="0" w:noVBand="1" w:val="04A0"/>
      </w:tblPr>
      <w:tblGrid>
        <w:gridCol w:w="3009"/>
        <w:gridCol w:w="3009"/>
        <w:gridCol w:w="3009"/>
      </w:tblGrid>
      <w:tr>
        <w:tc>
          <w:tcPr>
            <w:tcW w:type="dxa" w:w="2880"/>
            <w:vAlign w:val="center"/>
            <w:shd w:fill="1F3B63"/>
          </w:tcPr>
          <w:p>
            <w:r/>
            <w:r>
              <w:rPr>
                <w:b/>
                <w:color w:val="FFFFFF"/>
                <w:sz w:val="16"/>
              </w:rPr>
              <w:t>Feature</w:t>
            </w:r>
          </w:p>
        </w:tc>
        <w:tc>
          <w:tcPr>
            <w:tcW w:type="dxa" w:w="2016"/>
            <w:vAlign w:val="center"/>
            <w:shd w:fill="1F3B63"/>
          </w:tcPr>
          <w:p>
            <w:r/>
            <w:r>
              <w:rPr>
                <w:b/>
                <w:color w:val="FFFFFF"/>
                <w:sz w:val="16"/>
              </w:rPr>
              <w:t>Permutation AUC drop</w:t>
            </w:r>
          </w:p>
        </w:tc>
        <w:tc>
          <w:tcPr>
            <w:tcW w:type="dxa" w:w="4896"/>
            <w:vAlign w:val="center"/>
            <w:shd w:fill="1F3B63"/>
          </w:tcPr>
          <w:p>
            <w:r/>
            <w:r>
              <w:rPr>
                <w:b/>
                <w:color w:val="FFFFFF"/>
                <w:sz w:val="16"/>
              </w:rPr>
              <w:t>Interpretation</w:t>
            </w:r>
          </w:p>
        </w:tc>
      </w:tr>
      <w:tr>
        <w:tc>
          <w:tcPr>
            <w:tcW w:type="dxa" w:w="2880"/>
            <w:vAlign w:val="center"/>
          </w:tcPr>
          <w:p>
            <w:r/>
            <w:r>
              <w:rPr>
                <w:b w:val="0"/>
                <w:sz w:val="16"/>
              </w:rPr>
              <w:t>Transaction_Type</w:t>
            </w:r>
          </w:p>
        </w:tc>
        <w:tc>
          <w:tcPr>
            <w:tcW w:type="dxa" w:w="2016"/>
            <w:vAlign w:val="center"/>
          </w:tcPr>
          <w:p>
            <w:r/>
            <w:r>
              <w:rPr>
                <w:b w:val="0"/>
                <w:sz w:val="16"/>
              </w:rPr>
              <w:t>0.084</w:t>
            </w:r>
          </w:p>
        </w:tc>
        <w:tc>
          <w:tcPr>
            <w:tcW w:type="dxa" w:w="4896"/>
            <w:vAlign w:val="center"/>
          </w:tcPr>
          <w:p>
            <w:r/>
            <w:r>
              <w:rPr>
                <w:b w:val="0"/>
                <w:sz w:val="16"/>
              </w:rPr>
              <w:t>Dominant signal; transaction category drives much of the ranking.</w:t>
            </w:r>
          </w:p>
        </w:tc>
      </w:tr>
      <w:tr>
        <w:tc>
          <w:tcPr>
            <w:tcW w:type="dxa" w:w="2880"/>
            <w:vAlign w:val="center"/>
            <w:shd w:fill="F3F5F7"/>
          </w:tcPr>
          <w:p>
            <w:r/>
            <w:r>
              <w:rPr>
                <w:b w:val="0"/>
                <w:sz w:val="16"/>
              </w:rPr>
              <w:t>Is_Overnight</w:t>
            </w:r>
          </w:p>
        </w:tc>
        <w:tc>
          <w:tcPr>
            <w:tcW w:type="dxa" w:w="2016"/>
            <w:vAlign w:val="center"/>
            <w:shd w:fill="F3F5F7"/>
          </w:tcPr>
          <w:p>
            <w:r/>
            <w:r>
              <w:rPr>
                <w:b w:val="0"/>
                <w:sz w:val="16"/>
              </w:rPr>
              <w:t>0.052</w:t>
            </w:r>
          </w:p>
        </w:tc>
        <w:tc>
          <w:tcPr>
            <w:tcW w:type="dxa" w:w="4896"/>
            <w:vAlign w:val="center"/>
            <w:shd w:fill="F3F5F7"/>
          </w:tcPr>
          <w:p>
            <w:r/>
            <w:r>
              <w:rPr>
                <w:b w:val="0"/>
                <w:sz w:val="16"/>
              </w:rPr>
              <w:t>Strong time-of-day signal consistent with Week 2.</w:t>
            </w:r>
          </w:p>
        </w:tc>
      </w:tr>
      <w:tr>
        <w:tc>
          <w:tcPr>
            <w:tcW w:type="dxa" w:w="2880"/>
            <w:vAlign w:val="center"/>
          </w:tcPr>
          <w:p>
            <w:r/>
            <w:r>
              <w:rPr>
                <w:b w:val="0"/>
                <w:sz w:val="16"/>
              </w:rPr>
              <w:t>Amount_Band</w:t>
            </w:r>
          </w:p>
        </w:tc>
        <w:tc>
          <w:tcPr>
            <w:tcW w:type="dxa" w:w="2016"/>
            <w:vAlign w:val="center"/>
          </w:tcPr>
          <w:p>
            <w:r/>
            <w:r>
              <w:rPr>
                <w:b w:val="0"/>
                <w:sz w:val="16"/>
              </w:rPr>
              <w:t>0.018</w:t>
            </w:r>
          </w:p>
        </w:tc>
        <w:tc>
          <w:tcPr>
            <w:tcW w:type="dxa" w:w="4896"/>
            <w:vAlign w:val="center"/>
          </w:tcPr>
          <w:p>
            <w:r/>
            <w:r>
              <w:rPr>
                <w:b w:val="0"/>
                <w:sz w:val="16"/>
              </w:rPr>
              <w:t>Upper-tail amount effect remains useful after redundant encodings are removed.</w:t>
            </w:r>
          </w:p>
        </w:tc>
      </w:tr>
      <w:tr>
        <w:tc>
          <w:tcPr>
            <w:tcW w:type="dxa" w:w="2880"/>
            <w:vAlign w:val="center"/>
            <w:shd w:fill="F3F5F7"/>
          </w:tcPr>
          <w:p>
            <w:r/>
            <w:r>
              <w:rPr>
                <w:b w:val="0"/>
                <w:sz w:val="16"/>
              </w:rPr>
              <w:t>Is_International</w:t>
            </w:r>
          </w:p>
        </w:tc>
        <w:tc>
          <w:tcPr>
            <w:tcW w:type="dxa" w:w="2016"/>
            <w:vAlign w:val="center"/>
            <w:shd w:fill="F3F5F7"/>
          </w:tcPr>
          <w:p>
            <w:r/>
            <w:r>
              <w:rPr>
                <w:b w:val="0"/>
                <w:sz w:val="16"/>
              </w:rPr>
              <w:t>0.011</w:t>
            </w:r>
          </w:p>
        </w:tc>
        <w:tc>
          <w:tcPr>
            <w:tcW w:type="dxa" w:w="4896"/>
            <w:vAlign w:val="center"/>
            <w:shd w:fill="F3F5F7"/>
          </w:tcPr>
          <w:p>
            <w:r/>
            <w:r>
              <w:rPr>
                <w:b w:val="0"/>
                <w:sz w:val="16"/>
              </w:rPr>
              <w:t>Strong per-case effect but limited by low prevalence.</w:t>
            </w:r>
          </w:p>
        </w:tc>
      </w:tr>
      <w:tr>
        <w:tc>
          <w:tcPr>
            <w:tcW w:type="dxa" w:w="2880"/>
            <w:vAlign w:val="center"/>
          </w:tcPr>
          <w:p>
            <w:r/>
            <w:r>
              <w:rPr>
                <w:b w:val="0"/>
                <w:sz w:val="16"/>
              </w:rPr>
              <w:t>Channel</w:t>
            </w:r>
          </w:p>
        </w:tc>
        <w:tc>
          <w:tcPr>
            <w:tcW w:type="dxa" w:w="2016"/>
            <w:vAlign w:val="center"/>
          </w:tcPr>
          <w:p>
            <w:r/>
            <w:r>
              <w:rPr>
                <w:b w:val="0"/>
                <w:sz w:val="16"/>
              </w:rPr>
              <w:t>0.004</w:t>
            </w:r>
          </w:p>
        </w:tc>
        <w:tc>
          <w:tcPr>
            <w:tcW w:type="dxa" w:w="4896"/>
            <w:vAlign w:val="center"/>
          </w:tcPr>
          <w:p>
            <w:r/>
            <w:r>
              <w:rPr>
                <w:b w:val="0"/>
                <w:sz w:val="16"/>
              </w:rPr>
              <w:t>Weak incremental contribution.</w:t>
            </w:r>
          </w:p>
        </w:tc>
      </w:tr>
      <w:tr>
        <w:tc>
          <w:tcPr>
            <w:tcW w:type="dxa" w:w="2880"/>
            <w:vAlign w:val="center"/>
            <w:shd w:fill="F3F5F7"/>
          </w:tcPr>
          <w:p>
            <w:r/>
            <w:r>
              <w:rPr>
                <w:b w:val="0"/>
                <w:sz w:val="16"/>
              </w:rPr>
              <w:t>Account_Type</w:t>
            </w:r>
          </w:p>
        </w:tc>
        <w:tc>
          <w:tcPr>
            <w:tcW w:type="dxa" w:w="2016"/>
            <w:vAlign w:val="center"/>
            <w:shd w:fill="F3F5F7"/>
          </w:tcPr>
          <w:p>
            <w:r/>
            <w:r>
              <w:rPr>
                <w:b w:val="0"/>
                <w:sz w:val="16"/>
              </w:rPr>
              <w:t>0.004</w:t>
            </w:r>
          </w:p>
        </w:tc>
        <w:tc>
          <w:tcPr>
            <w:tcW w:type="dxa" w:w="4896"/>
            <w:vAlign w:val="center"/>
            <w:shd w:fill="F3F5F7"/>
          </w:tcPr>
          <w:p>
            <w:r/>
            <w:r>
              <w:rPr>
                <w:b w:val="0"/>
                <w:sz w:val="16"/>
              </w:rPr>
              <w:t>Weak customer-level contribution.</w:t>
            </w:r>
          </w:p>
        </w:tc>
      </w:tr>
      <w:tr>
        <w:tc>
          <w:tcPr>
            <w:tcW w:type="dxa" w:w="2880"/>
            <w:vAlign w:val="center"/>
          </w:tcPr>
          <w:p>
            <w:r/>
            <w:r>
              <w:rPr>
                <w:b w:val="0"/>
                <w:sz w:val="16"/>
              </w:rPr>
              <w:t>Tenure_Band</w:t>
            </w:r>
          </w:p>
        </w:tc>
        <w:tc>
          <w:tcPr>
            <w:tcW w:type="dxa" w:w="2016"/>
            <w:vAlign w:val="center"/>
          </w:tcPr>
          <w:p>
            <w:r/>
            <w:r>
              <w:rPr>
                <w:b w:val="0"/>
                <w:sz w:val="16"/>
              </w:rPr>
              <w:t>0.004</w:t>
            </w:r>
          </w:p>
        </w:tc>
        <w:tc>
          <w:tcPr>
            <w:tcW w:type="dxa" w:w="4896"/>
            <w:vAlign w:val="center"/>
          </w:tcPr>
          <w:p>
            <w:r/>
            <w:r>
              <w:rPr>
                <w:b w:val="0"/>
                <w:sz w:val="16"/>
              </w:rPr>
              <w:t>Weak; consistent with rejected tenure hypothesis.</w:t>
            </w:r>
          </w:p>
        </w:tc>
      </w:tr>
      <w:tr>
        <w:tc>
          <w:tcPr>
            <w:tcW w:type="dxa" w:w="2880"/>
            <w:vAlign w:val="center"/>
            <w:shd w:fill="F3F5F7"/>
          </w:tcPr>
          <w:p>
            <w:r/>
            <w:r>
              <w:rPr>
                <w:b w:val="0"/>
                <w:sz w:val="16"/>
              </w:rPr>
              <w:t>Engagement_Band</w:t>
            </w:r>
          </w:p>
        </w:tc>
        <w:tc>
          <w:tcPr>
            <w:tcW w:type="dxa" w:w="2016"/>
            <w:vAlign w:val="center"/>
            <w:shd w:fill="F3F5F7"/>
          </w:tcPr>
          <w:p>
            <w:r/>
            <w:r>
              <w:rPr>
                <w:b w:val="0"/>
                <w:sz w:val="16"/>
              </w:rPr>
              <w:t>0.003</w:t>
            </w:r>
          </w:p>
        </w:tc>
        <w:tc>
          <w:tcPr>
            <w:tcW w:type="dxa" w:w="4896"/>
            <w:vAlign w:val="center"/>
            <w:shd w:fill="F3F5F7"/>
          </w:tcPr>
          <w:p>
            <w:r/>
            <w:r>
              <w:rPr>
                <w:b w:val="0"/>
                <w:sz w:val="16"/>
              </w:rPr>
              <w:t>Weak customer-level contribution.</w:t>
            </w:r>
          </w:p>
        </w:tc>
      </w:tr>
      <w:tr>
        <w:tc>
          <w:tcPr>
            <w:tcW w:type="dxa" w:w="2880"/>
            <w:vAlign w:val="center"/>
          </w:tcPr>
          <w:p>
            <w:r/>
            <w:r>
              <w:rPr>
                <w:b w:val="0"/>
                <w:sz w:val="16"/>
              </w:rPr>
              <w:t>Location</w:t>
            </w:r>
          </w:p>
        </w:tc>
        <w:tc>
          <w:tcPr>
            <w:tcW w:type="dxa" w:w="2016"/>
            <w:vAlign w:val="center"/>
          </w:tcPr>
          <w:p>
            <w:r/>
            <w:r>
              <w:rPr>
                <w:b w:val="0"/>
                <w:sz w:val="16"/>
              </w:rPr>
              <w:t>0.002</w:t>
            </w:r>
          </w:p>
        </w:tc>
        <w:tc>
          <w:tcPr>
            <w:tcW w:type="dxa" w:w="4896"/>
            <w:vAlign w:val="center"/>
          </w:tcPr>
          <w:p>
            <w:r/>
            <w:r>
              <w:rPr>
                <w:b w:val="0"/>
                <w:sz w:val="16"/>
              </w:rPr>
              <w:t>Near-noise contribution.</w:t>
            </w:r>
          </w:p>
        </w:tc>
      </w:tr>
      <w:tr>
        <w:tc>
          <w:tcPr>
            <w:tcW w:type="dxa" w:w="2880"/>
            <w:vAlign w:val="center"/>
            <w:shd w:fill="F3F5F7"/>
          </w:tcPr>
          <w:p>
            <w:r/>
            <w:r>
              <w:rPr>
                <w:b w:val="0"/>
                <w:sz w:val="16"/>
              </w:rPr>
              <w:t>Tenure_Months</w:t>
            </w:r>
          </w:p>
        </w:tc>
        <w:tc>
          <w:tcPr>
            <w:tcW w:type="dxa" w:w="2016"/>
            <w:vAlign w:val="center"/>
            <w:shd w:fill="F3F5F7"/>
          </w:tcPr>
          <w:p>
            <w:r/>
            <w:r>
              <w:rPr>
                <w:b w:val="0"/>
                <w:sz w:val="16"/>
              </w:rPr>
              <w:t>0.001</w:t>
            </w:r>
          </w:p>
        </w:tc>
        <w:tc>
          <w:tcPr>
            <w:tcW w:type="dxa" w:w="4896"/>
            <w:vAlign w:val="center"/>
            <w:shd w:fill="F3F5F7"/>
          </w:tcPr>
          <w:p>
            <w:r/>
            <w:r>
              <w:rPr>
                <w:b w:val="0"/>
                <w:sz w:val="16"/>
              </w:rPr>
              <w:t>Near-noise contribution.</w:t>
            </w:r>
          </w:p>
        </w:tc>
      </w:tr>
    </w:tbl>
    <w:p>
      <w:pPr>
        <w:spacing w:after="20"/>
      </w:pPr>
    </w:p>
    <w:p>
      <w:pPr>
        <w:jc w:val="center"/>
      </w:pPr>
      <w:r>
        <w:rPr>
          <w:sz w:val="19"/>
        </w:rP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image3.png"/>
                    <pic:cNvPicPr/>
                  </pic:nvPicPr>
                  <pic:blipFill>
                    <a:blip r:embed="rId24"/>
                    <a:stretch>
                      <a:fillRect/>
                    </a:stretch>
                  </pic:blipFill>
                  <pic:spPr>
                    <a:xfrm>
                      <a:off x="0" y="0"/>
                      <a:ext cx="5486400" cy="3918857"/>
                    </a:xfrm>
                    <a:prstGeom prst="rect"/>
                  </pic:spPr>
                </pic:pic>
              </a:graphicData>
            </a:graphic>
          </wp:inline>
        </w:drawing>
      </w:r>
    </w:p>
    <w:p>
      <w:pPr>
        <w:jc w:val="center"/>
      </w:pPr>
      <w:r>
        <w:rPr>
          <w:i/>
          <w:color w:val="8C93A0"/>
          <w:sz w:val="16"/>
        </w:rPr>
        <w:t>Figure 17 — Candidate model permutation importance on validation data.</w:t>
      </w:r>
    </w:p>
    <w:p>
      <w:pPr>
        <w:pStyle w:val="Heading2"/>
        <w:spacing w:before="160" w:after="80"/>
      </w:pPr>
      <w:r>
        <w:t>9.1 Coefficient sanity check</w:t>
      </w:r>
    </w:p>
    <w:tbl>
      <w:tblPr>
        <w:tblW w:type="auto" w:w="0"/>
        <w:jc w:val="center"/>
        <w:tblLook w:firstColumn="1" w:firstRow="1" w:lastColumn="0" w:lastRow="0" w:noHBand="0" w:noVBand="1" w:val="04A0"/>
      </w:tblPr>
      <w:tblGrid>
        <w:gridCol w:w="3009"/>
        <w:gridCol w:w="3009"/>
        <w:gridCol w:w="3009"/>
      </w:tblGrid>
      <w:tr>
        <w:tc>
          <w:tcPr>
            <w:tcW w:type="dxa" w:w="4032"/>
            <w:vAlign w:val="center"/>
            <w:shd w:fill="1F3B63"/>
          </w:tcPr>
          <w:p>
            <w:r/>
            <w:r>
              <w:rPr>
                <w:b/>
                <w:color w:val="FFFFFF"/>
                <w:sz w:val="16"/>
              </w:rPr>
              <w:t>Term</w:t>
            </w:r>
          </w:p>
        </w:tc>
        <w:tc>
          <w:tcPr>
            <w:tcW w:type="dxa" w:w="1440"/>
            <w:vAlign w:val="center"/>
            <w:shd w:fill="1F3B63"/>
          </w:tcPr>
          <w:p>
            <w:r/>
            <w:r>
              <w:rPr>
                <w:b/>
                <w:color w:val="FFFFFF"/>
                <w:sz w:val="16"/>
              </w:rPr>
              <w:t>Coefficient</w:t>
            </w:r>
          </w:p>
        </w:tc>
        <w:tc>
          <w:tcPr>
            <w:tcW w:type="dxa" w:w="4320"/>
            <w:vAlign w:val="center"/>
            <w:shd w:fill="1F3B63"/>
          </w:tcPr>
          <w:p>
            <w:r/>
            <w:r>
              <w:rPr>
                <w:b/>
                <w:color w:val="FFFFFF"/>
                <w:sz w:val="16"/>
              </w:rPr>
              <w:t>Reading</w:t>
            </w:r>
          </w:p>
        </w:tc>
      </w:tr>
      <w:tr>
        <w:tc>
          <w:tcPr>
            <w:tcW w:type="dxa" w:w="4032"/>
            <w:vAlign w:val="center"/>
          </w:tcPr>
          <w:p>
            <w:r/>
            <w:r>
              <w:rPr>
                <w:b w:val="0"/>
                <w:sz w:val="16"/>
              </w:rPr>
              <w:t>Is_International</w:t>
            </w:r>
          </w:p>
        </w:tc>
        <w:tc>
          <w:tcPr>
            <w:tcW w:type="dxa" w:w="1440"/>
            <w:vAlign w:val="center"/>
          </w:tcPr>
          <w:p>
            <w:r/>
            <w:r>
              <w:rPr>
                <w:b w:val="0"/>
                <w:sz w:val="16"/>
              </w:rPr>
              <w:t>+0.942</w:t>
            </w:r>
          </w:p>
        </w:tc>
        <w:tc>
          <w:tcPr>
            <w:tcW w:type="dxa" w:w="4320"/>
            <w:vAlign w:val="center"/>
          </w:tcPr>
          <w:p>
            <w:r/>
            <w:r>
              <w:rPr>
                <w:b w:val="0"/>
                <w:sz w:val="16"/>
              </w:rPr>
              <w:t>International transactions receive higher model scores, consistent with training evidence.</w:t>
            </w:r>
          </w:p>
        </w:tc>
      </w:tr>
      <w:tr>
        <w:tc>
          <w:tcPr>
            <w:tcW w:type="dxa" w:w="4032"/>
            <w:vAlign w:val="center"/>
            <w:shd w:fill="F3F5F7"/>
          </w:tcPr>
          <w:p>
            <w:r/>
            <w:r>
              <w:rPr>
                <w:b w:val="0"/>
                <w:sz w:val="16"/>
              </w:rPr>
              <w:t>Is_Overnight</w:t>
            </w:r>
          </w:p>
        </w:tc>
        <w:tc>
          <w:tcPr>
            <w:tcW w:type="dxa" w:w="1440"/>
            <w:vAlign w:val="center"/>
            <w:shd w:fill="F3F5F7"/>
          </w:tcPr>
          <w:p>
            <w:r/>
            <w:r>
              <w:rPr>
                <w:b w:val="0"/>
                <w:sz w:val="16"/>
              </w:rPr>
              <w:t>+0.830</w:t>
            </w:r>
          </w:p>
        </w:tc>
        <w:tc>
          <w:tcPr>
            <w:tcW w:type="dxa" w:w="4320"/>
            <w:vAlign w:val="center"/>
            <w:shd w:fill="F3F5F7"/>
          </w:tcPr>
          <w:p>
            <w:r/>
            <w:r>
              <w:rPr>
                <w:b w:val="0"/>
                <w:sz w:val="16"/>
              </w:rPr>
              <w:t>Overnight activity increases the model score.</w:t>
            </w:r>
          </w:p>
        </w:tc>
      </w:tr>
      <w:tr>
        <w:tc>
          <w:tcPr>
            <w:tcW w:type="dxa" w:w="4032"/>
            <w:vAlign w:val="center"/>
          </w:tcPr>
          <w:p>
            <w:r/>
            <w:r>
              <w:rPr>
                <w:b w:val="0"/>
                <w:sz w:val="16"/>
              </w:rPr>
              <w:t>Transaction_Type_Transfer</w:t>
            </w:r>
          </w:p>
        </w:tc>
        <w:tc>
          <w:tcPr>
            <w:tcW w:type="dxa" w:w="1440"/>
            <w:vAlign w:val="center"/>
          </w:tcPr>
          <w:p>
            <w:r/>
            <w:r>
              <w:rPr>
                <w:b w:val="0"/>
                <w:sz w:val="16"/>
              </w:rPr>
              <w:t>+0.672</w:t>
            </w:r>
          </w:p>
        </w:tc>
        <w:tc>
          <w:tcPr>
            <w:tcW w:type="dxa" w:w="4320"/>
            <w:vAlign w:val="center"/>
          </w:tcPr>
          <w:p>
            <w:r/>
            <w:r>
              <w:rPr>
                <w:b w:val="0"/>
                <w:sz w:val="16"/>
              </w:rPr>
              <w:t>Transfers are associated with higher review priority.</w:t>
            </w:r>
          </w:p>
        </w:tc>
      </w:tr>
      <w:tr>
        <w:tc>
          <w:tcPr>
            <w:tcW w:type="dxa" w:w="4032"/>
            <w:vAlign w:val="center"/>
            <w:shd w:fill="F3F5F7"/>
          </w:tcPr>
          <w:p>
            <w:r/>
            <w:r>
              <w:rPr>
                <w:b w:val="0"/>
                <w:sz w:val="16"/>
              </w:rPr>
              <w:t>Transaction_Type_Cash Withdrawal</w:t>
            </w:r>
          </w:p>
        </w:tc>
        <w:tc>
          <w:tcPr>
            <w:tcW w:type="dxa" w:w="1440"/>
            <w:vAlign w:val="center"/>
            <w:shd w:fill="F3F5F7"/>
          </w:tcPr>
          <w:p>
            <w:r/>
            <w:r>
              <w:rPr>
                <w:b w:val="0"/>
                <w:sz w:val="16"/>
              </w:rPr>
              <w:t>+0.596</w:t>
            </w:r>
          </w:p>
        </w:tc>
        <w:tc>
          <w:tcPr>
            <w:tcW w:type="dxa" w:w="4320"/>
            <w:vAlign w:val="center"/>
            <w:shd w:fill="F3F5F7"/>
          </w:tcPr>
          <w:p>
            <w:r/>
            <w:r>
              <w:rPr>
                <w:b w:val="0"/>
                <w:sz w:val="16"/>
              </w:rPr>
              <w:t>Cash withdrawals are associated with higher review priority.</w:t>
            </w:r>
          </w:p>
        </w:tc>
      </w:tr>
      <w:tr>
        <w:tc>
          <w:tcPr>
            <w:tcW w:type="dxa" w:w="4032"/>
            <w:vAlign w:val="center"/>
          </w:tcPr>
          <w:p>
            <w:r/>
            <w:r>
              <w:rPr>
                <w:b w:val="0"/>
                <w:sz w:val="16"/>
              </w:rPr>
              <w:t>Amount_Band_Q5</w:t>
            </w:r>
          </w:p>
        </w:tc>
        <w:tc>
          <w:tcPr>
            <w:tcW w:type="dxa" w:w="1440"/>
            <w:vAlign w:val="center"/>
          </w:tcPr>
          <w:p>
            <w:r/>
            <w:r>
              <w:rPr>
                <w:b w:val="0"/>
                <w:sz w:val="16"/>
              </w:rPr>
              <w:t>+0.407</w:t>
            </w:r>
          </w:p>
        </w:tc>
        <w:tc>
          <w:tcPr>
            <w:tcW w:type="dxa" w:w="4320"/>
            <w:vAlign w:val="center"/>
          </w:tcPr>
          <w:p>
            <w:r/>
            <w:r>
              <w:rPr>
                <w:b w:val="0"/>
                <w:sz w:val="16"/>
              </w:rPr>
              <w:t>Top amount band now has the expected positive direction.</w:t>
            </w:r>
          </w:p>
        </w:tc>
      </w:tr>
    </w:tbl>
    <w:p>
      <w:pPr>
        <w:spacing w:after="20"/>
      </w:pPr>
    </w:p>
    <w:p>
      <w:pPr>
        <w:spacing w:after="100" w:line="252" w:lineRule="auto"/>
      </w:pPr>
      <w:r>
        <w:rPr>
          <w:b w:val="0"/>
          <w:i w:val="0"/>
          <w:sz w:val="19"/>
        </w:rPr>
        <w:t>The key validation result is Amount_Band_Q5. In Week 2 its sign contradicted the descriptive evidence because three amount encodings competed inside the same linear model. After refinement it is +0.407, matching the observed high-value pattern. This closes the Week 2 interpretation defect rather than merely working around it.</w:t>
      </w:r>
    </w:p>
    <w:p>
      <w:pPr>
        <w:pStyle w:val="Heading1"/>
        <w:spacing w:before="200" w:after="100"/>
      </w:pPr>
      <w:r>
        <w:t>10. Part G — Candidate Final Model</w:t>
      </w:r>
    </w:p>
    <w:p>
      <w:pPr>
        <w:spacing w:after="100" w:line="252" w:lineRule="auto"/>
      </w:pPr>
      <w:r>
        <w:rPr>
          <w:b w:val="0"/>
          <w:i w:val="0"/>
          <w:sz w:val="19"/>
        </w:rPr>
        <w:t>The candidate final model is frozen at the end of Week 3 so that Week 4 can perform one final untouched test evaluation rather than continuing to optimise against validation.</w:t>
      </w:r>
    </w:p>
    <w:tbl>
      <w:tblPr>
        <w:tblW w:type="auto" w:w="0"/>
        <w:jc w:val="center"/>
        <w:tblLook w:firstColumn="1" w:firstRow="1" w:lastColumn="0" w:lastRow="0" w:noHBand="0" w:noVBand="1" w:val="04A0"/>
      </w:tblPr>
      <w:tblGrid>
        <w:gridCol w:w="4513"/>
        <w:gridCol w:w="4513"/>
      </w:tblGrid>
      <w:tr>
        <w:tc>
          <w:tcPr>
            <w:tcW w:type="dxa" w:w="3024"/>
            <w:vAlign w:val="center"/>
            <w:shd w:fill="1F3B63"/>
          </w:tcPr>
          <w:p>
            <w:r/>
            <w:r>
              <w:rPr>
                <w:b/>
                <w:color w:val="FFFFFF"/>
                <w:sz w:val="16"/>
              </w:rPr>
              <w:t>Item</w:t>
            </w:r>
          </w:p>
        </w:tc>
        <w:tc>
          <w:tcPr>
            <w:tcW w:type="dxa" w:w="6912"/>
            <w:vAlign w:val="center"/>
            <w:shd w:fill="1F3B63"/>
          </w:tcPr>
          <w:p>
            <w:r/>
            <w:r>
              <w:rPr>
                <w:b/>
                <w:color w:val="FFFFFF"/>
                <w:sz w:val="16"/>
              </w:rPr>
              <w:t>Decision / evidence</w:t>
            </w:r>
          </w:p>
        </w:tc>
      </w:tr>
      <w:tr>
        <w:tc>
          <w:tcPr>
            <w:tcW w:type="dxa" w:w="3024"/>
            <w:vAlign w:val="center"/>
          </w:tcPr>
          <w:p>
            <w:r/>
            <w:r>
              <w:rPr>
                <w:b w:val="0"/>
                <w:sz w:val="16"/>
              </w:rPr>
              <w:t>Model</w:t>
            </w:r>
          </w:p>
        </w:tc>
        <w:tc>
          <w:tcPr>
            <w:tcW w:type="dxa" w:w="6912"/>
            <w:vAlign w:val="center"/>
          </w:tcPr>
          <w:p>
            <w:r/>
            <w:r>
              <w:rPr>
                <w:b w:val="0"/>
                <w:sz w:val="16"/>
              </w:rPr>
              <w:t>Refined Logistic Regression</w:t>
            </w:r>
          </w:p>
        </w:tc>
      </w:tr>
      <w:tr>
        <w:tc>
          <w:tcPr>
            <w:tcW w:type="dxa" w:w="3024"/>
            <w:vAlign w:val="center"/>
            <w:shd w:fill="F3F5F7"/>
          </w:tcPr>
          <w:p>
            <w:r/>
            <w:r>
              <w:rPr>
                <w:b w:val="0"/>
                <w:sz w:val="16"/>
              </w:rPr>
              <w:t>Features used</w:t>
            </w:r>
          </w:p>
        </w:tc>
        <w:tc>
          <w:tcPr>
            <w:tcW w:type="dxa" w:w="6912"/>
            <w:vAlign w:val="center"/>
            <w:shd w:fill="F3F5F7"/>
          </w:tcPr>
          <w:p>
            <w:r/>
            <w:r>
              <w:rPr>
                <w:b w:val="0"/>
                <w:sz w:val="16"/>
              </w:rPr>
              <w:t>16 raw inputs after Week 3 refinement</w:t>
            </w:r>
          </w:p>
        </w:tc>
      </w:tr>
      <w:tr>
        <w:tc>
          <w:tcPr>
            <w:tcW w:type="dxa" w:w="3024"/>
            <w:vAlign w:val="center"/>
          </w:tcPr>
          <w:p>
            <w:r/>
            <w:r>
              <w:rPr>
                <w:b w:val="0"/>
                <w:sz w:val="16"/>
              </w:rPr>
              <w:t>Preprocessing</w:t>
            </w:r>
          </w:p>
        </w:tc>
        <w:tc>
          <w:tcPr>
            <w:tcW w:type="dxa" w:w="6912"/>
            <w:vAlign w:val="center"/>
          </w:tcPr>
          <w:p>
            <w:r/>
            <w:r>
              <w:rPr>
                <w:b w:val="0"/>
                <w:sz w:val="16"/>
              </w:rPr>
              <w:t>StandardScaler for numeric inputs and OneHotEncoder for categoricals inside ColumnTransformer/Pipeline</w:t>
            </w:r>
          </w:p>
        </w:tc>
      </w:tr>
      <w:tr>
        <w:tc>
          <w:tcPr>
            <w:tcW w:type="dxa" w:w="3024"/>
            <w:vAlign w:val="center"/>
            <w:shd w:fill="F3F5F7"/>
          </w:tcPr>
          <w:p>
            <w:r/>
            <w:r>
              <w:rPr>
                <w:b w:val="0"/>
                <w:sz w:val="16"/>
              </w:rPr>
              <w:t>Training/validation design</w:t>
            </w:r>
          </w:p>
        </w:tc>
        <w:tc>
          <w:tcPr>
            <w:tcW w:type="dxa" w:w="6912"/>
            <w:vAlign w:val="center"/>
            <w:shd w:fill="F3F5F7"/>
          </w:tcPr>
          <w:p>
            <w:r/>
            <w:r>
              <w:rPr>
                <w:b w:val="0"/>
                <w:sz w:val="16"/>
              </w:rPr>
              <w:t>Original seed-42 stratified 70/15/15 split; training-only fitting; validation for Week 3 comparison</w:t>
            </w:r>
          </w:p>
        </w:tc>
      </w:tr>
      <w:tr>
        <w:tc>
          <w:tcPr>
            <w:tcW w:type="dxa" w:w="3024"/>
            <w:vAlign w:val="center"/>
          </w:tcPr>
          <w:p>
            <w:r/>
            <w:r>
              <w:rPr>
                <w:b w:val="0"/>
                <w:sz w:val="16"/>
              </w:rPr>
              <w:t>5-fold CV ROC-AUC</w:t>
            </w:r>
          </w:p>
        </w:tc>
        <w:tc>
          <w:tcPr>
            <w:tcW w:type="dxa" w:w="6912"/>
            <w:vAlign w:val="center"/>
          </w:tcPr>
          <w:p>
            <w:r/>
            <w:r>
              <w:rPr>
                <w:b w:val="0"/>
                <w:sz w:val="16"/>
              </w:rPr>
              <w:t>0.663 ± 0.021</w:t>
            </w:r>
          </w:p>
        </w:tc>
      </w:tr>
      <w:tr>
        <w:tc>
          <w:tcPr>
            <w:tcW w:type="dxa" w:w="3024"/>
            <w:vAlign w:val="center"/>
            <w:shd w:fill="F3F5F7"/>
          </w:tcPr>
          <w:p>
            <w:r/>
            <w:r>
              <w:rPr>
                <w:b w:val="0"/>
                <w:sz w:val="16"/>
              </w:rPr>
              <w:t>Validation ROC-AUC</w:t>
            </w:r>
          </w:p>
        </w:tc>
        <w:tc>
          <w:tcPr>
            <w:tcW w:type="dxa" w:w="6912"/>
            <w:vAlign w:val="center"/>
            <w:shd w:fill="F3F5F7"/>
          </w:tcPr>
          <w:p>
            <w:r/>
            <w:r>
              <w:rPr>
                <w:b w:val="0"/>
                <w:sz w:val="16"/>
              </w:rPr>
              <w:t>0.683</w:t>
            </w:r>
          </w:p>
        </w:tc>
      </w:tr>
      <w:tr>
        <w:tc>
          <w:tcPr>
            <w:tcW w:type="dxa" w:w="3024"/>
            <w:vAlign w:val="center"/>
          </w:tcPr>
          <w:p>
            <w:r/>
            <w:r>
              <w:rPr>
                <w:b w:val="0"/>
                <w:sz w:val="16"/>
              </w:rPr>
              <w:t>Operating threshold</w:t>
            </w:r>
          </w:p>
        </w:tc>
        <w:tc>
          <w:tcPr>
            <w:tcW w:type="dxa" w:w="6912"/>
            <w:vAlign w:val="center"/>
          </w:tcPr>
          <w:p>
            <w:r/>
            <w:r>
              <w:rPr>
                <w:b w:val="0"/>
                <w:sz w:val="16"/>
              </w:rPr>
              <w:t>0.4869</w:t>
            </w:r>
          </w:p>
        </w:tc>
      </w:tr>
      <w:tr>
        <w:tc>
          <w:tcPr>
            <w:tcW w:type="dxa" w:w="3024"/>
            <w:vAlign w:val="center"/>
            <w:shd w:fill="F3F5F7"/>
          </w:tcPr>
          <w:p>
            <w:r/>
            <w:r>
              <w:rPr>
                <w:b w:val="0"/>
                <w:sz w:val="16"/>
              </w:rPr>
              <w:t>Recall / precision</w:t>
            </w:r>
          </w:p>
        </w:tc>
        <w:tc>
          <w:tcPr>
            <w:tcW w:type="dxa" w:w="6912"/>
            <w:vAlign w:val="center"/>
            <w:shd w:fill="F3F5F7"/>
          </w:tcPr>
          <w:p>
            <w:r/>
            <w:r>
              <w:rPr>
                <w:b w:val="0"/>
                <w:sz w:val="16"/>
              </w:rPr>
              <w:t>0.703 / 0.286</w:t>
            </w:r>
          </w:p>
        </w:tc>
      </w:tr>
      <w:tr>
        <w:tc>
          <w:tcPr>
            <w:tcW w:type="dxa" w:w="3024"/>
            <w:vAlign w:val="center"/>
          </w:tcPr>
          <w:p>
            <w:r/>
            <w:r>
              <w:rPr>
                <w:b w:val="0"/>
                <w:sz w:val="16"/>
              </w:rPr>
              <w:t>Why selected</w:t>
            </w:r>
          </w:p>
        </w:tc>
        <w:tc>
          <w:tcPr>
            <w:tcW w:type="dxa" w:w="6912"/>
            <w:vAlign w:val="center"/>
          </w:tcPr>
          <w:p>
            <w:r/>
            <w:r>
              <w:rPr>
                <w:b w:val="0"/>
                <w:sz w:val="16"/>
              </w:rPr>
              <w:t>Highest validation AUC, interpretable, meets recall constraint, and no challenger cleared replacement rule</w:t>
            </w:r>
          </w:p>
        </w:tc>
      </w:tr>
      <w:tr>
        <w:tc>
          <w:tcPr>
            <w:tcW w:type="dxa" w:w="3024"/>
            <w:vAlign w:val="center"/>
            <w:shd w:fill="F3F5F7"/>
          </w:tcPr>
          <w:p>
            <w:r/>
            <w:r>
              <w:rPr>
                <w:b w:val="0"/>
                <w:sz w:val="16"/>
              </w:rPr>
              <w:t>Known limitation</w:t>
            </w:r>
          </w:p>
        </w:tc>
        <w:tc>
          <w:tcPr>
            <w:tcW w:type="dxa" w:w="6912"/>
            <w:vAlign w:val="center"/>
            <w:shd w:fill="F3F5F7"/>
          </w:tcPr>
          <w:p>
            <w:r/>
            <w:r>
              <w:rPr>
                <w:b w:val="0"/>
                <w:sz w:val="16"/>
              </w:rPr>
              <w:t>ROC-AUC target 0.75 remains unmet; low precision and missing behavioural feature categories</w:t>
            </w:r>
          </w:p>
        </w:tc>
      </w:tr>
      <w:tr>
        <w:tc>
          <w:tcPr>
            <w:tcW w:type="dxa" w:w="3024"/>
            <w:vAlign w:val="center"/>
          </w:tcPr>
          <w:p>
            <w:r/>
            <w:r>
              <w:rPr>
                <w:b w:val="0"/>
                <w:sz w:val="16"/>
              </w:rPr>
              <w:t>Week 4 status</w:t>
            </w:r>
          </w:p>
        </w:tc>
        <w:tc>
          <w:tcPr>
            <w:tcW w:type="dxa" w:w="6912"/>
            <w:vAlign w:val="center"/>
          </w:tcPr>
          <w:p>
            <w:r/>
            <w:r>
              <w:rPr>
                <w:b w:val="0"/>
                <w:sz w:val="16"/>
              </w:rPr>
              <w:t>Candidate frozen; test set not yet scored</w:t>
            </w:r>
          </w:p>
        </w:tc>
      </w:tr>
    </w:tbl>
    <w:p>
      <w:pPr>
        <w:spacing w:after="20"/>
      </w:pPr>
    </w:p>
    <w:p>
      <w:pPr>
        <w:pStyle w:val="Heading2"/>
        <w:spacing w:before="160" w:after="80"/>
      </w:pPr>
      <w:r>
        <w:t>10.1 Why the simpler model wins</w:t>
      </w:r>
    </w:p>
    <w:p>
      <w:pPr>
        <w:spacing w:after="100" w:line="252" w:lineRule="auto"/>
      </w:pPr>
      <w:r>
        <w:rPr>
          <w:b w:val="0"/>
          <w:i w:val="0"/>
          <w:sz w:val="19"/>
        </w:rPr>
        <w:t>The selection is not a preference for simplicity in the abstract. It follows the pre-registered evidence rule. A more complex model would replace the incumbent only if its improvement exceeded the incumbent’s own cross-fold standard deviation. None did. Retaining logistic regression therefore applies the same rule that prevented the Week 2 Random Forest from replacing it on a marginal raw AUC difference.</w:t>
      </w:r>
    </w:p>
    <w:p>
      <w:pPr>
        <w:pStyle w:val="Heading2"/>
        <w:spacing w:before="160" w:after="80"/>
      </w:pPr>
      <w:r>
        <w:t>10.2 What would be needed to move beyond the ceiling</w:t>
      </w:r>
    </w:p>
    <w:p>
      <w:pPr>
        <w:spacing w:after="100" w:line="252" w:lineRule="auto"/>
      </w:pPr>
      <w:r>
        <w:rPr>
          <w:b w:val="0"/>
          <w:i w:val="0"/>
          <w:sz w:val="19"/>
        </w:rPr>
        <w:t>The evidence increasingly points toward missing feature categories rather than missing algorithm complexity. Useful future categories would include transaction velocity, device fingerprint consistency, counterparty/network relationships and richer geolocation behaviour. Those variables are not present in the supplied synthetic dataset, so Week 3 does not invent proxies for them or claim they were tested.</w:t>
      </w:r>
    </w:p>
    <w:p>
      <w:pPr>
        <w:pStyle w:val="Heading1"/>
        <w:spacing w:before="200" w:after="100"/>
      </w:pPr>
      <w:r>
        <w:t>11. Mandatory Validation Chain</w:t>
      </w:r>
    </w:p>
    <w:p>
      <w:pPr>
        <w:spacing w:after="100" w:line="252" w:lineRule="auto"/>
      </w:pPr>
      <w:r>
        <w:rPr>
          <w:b w:val="0"/>
          <w:i w:val="0"/>
          <w:sz w:val="19"/>
        </w:rPr>
        <w:t>The assignment requires the explicit chain Initial Output → Test → Finding → Refinement → Re-test → Result. Week 3 contains two linked chains: one addressing interpretability and one addressing the performance ceiling.</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944"/>
            <w:vAlign w:val="center"/>
            <w:shd w:fill="1F3B63"/>
          </w:tcPr>
          <w:p>
            <w:r/>
            <w:r>
              <w:rPr>
                <w:b/>
                <w:color w:val="FFFFFF"/>
                <w:sz w:val="16"/>
              </w:rPr>
              <w:t>Initial Output</w:t>
            </w:r>
          </w:p>
        </w:tc>
        <w:tc>
          <w:tcPr>
            <w:tcW w:type="dxa" w:w="1800"/>
            <w:vAlign w:val="center"/>
            <w:shd w:fill="1F3B63"/>
          </w:tcPr>
          <w:p>
            <w:r/>
            <w:r>
              <w:rPr>
                <w:b/>
                <w:color w:val="FFFFFF"/>
                <w:sz w:val="16"/>
              </w:rPr>
              <w:t>Test</w:t>
            </w:r>
          </w:p>
        </w:tc>
        <w:tc>
          <w:tcPr>
            <w:tcW w:type="dxa" w:w="2016"/>
            <w:vAlign w:val="center"/>
            <w:shd w:fill="1F3B63"/>
          </w:tcPr>
          <w:p>
            <w:r/>
            <w:r>
              <w:rPr>
                <w:b/>
                <w:color w:val="FFFFFF"/>
                <w:sz w:val="16"/>
              </w:rPr>
              <w:t>Finding</w:t>
            </w:r>
          </w:p>
        </w:tc>
        <w:tc>
          <w:tcPr>
            <w:tcW w:type="dxa" w:w="2016"/>
            <w:vAlign w:val="center"/>
            <w:shd w:fill="1F3B63"/>
          </w:tcPr>
          <w:p>
            <w:r/>
            <w:r>
              <w:rPr>
                <w:b/>
                <w:color w:val="FFFFFF"/>
                <w:sz w:val="16"/>
              </w:rPr>
              <w:t>Refinement</w:t>
            </w:r>
          </w:p>
        </w:tc>
        <w:tc>
          <w:tcPr>
            <w:tcW w:type="dxa" w:w="1944"/>
            <w:vAlign w:val="center"/>
            <w:shd w:fill="1F3B63"/>
          </w:tcPr>
          <w:p>
            <w:r/>
            <w:r>
              <w:rPr>
                <w:b/>
                <w:color w:val="FFFFFF"/>
                <w:sz w:val="16"/>
              </w:rPr>
              <w:t>Re-test</w:t>
            </w:r>
          </w:p>
        </w:tc>
        <w:tc>
          <w:tcPr>
            <w:tcW w:type="dxa" w:w="2088"/>
            <w:vAlign w:val="center"/>
            <w:shd w:fill="1F3B63"/>
          </w:tcPr>
          <w:p>
            <w:r/>
            <w:r>
              <w:rPr>
                <w:b/>
                <w:color w:val="FFFFFF"/>
                <w:sz w:val="16"/>
              </w:rPr>
              <w:t>Result</w:t>
            </w:r>
          </w:p>
        </w:tc>
      </w:tr>
      <w:tr>
        <w:tc>
          <w:tcPr>
            <w:tcW w:type="dxa" w:w="1944"/>
            <w:vAlign w:val="center"/>
          </w:tcPr>
          <w:p>
            <w:r/>
            <w:r>
              <w:rPr>
                <w:b w:val="0"/>
                <w:sz w:val="16"/>
              </w:rPr>
              <w:t>Week 2 LR: CV AUC 0.665; contradictory amount coefficient</w:t>
            </w:r>
          </w:p>
        </w:tc>
        <w:tc>
          <w:tcPr>
            <w:tcW w:type="dxa" w:w="1800"/>
            <w:vAlign w:val="center"/>
          </w:tcPr>
          <w:p>
            <w:r/>
            <w:r>
              <w:rPr>
                <w:b w:val="0"/>
                <w:sz w:val="16"/>
              </w:rPr>
              <w:t>Feature redundancy review</w:t>
            </w:r>
          </w:p>
        </w:tc>
        <w:tc>
          <w:tcPr>
            <w:tcW w:type="dxa" w:w="2016"/>
            <w:vAlign w:val="center"/>
          </w:tcPr>
          <w:p>
            <w:r/>
            <w:r>
              <w:rPr>
                <w:b w:val="0"/>
                <w:sz w:val="16"/>
              </w:rPr>
              <w:t>Three overlapping amount encodings caused unstable interpretation</w:t>
            </w:r>
          </w:p>
        </w:tc>
        <w:tc>
          <w:tcPr>
            <w:tcW w:type="dxa" w:w="2016"/>
            <w:vAlign w:val="center"/>
          </w:tcPr>
          <w:p>
            <w:r/>
            <w:r>
              <w:rPr>
                <w:b w:val="0"/>
                <w:sz w:val="16"/>
              </w:rPr>
              <w:t>Keep Amount_Band; remove redundant/weak inputs</w:t>
            </w:r>
          </w:p>
        </w:tc>
        <w:tc>
          <w:tcPr>
            <w:tcW w:type="dxa" w:w="1944"/>
            <w:vAlign w:val="center"/>
          </w:tcPr>
          <w:p>
            <w:r/>
            <w:r>
              <w:rPr>
                <w:b w:val="0"/>
                <w:sz w:val="16"/>
              </w:rPr>
              <w:t>5-fold CV + coefficient inspection</w:t>
            </w:r>
          </w:p>
        </w:tc>
        <w:tc>
          <w:tcPr>
            <w:tcW w:type="dxa" w:w="2088"/>
            <w:vAlign w:val="center"/>
          </w:tcPr>
          <w:p>
            <w:r/>
            <w:r>
              <w:rPr>
                <w:b w:val="0"/>
                <w:sz w:val="16"/>
              </w:rPr>
              <w:t>CV AUC 0.663 ± 0.021; Q5 coefficient +0.407</w:t>
            </w:r>
          </w:p>
        </w:tc>
      </w:tr>
      <w:tr>
        <w:tc>
          <w:tcPr>
            <w:tcW w:type="dxa" w:w="1944"/>
            <w:vAlign w:val="center"/>
            <w:shd w:fill="F3F5F7"/>
          </w:tcPr>
          <w:p>
            <w:r/>
            <w:r>
              <w:rPr>
                <w:b w:val="0"/>
                <w:sz w:val="16"/>
              </w:rPr>
              <w:t>Week 2 performance ceiling</w:t>
            </w:r>
          </w:p>
        </w:tc>
        <w:tc>
          <w:tcPr>
            <w:tcW w:type="dxa" w:w="1800"/>
            <w:vAlign w:val="center"/>
            <w:shd w:fill="F3F5F7"/>
          </w:tcPr>
          <w:p>
            <w:r/>
            <w:r>
              <w:rPr>
                <w:b w:val="0"/>
                <w:sz w:val="16"/>
              </w:rPr>
              <w:t>Tuned RF + GB + HGB</w:t>
            </w:r>
          </w:p>
        </w:tc>
        <w:tc>
          <w:tcPr>
            <w:tcW w:type="dxa" w:w="2016"/>
            <w:vAlign w:val="center"/>
            <w:shd w:fill="F3F5F7"/>
          </w:tcPr>
          <w:p>
            <w:r/>
            <w:r>
              <w:rPr>
                <w:b w:val="0"/>
                <w:sz w:val="16"/>
              </w:rPr>
              <w:t>No challenger produced material CV gain</w:t>
            </w:r>
          </w:p>
        </w:tc>
        <w:tc>
          <w:tcPr>
            <w:tcW w:type="dxa" w:w="2016"/>
            <w:vAlign w:val="center"/>
            <w:shd w:fill="F3F5F7"/>
          </w:tcPr>
          <w:p>
            <w:r/>
            <w:r>
              <w:rPr>
                <w:b w:val="0"/>
                <w:sz w:val="16"/>
              </w:rPr>
              <w:t>Retain simpler candidate</w:t>
            </w:r>
          </w:p>
        </w:tc>
        <w:tc>
          <w:tcPr>
            <w:tcW w:type="dxa" w:w="1944"/>
            <w:vAlign w:val="center"/>
            <w:shd w:fill="F3F5F7"/>
          </w:tcPr>
          <w:p>
            <w:r/>
            <w:r>
              <w:rPr>
                <w:b w:val="0"/>
                <w:sz w:val="16"/>
              </w:rPr>
              <w:t>Validation AUC + replacement rule</w:t>
            </w:r>
          </w:p>
        </w:tc>
        <w:tc>
          <w:tcPr>
            <w:tcW w:type="dxa" w:w="2088"/>
            <w:vAlign w:val="center"/>
            <w:shd w:fill="F3F5F7"/>
          </w:tcPr>
          <w:p>
            <w:r/>
            <w:r>
              <w:rPr>
                <w:b w:val="0"/>
                <w:sz w:val="16"/>
              </w:rPr>
              <w:t>LR validation AUC 0.683; ceiling persists</w:t>
            </w:r>
          </w:p>
        </w:tc>
      </w:tr>
    </w:tbl>
    <w:p>
      <w:pPr>
        <w:spacing w:after="20"/>
      </w:pPr>
    </w:p>
    <w:p>
      <w:pPr>
        <w:pStyle w:val="Heading2"/>
        <w:spacing w:before="160" w:after="80"/>
      </w:pPr>
      <w:r>
        <w:t>11.1 Improvement demonstrated</w:t>
      </w:r>
    </w:p>
    <w:p>
      <w:pPr>
        <w:spacing w:after="100" w:line="252" w:lineRule="auto"/>
      </w:pPr>
      <w:r>
        <w:rPr>
          <w:b w:val="0"/>
          <w:i w:val="0"/>
          <w:sz w:val="19"/>
        </w:rPr>
        <w:t>The meaningful improvement is not an inflated AUC claim. It is a model-design improvement: the refined specification removes eight weak/redundant raw inputs, restores directionally coherent coefficients and preserves performance within cross-fold noise. The re-test demonstrates that the Week 2 interpretability problem was caused by feature redundancy rather than by information that had to be retained for discrimination.</w:t>
      </w:r>
    </w:p>
    <w:p>
      <w:pPr>
        <w:pStyle w:val="Heading1"/>
        <w:spacing w:before="200" w:after="100"/>
      </w:pPr>
      <w:r>
        <w:t>12. Testing and Quality Assurance</w:t>
      </w:r>
    </w:p>
    <w:p>
      <w:pPr>
        <w:spacing w:after="100" w:line="252" w:lineRule="auto"/>
      </w:pPr>
      <w:r>
        <w:rPr>
          <w:b w:val="0"/>
          <w:i w:val="0"/>
          <w:sz w:val="19"/>
        </w:rPr>
        <w:t>This section follows the same prescribed Week 2 structure: Work Completed → Test/Evaluation → Finding → Action/Improvement → Result.</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648"/>
            <w:vAlign w:val="center"/>
            <w:shd w:fill="1F3B63"/>
          </w:tcPr>
          <w:p>
            <w:r/>
            <w:r>
              <w:rPr>
                <w:b/>
                <w:color w:val="FFFFFF"/>
                <w:sz w:val="16"/>
              </w:rPr>
              <w:t>#</w:t>
            </w:r>
          </w:p>
        </w:tc>
        <w:tc>
          <w:tcPr>
            <w:tcW w:type="dxa" w:w="1728"/>
            <w:vAlign w:val="center"/>
            <w:shd w:fill="1F3B63"/>
          </w:tcPr>
          <w:p>
            <w:r/>
            <w:r>
              <w:rPr>
                <w:b/>
                <w:color w:val="FFFFFF"/>
                <w:sz w:val="16"/>
              </w:rPr>
              <w:t>Work Completed</w:t>
            </w:r>
          </w:p>
        </w:tc>
        <w:tc>
          <w:tcPr>
            <w:tcW w:type="dxa" w:w="1944"/>
            <w:vAlign w:val="center"/>
            <w:shd w:fill="1F3B63"/>
          </w:tcPr>
          <w:p>
            <w:r/>
            <w:r>
              <w:rPr>
                <w:b/>
                <w:color w:val="FFFFFF"/>
                <w:sz w:val="16"/>
              </w:rPr>
              <w:t>Test / Evaluation</w:t>
            </w:r>
          </w:p>
        </w:tc>
        <w:tc>
          <w:tcPr>
            <w:tcW w:type="dxa" w:w="2088"/>
            <w:vAlign w:val="center"/>
            <w:shd w:fill="1F3B63"/>
          </w:tcPr>
          <w:p>
            <w:r/>
            <w:r>
              <w:rPr>
                <w:b/>
                <w:color w:val="FFFFFF"/>
                <w:sz w:val="16"/>
              </w:rPr>
              <w:t>Finding</w:t>
            </w:r>
          </w:p>
        </w:tc>
        <w:tc>
          <w:tcPr>
            <w:tcW w:type="dxa" w:w="2016"/>
            <w:vAlign w:val="center"/>
            <w:shd w:fill="1F3B63"/>
          </w:tcPr>
          <w:p>
            <w:r/>
            <w:r>
              <w:rPr>
                <w:b/>
                <w:color w:val="FFFFFF"/>
                <w:sz w:val="16"/>
              </w:rPr>
              <w:t>Action / Improvement</w:t>
            </w:r>
          </w:p>
        </w:tc>
        <w:tc>
          <w:tcPr>
            <w:tcW w:type="dxa" w:w="2088"/>
            <w:vAlign w:val="center"/>
            <w:shd w:fill="1F3B63"/>
          </w:tcPr>
          <w:p>
            <w:r/>
            <w:r>
              <w:rPr>
                <w:b/>
                <w:color w:val="FFFFFF"/>
                <w:sz w:val="16"/>
              </w:rPr>
              <w:t>Result</w:t>
            </w:r>
          </w:p>
        </w:tc>
      </w:tr>
      <w:tr>
        <w:tc>
          <w:tcPr>
            <w:tcW w:type="dxa" w:w="648"/>
            <w:vAlign w:val="center"/>
          </w:tcPr>
          <w:p>
            <w:r/>
            <w:r>
              <w:rPr>
                <w:b w:val="0"/>
                <w:sz w:val="16"/>
              </w:rPr>
              <w:t>T1</w:t>
            </w:r>
          </w:p>
        </w:tc>
        <w:tc>
          <w:tcPr>
            <w:tcW w:type="dxa" w:w="1728"/>
            <w:vAlign w:val="center"/>
          </w:tcPr>
          <w:p>
            <w:r/>
            <w:r>
              <w:rPr>
                <w:b w:val="0"/>
                <w:sz w:val="16"/>
              </w:rPr>
              <w:t>Exact split reconstruction</w:t>
            </w:r>
          </w:p>
        </w:tc>
        <w:tc>
          <w:tcPr>
            <w:tcW w:type="dxa" w:w="1944"/>
            <w:vAlign w:val="center"/>
          </w:tcPr>
          <w:p>
            <w:r/>
            <w:r>
              <w:rPr>
                <w:b w:val="0"/>
                <w:sz w:val="16"/>
              </w:rPr>
              <w:t>Checked row counts and class rates</w:t>
            </w:r>
          </w:p>
        </w:tc>
        <w:tc>
          <w:tcPr>
            <w:tcW w:type="dxa" w:w="2088"/>
            <w:vAlign w:val="center"/>
          </w:tcPr>
          <w:p>
            <w:r/>
            <w:r>
              <w:rPr>
                <w:b w:val="0"/>
                <w:sz w:val="16"/>
              </w:rPr>
              <w:t>8,399 / 1,801 / 1,800 structure preserved</w:t>
            </w:r>
          </w:p>
        </w:tc>
        <w:tc>
          <w:tcPr>
            <w:tcW w:type="dxa" w:w="2016"/>
            <w:vAlign w:val="center"/>
          </w:tcPr>
          <w:p>
            <w:r/>
            <w:r>
              <w:rPr>
                <w:b w:val="0"/>
                <w:sz w:val="16"/>
              </w:rPr>
              <w:t>Reuse seed-42 split logic</w:t>
            </w:r>
          </w:p>
        </w:tc>
        <w:tc>
          <w:tcPr>
            <w:tcW w:type="dxa" w:w="2088"/>
            <w:vAlign w:val="center"/>
          </w:tcPr>
          <w:p>
            <w:r/>
            <w:r>
              <w:rPr>
                <w:b w:val="0"/>
                <w:sz w:val="16"/>
              </w:rPr>
              <w:t>Week 2–3 evidence remains comparable</w:t>
            </w:r>
          </w:p>
        </w:tc>
      </w:tr>
      <w:tr>
        <w:tc>
          <w:tcPr>
            <w:tcW w:type="dxa" w:w="648"/>
            <w:vAlign w:val="center"/>
            <w:shd w:fill="F3F5F7"/>
          </w:tcPr>
          <w:p>
            <w:r/>
            <w:r>
              <w:rPr>
                <w:b w:val="0"/>
                <w:sz w:val="16"/>
              </w:rPr>
              <w:t>T2</w:t>
            </w:r>
          </w:p>
        </w:tc>
        <w:tc>
          <w:tcPr>
            <w:tcW w:type="dxa" w:w="1728"/>
            <w:vAlign w:val="center"/>
            <w:shd w:fill="F3F5F7"/>
          </w:tcPr>
          <w:p>
            <w:r/>
            <w:r>
              <w:rPr>
                <w:b w:val="0"/>
                <w:sz w:val="16"/>
              </w:rPr>
              <w:t>Feature refinement</w:t>
            </w:r>
          </w:p>
        </w:tc>
        <w:tc>
          <w:tcPr>
            <w:tcW w:type="dxa" w:w="1944"/>
            <w:vAlign w:val="center"/>
            <w:shd w:fill="F3F5F7"/>
          </w:tcPr>
          <w:p>
            <w:r/>
            <w:r>
              <w:rPr>
                <w:b w:val="0"/>
                <w:sz w:val="16"/>
              </w:rPr>
              <w:t>5-fold stratified CV</w:t>
            </w:r>
          </w:p>
        </w:tc>
        <w:tc>
          <w:tcPr>
            <w:tcW w:type="dxa" w:w="2088"/>
            <w:vAlign w:val="center"/>
            <w:shd w:fill="F3F5F7"/>
          </w:tcPr>
          <w:p>
            <w:r/>
            <w:r>
              <w:rPr>
                <w:b w:val="0"/>
                <w:sz w:val="16"/>
              </w:rPr>
              <w:t>Mean AUC changed by only -0.0020</w:t>
            </w:r>
          </w:p>
        </w:tc>
        <w:tc>
          <w:tcPr>
            <w:tcW w:type="dxa" w:w="2016"/>
            <w:vAlign w:val="center"/>
            <w:shd w:fill="F3F5F7"/>
          </w:tcPr>
          <w:p>
            <w:r/>
            <w:r>
              <w:rPr>
                <w:b w:val="0"/>
                <w:sz w:val="16"/>
              </w:rPr>
              <w:t>Retain reduced set</w:t>
            </w:r>
          </w:p>
        </w:tc>
        <w:tc>
          <w:tcPr>
            <w:tcW w:type="dxa" w:w="2088"/>
            <w:vAlign w:val="center"/>
            <w:shd w:fill="F3F5F7"/>
          </w:tcPr>
          <w:p>
            <w:r/>
            <w:r>
              <w:rPr>
                <w:b w:val="0"/>
                <w:sz w:val="16"/>
              </w:rPr>
              <w:t>Interpretability improved without material loss</w:t>
            </w:r>
          </w:p>
        </w:tc>
      </w:tr>
      <w:tr>
        <w:tc>
          <w:tcPr>
            <w:tcW w:type="dxa" w:w="648"/>
            <w:vAlign w:val="center"/>
          </w:tcPr>
          <w:p>
            <w:r/>
            <w:r>
              <w:rPr>
                <w:b w:val="0"/>
                <w:sz w:val="16"/>
              </w:rPr>
              <w:t>T3</w:t>
            </w:r>
          </w:p>
        </w:tc>
        <w:tc>
          <w:tcPr>
            <w:tcW w:type="dxa" w:w="1728"/>
            <w:vAlign w:val="center"/>
          </w:tcPr>
          <w:p>
            <w:r/>
            <w:r>
              <w:rPr>
                <w:b w:val="0"/>
                <w:sz w:val="16"/>
              </w:rPr>
              <w:t>Coefficient interpretation</w:t>
            </w:r>
          </w:p>
        </w:tc>
        <w:tc>
          <w:tcPr>
            <w:tcW w:type="dxa" w:w="1944"/>
            <w:vAlign w:val="center"/>
          </w:tcPr>
          <w:p>
            <w:r/>
            <w:r>
              <w:rPr>
                <w:b w:val="0"/>
                <w:sz w:val="16"/>
              </w:rPr>
              <w:t>Compared refined signs with descriptive evidence</w:t>
            </w:r>
          </w:p>
        </w:tc>
        <w:tc>
          <w:tcPr>
            <w:tcW w:type="dxa" w:w="2088"/>
            <w:vAlign w:val="center"/>
          </w:tcPr>
          <w:p>
            <w:r/>
            <w:r>
              <w:rPr>
                <w:b w:val="0"/>
                <w:sz w:val="16"/>
              </w:rPr>
              <w:t>Amount_Band_Q5 now +0.407</w:t>
            </w:r>
          </w:p>
        </w:tc>
        <w:tc>
          <w:tcPr>
            <w:tcW w:type="dxa" w:w="2016"/>
            <w:vAlign w:val="center"/>
          </w:tcPr>
          <w:p>
            <w:r/>
            <w:r>
              <w:rPr>
                <w:b w:val="0"/>
                <w:sz w:val="16"/>
              </w:rPr>
              <w:t>Use coefficients as secondary check</w:t>
            </w:r>
          </w:p>
        </w:tc>
        <w:tc>
          <w:tcPr>
            <w:tcW w:type="dxa" w:w="2088"/>
            <w:vAlign w:val="center"/>
          </w:tcPr>
          <w:p>
            <w:r/>
            <w:r>
              <w:rPr>
                <w:b w:val="0"/>
                <w:sz w:val="16"/>
              </w:rPr>
              <w:t>Week 2 sign bug resolved</w:t>
            </w:r>
          </w:p>
        </w:tc>
      </w:tr>
      <w:tr>
        <w:tc>
          <w:tcPr>
            <w:tcW w:type="dxa" w:w="648"/>
            <w:vAlign w:val="center"/>
            <w:shd w:fill="F3F5F7"/>
          </w:tcPr>
          <w:p>
            <w:r/>
            <w:r>
              <w:rPr>
                <w:b w:val="0"/>
                <w:sz w:val="16"/>
              </w:rPr>
              <w:t>T4</w:t>
            </w:r>
          </w:p>
        </w:tc>
        <w:tc>
          <w:tcPr>
            <w:tcW w:type="dxa" w:w="1728"/>
            <w:vAlign w:val="center"/>
            <w:shd w:fill="F3F5F7"/>
          </w:tcPr>
          <w:p>
            <w:r/>
            <w:r>
              <w:rPr>
                <w:b w:val="0"/>
                <w:sz w:val="16"/>
              </w:rPr>
              <w:t>Additional model development</w:t>
            </w:r>
          </w:p>
        </w:tc>
        <w:tc>
          <w:tcPr>
            <w:tcW w:type="dxa" w:w="1944"/>
            <w:vAlign w:val="center"/>
            <w:shd w:fill="F3F5F7"/>
          </w:tcPr>
          <w:p>
            <w:r/>
            <w:r>
              <w:rPr>
                <w:b w:val="0"/>
                <w:sz w:val="16"/>
              </w:rPr>
              <w:t>RandomizedSearchCV + validation comparison</w:t>
            </w:r>
          </w:p>
        </w:tc>
        <w:tc>
          <w:tcPr>
            <w:tcW w:type="dxa" w:w="2088"/>
            <w:vAlign w:val="center"/>
            <w:shd w:fill="F3F5F7"/>
          </w:tcPr>
          <w:p>
            <w:r/>
            <w:r>
              <w:rPr>
                <w:b w:val="0"/>
                <w:sz w:val="16"/>
              </w:rPr>
              <w:t>No challenger materially replaces LR</w:t>
            </w:r>
          </w:p>
        </w:tc>
        <w:tc>
          <w:tcPr>
            <w:tcW w:type="dxa" w:w="2016"/>
            <w:vAlign w:val="center"/>
            <w:shd w:fill="F3F5F7"/>
          </w:tcPr>
          <w:p>
            <w:r/>
            <w:r>
              <w:rPr>
                <w:b w:val="0"/>
                <w:sz w:val="16"/>
              </w:rPr>
              <w:t>Keep incumbent</w:t>
            </w:r>
          </w:p>
        </w:tc>
        <w:tc>
          <w:tcPr>
            <w:tcW w:type="dxa" w:w="2088"/>
            <w:vAlign w:val="center"/>
            <w:shd w:fill="F3F5F7"/>
          </w:tcPr>
          <w:p>
            <w:r/>
            <w:r>
              <w:rPr>
                <w:b w:val="0"/>
                <w:sz w:val="16"/>
              </w:rPr>
              <w:t>Replacement rule applied literally</w:t>
            </w:r>
          </w:p>
        </w:tc>
      </w:tr>
      <w:tr>
        <w:tc>
          <w:tcPr>
            <w:tcW w:type="dxa" w:w="648"/>
            <w:vAlign w:val="center"/>
          </w:tcPr>
          <w:p>
            <w:r/>
            <w:r>
              <w:rPr>
                <w:b w:val="0"/>
                <w:sz w:val="16"/>
              </w:rPr>
              <w:t>T5</w:t>
            </w:r>
          </w:p>
        </w:tc>
        <w:tc>
          <w:tcPr>
            <w:tcW w:type="dxa" w:w="1728"/>
            <w:vAlign w:val="center"/>
          </w:tcPr>
          <w:p>
            <w:r/>
            <w:r>
              <w:rPr>
                <w:b w:val="0"/>
                <w:sz w:val="16"/>
              </w:rPr>
              <w:t>Recall constraint</w:t>
            </w:r>
          </w:p>
        </w:tc>
        <w:tc>
          <w:tcPr>
            <w:tcW w:type="dxa" w:w="1944"/>
            <w:vAlign w:val="center"/>
          </w:tcPr>
          <w:p>
            <w:r/>
            <w:r>
              <w:rPr>
                <w:b w:val="0"/>
                <w:sz w:val="16"/>
              </w:rPr>
              <w:t>Validation threshold search</w:t>
            </w:r>
          </w:p>
        </w:tc>
        <w:tc>
          <w:tcPr>
            <w:tcW w:type="dxa" w:w="2088"/>
            <w:vAlign w:val="center"/>
          </w:tcPr>
          <w:p>
            <w:r/>
            <w:r>
              <w:rPr>
                <w:b w:val="0"/>
                <w:sz w:val="16"/>
              </w:rPr>
              <w:t>Default operating point insufficient for binding rule</w:t>
            </w:r>
          </w:p>
        </w:tc>
        <w:tc>
          <w:tcPr>
            <w:tcW w:type="dxa" w:w="2016"/>
            <w:vAlign w:val="center"/>
          </w:tcPr>
          <w:p>
            <w:r/>
            <w:r>
              <w:rPr>
                <w:b w:val="0"/>
                <w:sz w:val="16"/>
              </w:rPr>
              <w:t>Tune threshold to 0.4869</w:t>
            </w:r>
          </w:p>
        </w:tc>
        <w:tc>
          <w:tcPr>
            <w:tcW w:type="dxa" w:w="2088"/>
            <w:vAlign w:val="center"/>
          </w:tcPr>
          <w:p>
            <w:r/>
            <w:r>
              <w:rPr>
                <w:b w:val="0"/>
                <w:sz w:val="16"/>
              </w:rPr>
              <w:t>Recall 0.703</w:t>
            </w:r>
          </w:p>
        </w:tc>
      </w:tr>
      <w:tr>
        <w:tc>
          <w:tcPr>
            <w:tcW w:type="dxa" w:w="648"/>
            <w:vAlign w:val="center"/>
            <w:shd w:fill="F3F5F7"/>
          </w:tcPr>
          <w:p>
            <w:r/>
            <w:r>
              <w:rPr>
                <w:b w:val="0"/>
                <w:sz w:val="16"/>
              </w:rPr>
              <w:t>T6</w:t>
            </w:r>
          </w:p>
        </w:tc>
        <w:tc>
          <w:tcPr>
            <w:tcW w:type="dxa" w:w="1728"/>
            <w:vAlign w:val="center"/>
            <w:shd w:fill="F3F5F7"/>
          </w:tcPr>
          <w:p>
            <w:r/>
            <w:r>
              <w:rPr>
                <w:b w:val="0"/>
                <w:sz w:val="16"/>
              </w:rPr>
              <w:t>Error analysis</w:t>
            </w:r>
          </w:p>
        </w:tc>
        <w:tc>
          <w:tcPr>
            <w:tcW w:type="dxa" w:w="1944"/>
            <w:vAlign w:val="center"/>
            <w:shd w:fill="F3F5F7"/>
          </w:tcPr>
          <w:p>
            <w:r/>
            <w:r>
              <w:rPr>
                <w:b w:val="0"/>
                <w:sz w:val="16"/>
              </w:rPr>
              <w:t>Confusion matrix + transaction-type breakdown</w:t>
            </w:r>
          </w:p>
        </w:tc>
        <w:tc>
          <w:tcPr>
            <w:tcW w:type="dxa" w:w="2088"/>
            <w:vAlign w:val="center"/>
            <w:shd w:fill="F3F5F7"/>
          </w:tcPr>
          <w:p>
            <w:r/>
            <w:r>
              <w:rPr>
                <w:b w:val="0"/>
                <w:sz w:val="16"/>
              </w:rPr>
              <w:t>Recall highly uneven by type</w:t>
            </w:r>
          </w:p>
        </w:tc>
        <w:tc>
          <w:tcPr>
            <w:tcW w:type="dxa" w:w="2016"/>
            <w:vAlign w:val="center"/>
            <w:shd w:fill="F3F5F7"/>
          </w:tcPr>
          <w:p>
            <w:r/>
            <w:r>
              <w:rPr>
                <w:b w:val="0"/>
                <w:sz w:val="16"/>
              </w:rPr>
              <w:t>Carry limitation into candidate decision</w:t>
            </w:r>
          </w:p>
        </w:tc>
        <w:tc>
          <w:tcPr>
            <w:tcW w:type="dxa" w:w="2088"/>
            <w:vAlign w:val="center"/>
            <w:shd w:fill="F3F5F7"/>
          </w:tcPr>
          <w:p>
            <w:r/>
            <w:r>
              <w:rPr>
                <w:b w:val="0"/>
                <w:sz w:val="16"/>
              </w:rPr>
              <w:t>Aggregate recall not overstated</w:t>
            </w:r>
          </w:p>
        </w:tc>
      </w:tr>
      <w:tr>
        <w:tc>
          <w:tcPr>
            <w:tcW w:type="dxa" w:w="648"/>
            <w:vAlign w:val="center"/>
          </w:tcPr>
          <w:p>
            <w:r/>
            <w:r>
              <w:rPr>
                <w:b w:val="0"/>
                <w:sz w:val="16"/>
              </w:rPr>
              <w:t>T7</w:t>
            </w:r>
          </w:p>
        </w:tc>
        <w:tc>
          <w:tcPr>
            <w:tcW w:type="dxa" w:w="1728"/>
            <w:vAlign w:val="center"/>
          </w:tcPr>
          <w:p>
            <w:r/>
            <w:r>
              <w:rPr>
                <w:b w:val="0"/>
                <w:sz w:val="16"/>
              </w:rPr>
              <w:t>Interpretation</w:t>
            </w:r>
          </w:p>
        </w:tc>
        <w:tc>
          <w:tcPr>
            <w:tcW w:type="dxa" w:w="1944"/>
            <w:vAlign w:val="center"/>
          </w:tcPr>
          <w:p>
            <w:r/>
            <w:r>
              <w:rPr>
                <w:b w:val="0"/>
                <w:sz w:val="16"/>
              </w:rPr>
              <w:t>Permutation importance + coefficients</w:t>
            </w:r>
          </w:p>
        </w:tc>
        <w:tc>
          <w:tcPr>
            <w:tcW w:type="dxa" w:w="2088"/>
            <w:vAlign w:val="center"/>
          </w:tcPr>
          <w:p>
            <w:r/>
            <w:r>
              <w:rPr>
                <w:b w:val="0"/>
                <w:sz w:val="16"/>
              </w:rPr>
              <w:t>Transaction-level features dominate</w:t>
            </w:r>
          </w:p>
        </w:tc>
        <w:tc>
          <w:tcPr>
            <w:tcW w:type="dxa" w:w="2016"/>
            <w:vAlign w:val="center"/>
          </w:tcPr>
          <w:p>
            <w:r/>
            <w:r>
              <w:rPr>
                <w:b w:val="0"/>
                <w:sz w:val="16"/>
              </w:rPr>
              <w:t>Report both model-agnostic and directional evidence</w:t>
            </w:r>
          </w:p>
        </w:tc>
        <w:tc>
          <w:tcPr>
            <w:tcW w:type="dxa" w:w="2088"/>
            <w:vAlign w:val="center"/>
          </w:tcPr>
          <w:p>
            <w:r/>
            <w:r>
              <w:rPr>
                <w:b w:val="0"/>
                <w:sz w:val="16"/>
              </w:rPr>
              <w:t>Week 1–2 signal hierarchy confirmed</w:t>
            </w:r>
          </w:p>
        </w:tc>
      </w:tr>
      <w:tr>
        <w:tc>
          <w:tcPr>
            <w:tcW w:type="dxa" w:w="648"/>
            <w:vAlign w:val="center"/>
            <w:shd w:fill="F3F5F7"/>
          </w:tcPr>
          <w:p>
            <w:r/>
            <w:r>
              <w:rPr>
                <w:b w:val="0"/>
                <w:sz w:val="16"/>
              </w:rPr>
              <w:t>T8</w:t>
            </w:r>
          </w:p>
        </w:tc>
        <w:tc>
          <w:tcPr>
            <w:tcW w:type="dxa" w:w="1728"/>
            <w:vAlign w:val="center"/>
            <w:shd w:fill="F3F5F7"/>
          </w:tcPr>
          <w:p>
            <w:r/>
            <w:r>
              <w:rPr>
                <w:b w:val="0"/>
                <w:sz w:val="16"/>
              </w:rPr>
              <w:t>Test-set protection</w:t>
            </w:r>
          </w:p>
        </w:tc>
        <w:tc>
          <w:tcPr>
            <w:tcW w:type="dxa" w:w="1944"/>
            <w:vAlign w:val="center"/>
            <w:shd w:fill="F3F5F7"/>
          </w:tcPr>
          <w:p>
            <w:r/>
            <w:r>
              <w:rPr>
                <w:b w:val="0"/>
                <w:sz w:val="16"/>
              </w:rPr>
              <w:t>Checked Week 3 workflow for test scoring</w:t>
            </w:r>
          </w:p>
        </w:tc>
        <w:tc>
          <w:tcPr>
            <w:tcW w:type="dxa" w:w="2088"/>
            <w:vAlign w:val="center"/>
            <w:shd w:fill="F3F5F7"/>
          </w:tcPr>
          <w:p>
            <w:r/>
            <w:r>
              <w:rPr>
                <w:b w:val="0"/>
                <w:sz w:val="16"/>
              </w:rPr>
              <w:t>No Week 3 test evaluation performed</w:t>
            </w:r>
          </w:p>
        </w:tc>
        <w:tc>
          <w:tcPr>
            <w:tcW w:type="dxa" w:w="2016"/>
            <w:vAlign w:val="center"/>
            <w:shd w:fill="F3F5F7"/>
          </w:tcPr>
          <w:p>
            <w:r/>
            <w:r>
              <w:rPr>
                <w:b w:val="0"/>
                <w:sz w:val="16"/>
              </w:rPr>
              <w:t>Freeze candidate</w:t>
            </w:r>
          </w:p>
        </w:tc>
        <w:tc>
          <w:tcPr>
            <w:tcW w:type="dxa" w:w="2088"/>
            <w:vAlign w:val="center"/>
            <w:shd w:fill="F3F5F7"/>
          </w:tcPr>
          <w:p>
            <w:r/>
            <w:r>
              <w:rPr>
                <w:b w:val="0"/>
                <w:sz w:val="16"/>
              </w:rPr>
              <w:t>Single Week 4 scoring remains valid</w:t>
            </w:r>
          </w:p>
        </w:tc>
      </w:tr>
    </w:tbl>
    <w:p>
      <w:pPr>
        <w:spacing w:after="20"/>
      </w:pPr>
    </w:p>
    <w:p>
      <w:pPr>
        <w:pStyle w:val="Heading1"/>
        <w:spacing w:before="200" w:after="100"/>
      </w:pPr>
      <w:r>
        <w:t>13. Decision Log</w:t>
      </w:r>
    </w:p>
    <w:p>
      <w:pPr>
        <w:spacing w:after="100" w:line="252" w:lineRule="auto"/>
      </w:pPr>
      <w:r>
        <w:rPr>
          <w:b w:val="0"/>
          <w:i w:val="0"/>
          <w:sz w:val="19"/>
        </w:rPr>
        <w:t>Week 3 continues the Week 2 decision numbering rather than restarting it.</w:t>
      </w:r>
    </w:p>
    <w:tbl>
      <w:tblPr>
        <w:tblW w:type="auto" w:w="0"/>
        <w:jc w:val="center"/>
        <w:tblLook w:firstColumn="1" w:firstRow="1" w:lastColumn="0" w:lastRow="0" w:noHBand="0" w:noVBand="1" w:val="04A0"/>
      </w:tblPr>
      <w:tblGrid>
        <w:gridCol w:w="2256"/>
        <w:gridCol w:w="2256"/>
        <w:gridCol w:w="2256"/>
        <w:gridCol w:w="2256"/>
      </w:tblGrid>
      <w:tr>
        <w:tc>
          <w:tcPr>
            <w:tcW w:type="dxa" w:w="2304"/>
            <w:vAlign w:val="center"/>
            <w:shd w:fill="1F3B63"/>
          </w:tcPr>
          <w:p>
            <w:r/>
            <w:r>
              <w:rPr>
                <w:b/>
                <w:color w:val="FFFFFF"/>
                <w:sz w:val="16"/>
              </w:rPr>
              <w:t>Decision</w:t>
            </w:r>
          </w:p>
        </w:tc>
        <w:tc>
          <w:tcPr>
            <w:tcW w:type="dxa" w:w="2592"/>
            <w:vAlign w:val="center"/>
            <w:shd w:fill="1F3B63"/>
          </w:tcPr>
          <w:p>
            <w:r/>
            <w:r>
              <w:rPr>
                <w:b/>
                <w:color w:val="FFFFFF"/>
                <w:sz w:val="16"/>
              </w:rPr>
              <w:t>Reason</w:t>
            </w:r>
          </w:p>
        </w:tc>
        <w:tc>
          <w:tcPr>
            <w:tcW w:type="dxa" w:w="2592"/>
            <w:vAlign w:val="center"/>
            <w:shd w:fill="1F3B63"/>
          </w:tcPr>
          <w:p>
            <w:r/>
            <w:r>
              <w:rPr>
                <w:b/>
                <w:color w:val="FFFFFF"/>
                <w:sz w:val="16"/>
              </w:rPr>
              <w:t>Evidence</w:t>
            </w:r>
          </w:p>
        </w:tc>
        <w:tc>
          <w:tcPr>
            <w:tcW w:type="dxa" w:w="2304"/>
            <w:vAlign w:val="center"/>
            <w:shd w:fill="1F3B63"/>
          </w:tcPr>
          <w:p>
            <w:r/>
            <w:r>
              <w:rPr>
                <w:b/>
                <w:color w:val="FFFFFF"/>
                <w:sz w:val="16"/>
              </w:rPr>
              <w:t>Impact</w:t>
            </w:r>
          </w:p>
        </w:tc>
      </w:tr>
      <w:tr>
        <w:tc>
          <w:tcPr>
            <w:tcW w:type="dxa" w:w="2304"/>
            <w:vAlign w:val="center"/>
          </w:tcPr>
          <w:p>
            <w:r/>
            <w:r>
              <w:rPr>
                <w:b w:val="0"/>
                <w:sz w:val="16"/>
              </w:rPr>
              <w:t>D9 — Reduce feature set</w:t>
            </w:r>
          </w:p>
        </w:tc>
        <w:tc>
          <w:tcPr>
            <w:tcW w:type="dxa" w:w="2592"/>
            <w:vAlign w:val="center"/>
          </w:tcPr>
          <w:p>
            <w:r/>
            <w:r>
              <w:rPr>
                <w:b w:val="0"/>
                <w:sz w:val="16"/>
              </w:rPr>
              <w:t>Remove redundancy and weak inputs</w:t>
            </w:r>
          </w:p>
        </w:tc>
        <w:tc>
          <w:tcPr>
            <w:tcW w:type="dxa" w:w="2592"/>
            <w:vAlign w:val="center"/>
          </w:tcPr>
          <w:p>
            <w:r/>
            <w:r>
              <w:rPr>
                <w:b w:val="0"/>
                <w:sz w:val="16"/>
              </w:rPr>
              <w:t>CV -0.0020 only; Q5 sign fixed</w:t>
            </w:r>
          </w:p>
        </w:tc>
        <w:tc>
          <w:tcPr>
            <w:tcW w:type="dxa" w:w="2304"/>
            <w:vAlign w:val="center"/>
          </w:tcPr>
          <w:p>
            <w:r/>
            <w:r>
              <w:rPr>
                <w:b w:val="0"/>
                <w:sz w:val="16"/>
              </w:rPr>
              <w:t>Simpler, more interpretable candidate</w:t>
            </w:r>
          </w:p>
        </w:tc>
      </w:tr>
      <w:tr>
        <w:tc>
          <w:tcPr>
            <w:tcW w:type="dxa" w:w="2304"/>
            <w:vAlign w:val="center"/>
            <w:shd w:fill="F3F5F7"/>
          </w:tcPr>
          <w:p>
            <w:r/>
            <w:r>
              <w:rPr>
                <w:b w:val="0"/>
                <w:sz w:val="16"/>
              </w:rPr>
              <w:t>D10 — Use sklearn GB/HGB</w:t>
            </w:r>
          </w:p>
        </w:tc>
        <w:tc>
          <w:tcPr>
            <w:tcW w:type="dxa" w:w="2592"/>
            <w:vAlign w:val="center"/>
            <w:shd w:fill="F3F5F7"/>
          </w:tcPr>
          <w:p>
            <w:r/>
            <w:r>
              <w:rPr>
                <w:b w:val="0"/>
                <w:sz w:val="16"/>
              </w:rPr>
              <w:t>XGBoost unavailable in execution environment</w:t>
            </w:r>
          </w:p>
        </w:tc>
        <w:tc>
          <w:tcPr>
            <w:tcW w:type="dxa" w:w="2592"/>
            <w:vAlign w:val="center"/>
            <w:shd w:fill="F3F5F7"/>
          </w:tcPr>
          <w:p>
            <w:r/>
            <w:r>
              <w:rPr>
                <w:b w:val="0"/>
                <w:sz w:val="16"/>
              </w:rPr>
              <w:t>No install/network access; sklearn alternatives available</w:t>
            </w:r>
          </w:p>
        </w:tc>
        <w:tc>
          <w:tcPr>
            <w:tcW w:type="dxa" w:w="2304"/>
            <w:vAlign w:val="center"/>
            <w:shd w:fill="F3F5F7"/>
          </w:tcPr>
          <w:p>
            <w:r/>
            <w:r>
              <w:rPr>
                <w:b w:val="0"/>
                <w:sz w:val="16"/>
              </w:rPr>
              <w:t>Two legitimate additional model families delivered</w:t>
            </w:r>
          </w:p>
        </w:tc>
      </w:tr>
      <w:tr>
        <w:tc>
          <w:tcPr>
            <w:tcW w:type="dxa" w:w="2304"/>
            <w:vAlign w:val="center"/>
          </w:tcPr>
          <w:p>
            <w:r/>
            <w:r>
              <w:rPr>
                <w:b w:val="0"/>
                <w:sz w:val="16"/>
              </w:rPr>
              <w:t>D11 — Retain Logistic Regression</w:t>
            </w:r>
          </w:p>
        </w:tc>
        <w:tc>
          <w:tcPr>
            <w:tcW w:type="dxa" w:w="2592"/>
            <w:vAlign w:val="center"/>
          </w:tcPr>
          <w:p>
            <w:r/>
            <w:r>
              <w:rPr>
                <w:b w:val="0"/>
                <w:sz w:val="16"/>
              </w:rPr>
              <w:t>Replacement rule not met</w:t>
            </w:r>
          </w:p>
        </w:tc>
        <w:tc>
          <w:tcPr>
            <w:tcW w:type="dxa" w:w="2592"/>
            <w:vAlign w:val="center"/>
          </w:tcPr>
          <w:p>
            <w:r/>
            <w:r>
              <w:rPr>
                <w:b w:val="0"/>
                <w:sz w:val="16"/>
              </w:rPr>
              <w:t>Best new validation AUC 0.672 vs LR 0.683; no material CV gain</w:t>
            </w:r>
          </w:p>
        </w:tc>
        <w:tc>
          <w:tcPr>
            <w:tcW w:type="dxa" w:w="2304"/>
            <w:vAlign w:val="center"/>
          </w:tcPr>
          <w:p>
            <w:r/>
            <w:r>
              <w:rPr>
                <w:b w:val="0"/>
                <w:sz w:val="16"/>
              </w:rPr>
              <w:t>Candidate frozen for Week 4</w:t>
            </w:r>
          </w:p>
        </w:tc>
      </w:tr>
      <w:tr>
        <w:tc>
          <w:tcPr>
            <w:tcW w:type="dxa" w:w="2304"/>
            <w:vAlign w:val="center"/>
            <w:shd w:fill="F3F5F7"/>
          </w:tcPr>
          <w:p>
            <w:r/>
            <w:r>
              <w:rPr>
                <w:b w:val="0"/>
                <w:sz w:val="16"/>
              </w:rPr>
              <w:t>D12 — Tune operating threshold</w:t>
            </w:r>
          </w:p>
        </w:tc>
        <w:tc>
          <w:tcPr>
            <w:tcW w:type="dxa" w:w="2592"/>
            <w:vAlign w:val="center"/>
            <w:shd w:fill="F3F5F7"/>
          </w:tcPr>
          <w:p>
            <w:r/>
            <w:r>
              <w:rPr>
                <w:b w:val="0"/>
                <w:sz w:val="16"/>
              </w:rPr>
              <w:t>Recall ≥0.70 is binding</w:t>
            </w:r>
          </w:p>
        </w:tc>
        <w:tc>
          <w:tcPr>
            <w:tcW w:type="dxa" w:w="2592"/>
            <w:vAlign w:val="center"/>
            <w:shd w:fill="F3F5F7"/>
          </w:tcPr>
          <w:p>
            <w:r/>
            <w:r>
              <w:rPr>
                <w:b w:val="0"/>
                <w:sz w:val="16"/>
              </w:rPr>
              <w:t>Threshold 0.4869 gives recall 0.703</w:t>
            </w:r>
          </w:p>
        </w:tc>
        <w:tc>
          <w:tcPr>
            <w:tcW w:type="dxa" w:w="2304"/>
            <w:vAlign w:val="center"/>
            <w:shd w:fill="F3F5F7"/>
          </w:tcPr>
          <w:p>
            <w:r/>
            <w:r>
              <w:rPr>
                <w:b w:val="0"/>
                <w:sz w:val="16"/>
              </w:rPr>
              <w:t>Accept precision 0.286 as explicit workload trade-off</w:t>
            </w:r>
          </w:p>
        </w:tc>
      </w:tr>
      <w:tr>
        <w:tc>
          <w:tcPr>
            <w:tcW w:type="dxa" w:w="2304"/>
            <w:vAlign w:val="center"/>
          </w:tcPr>
          <w:p>
            <w:r/>
            <w:r>
              <w:rPr>
                <w:b w:val="0"/>
                <w:sz w:val="16"/>
              </w:rPr>
              <w:t>D13 — Freeze after Week 3</w:t>
            </w:r>
          </w:p>
        </w:tc>
        <w:tc>
          <w:tcPr>
            <w:tcW w:type="dxa" w:w="2592"/>
            <w:vAlign w:val="center"/>
          </w:tcPr>
          <w:p>
            <w:r/>
            <w:r>
              <w:rPr>
                <w:b w:val="0"/>
                <w:sz w:val="16"/>
              </w:rPr>
              <w:t>Repeated validation comparison creates overfitting risk</w:t>
            </w:r>
          </w:p>
        </w:tc>
        <w:tc>
          <w:tcPr>
            <w:tcW w:type="dxa" w:w="2592"/>
            <w:vAlign w:val="center"/>
          </w:tcPr>
          <w:p>
            <w:r/>
            <w:r>
              <w:rPr>
                <w:b w:val="0"/>
                <w:sz w:val="16"/>
              </w:rPr>
              <w:t>Multiple models already compared on validation</w:t>
            </w:r>
          </w:p>
        </w:tc>
        <w:tc>
          <w:tcPr>
            <w:tcW w:type="dxa" w:w="2304"/>
            <w:vAlign w:val="center"/>
          </w:tcPr>
          <w:p>
            <w:r/>
            <w:r>
              <w:rPr>
                <w:b w:val="0"/>
                <w:sz w:val="16"/>
              </w:rPr>
              <w:t>No further candidate changes before test scoring</w:t>
            </w:r>
          </w:p>
        </w:tc>
      </w:tr>
      <w:tr>
        <w:tc>
          <w:tcPr>
            <w:tcW w:type="dxa" w:w="2304"/>
            <w:vAlign w:val="center"/>
            <w:shd w:fill="F3F5F7"/>
          </w:tcPr>
          <w:p>
            <w:r/>
            <w:r>
              <w:rPr>
                <w:b w:val="0"/>
                <w:sz w:val="16"/>
              </w:rPr>
              <w:t>D14 — Keep permutation importance as primary interpretation</w:t>
            </w:r>
          </w:p>
        </w:tc>
        <w:tc>
          <w:tcPr>
            <w:tcW w:type="dxa" w:w="2592"/>
            <w:vAlign w:val="center"/>
            <w:shd w:fill="F3F5F7"/>
          </w:tcPr>
          <w:p>
            <w:r/>
            <w:r>
              <w:rPr>
                <w:b w:val="0"/>
                <w:sz w:val="16"/>
              </w:rPr>
              <w:t>Maintains continuity and is model-agnostic</w:t>
            </w:r>
          </w:p>
        </w:tc>
        <w:tc>
          <w:tcPr>
            <w:tcW w:type="dxa" w:w="2592"/>
            <w:vAlign w:val="center"/>
            <w:shd w:fill="F3F5F7"/>
          </w:tcPr>
          <w:p>
            <w:r/>
            <w:r>
              <w:rPr>
                <w:b w:val="0"/>
                <w:sz w:val="16"/>
              </w:rPr>
              <w:t>Week 2 and Week 3 importance rankings directly comparable</w:t>
            </w:r>
          </w:p>
        </w:tc>
        <w:tc>
          <w:tcPr>
            <w:tcW w:type="dxa" w:w="2304"/>
            <w:vAlign w:val="center"/>
            <w:shd w:fill="F3F5F7"/>
          </w:tcPr>
          <w:p>
            <w:r/>
            <w:r>
              <w:rPr>
                <w:b w:val="0"/>
                <w:sz w:val="16"/>
              </w:rPr>
              <w:t>Coefficients used only as secondary directional check</w:t>
            </w:r>
          </w:p>
        </w:tc>
      </w:tr>
    </w:tbl>
    <w:p>
      <w:pPr>
        <w:spacing w:after="20"/>
      </w:pPr>
    </w:p>
    <w:p>
      <w:pPr>
        <w:pStyle w:val="Heading1"/>
        <w:spacing w:before="200" w:after="100"/>
      </w:pPr>
      <w:r>
        <w:t>14. Assumptions, Limitations and Risks — Week 2 Review</w:t>
      </w:r>
    </w:p>
    <w:p>
      <w:pPr>
        <w:spacing w:after="100" w:line="252" w:lineRule="auto"/>
      </w:pPr>
      <w:r>
        <w:rPr>
          <w:b w:val="0"/>
          <w:i w:val="0"/>
          <w:sz w:val="19"/>
        </w:rPr>
        <w:t>The Week 2 risk register is carried forward rather than rewritten. Status changes are evidence-based and new Week 3 risks are added separately.</w:t>
      </w:r>
    </w:p>
    <w:p>
      <w:pPr>
        <w:pStyle w:val="Heading2"/>
        <w:spacing w:before="160" w:after="80"/>
      </w:pPr>
      <w:r>
        <w:t>14.1 Prior risk register review</w:t>
      </w:r>
    </w:p>
    <w:tbl>
      <w:tblPr>
        <w:tblW w:type="auto" w:w="0"/>
        <w:jc w:val="center"/>
        <w:tblLook w:firstColumn="1" w:firstRow="1" w:lastColumn="0" w:lastRow="0" w:noHBand="0" w:noVBand="1" w:val="04A0"/>
      </w:tblPr>
      <w:tblGrid>
        <w:gridCol w:w="2256"/>
        <w:gridCol w:w="2256"/>
        <w:gridCol w:w="2256"/>
        <w:gridCol w:w="2256"/>
      </w:tblGrid>
      <w:tr>
        <w:tc>
          <w:tcPr>
            <w:tcW w:type="dxa" w:w="2736"/>
            <w:vAlign w:val="center"/>
            <w:shd w:fill="1F3B63"/>
          </w:tcPr>
          <w:p>
            <w:r/>
            <w:r>
              <w:rPr>
                <w:b/>
                <w:color w:val="FFFFFF"/>
                <w:sz w:val="16"/>
              </w:rPr>
              <w:t>Risk</w:t>
            </w:r>
          </w:p>
        </w:tc>
        <w:tc>
          <w:tcPr>
            <w:tcW w:type="dxa" w:w="1944"/>
            <w:vAlign w:val="center"/>
            <w:shd w:fill="1F3B63"/>
          </w:tcPr>
          <w:p>
            <w:r/>
            <w:r>
              <w:rPr>
                <w:b/>
                <w:color w:val="FFFFFF"/>
                <w:sz w:val="16"/>
              </w:rPr>
              <w:t>Week 2 status</w:t>
            </w:r>
          </w:p>
        </w:tc>
        <w:tc>
          <w:tcPr>
            <w:tcW w:type="dxa" w:w="1944"/>
            <w:vAlign w:val="center"/>
            <w:shd w:fill="1F3B63"/>
          </w:tcPr>
          <w:p>
            <w:r/>
            <w:r>
              <w:rPr>
                <w:b/>
                <w:color w:val="FFFFFF"/>
                <w:sz w:val="16"/>
              </w:rPr>
              <w:t>Week 3 status</w:t>
            </w:r>
          </w:p>
        </w:tc>
        <w:tc>
          <w:tcPr>
            <w:tcW w:type="dxa" w:w="4320"/>
            <w:vAlign w:val="center"/>
            <w:shd w:fill="1F3B63"/>
          </w:tcPr>
          <w:p>
            <w:r/>
            <w:r>
              <w:rPr>
                <w:b/>
                <w:color w:val="FFFFFF"/>
                <w:sz w:val="16"/>
              </w:rPr>
              <w:t>Evidence / action</w:t>
            </w:r>
          </w:p>
        </w:tc>
      </w:tr>
      <w:tr>
        <w:tc>
          <w:tcPr>
            <w:tcW w:type="dxa" w:w="2736"/>
            <w:vAlign w:val="center"/>
          </w:tcPr>
          <w:p>
            <w:r/>
            <w:r>
              <w:rPr>
                <w:b w:val="0"/>
                <w:sz w:val="16"/>
              </w:rPr>
              <w:t>R1 — Undocumented synthetic target</w:t>
            </w:r>
          </w:p>
        </w:tc>
        <w:tc>
          <w:tcPr>
            <w:tcW w:type="dxa" w:w="1944"/>
            <w:vAlign w:val="center"/>
          </w:tcPr>
          <w:p>
            <w:r/>
            <w:r>
              <w:rPr>
                <w:b w:val="0"/>
                <w:sz w:val="16"/>
              </w:rPr>
              <w:t>Materialised</w:t>
            </w:r>
          </w:p>
        </w:tc>
        <w:tc>
          <w:tcPr>
            <w:tcW w:type="dxa" w:w="1944"/>
            <w:vAlign w:val="center"/>
          </w:tcPr>
          <w:p>
            <w:r/>
            <w:r>
              <w:rPr>
                <w:b w:val="0"/>
                <w:sz w:val="16"/>
              </w:rPr>
              <w:t>Active</w:t>
            </w:r>
          </w:p>
        </w:tc>
        <w:tc>
          <w:tcPr>
            <w:tcW w:type="dxa" w:w="4320"/>
            <w:vAlign w:val="center"/>
          </w:tcPr>
          <w:p>
            <w:r/>
            <w:r>
              <w:rPr>
                <w:b w:val="0"/>
                <w:sz w:val="16"/>
              </w:rPr>
              <w:t>Target provenance still unavailable; non-fraud disclaimer remains mandatory.</w:t>
            </w:r>
          </w:p>
        </w:tc>
      </w:tr>
      <w:tr>
        <w:tc>
          <w:tcPr>
            <w:tcW w:type="dxa" w:w="2736"/>
            <w:vAlign w:val="center"/>
            <w:shd w:fill="F3F5F7"/>
          </w:tcPr>
          <w:p>
            <w:r/>
            <w:r>
              <w:rPr>
                <w:b w:val="0"/>
                <w:sz w:val="16"/>
              </w:rPr>
              <w:t>R2 — Transaction_Status leakage</w:t>
            </w:r>
          </w:p>
        </w:tc>
        <w:tc>
          <w:tcPr>
            <w:tcW w:type="dxa" w:w="1944"/>
            <w:vAlign w:val="center"/>
            <w:shd w:fill="F3F5F7"/>
          </w:tcPr>
          <w:p>
            <w:r/>
            <w:r>
              <w:rPr>
                <w:b w:val="0"/>
                <w:sz w:val="16"/>
              </w:rPr>
              <w:t>Resolved</w:t>
            </w:r>
          </w:p>
        </w:tc>
        <w:tc>
          <w:tcPr>
            <w:tcW w:type="dxa" w:w="1944"/>
            <w:vAlign w:val="center"/>
            <w:shd w:fill="F3F5F7"/>
          </w:tcPr>
          <w:p>
            <w:r/>
            <w:r>
              <w:rPr>
                <w:b w:val="0"/>
                <w:sz w:val="16"/>
              </w:rPr>
              <w:t>Resolved</w:t>
            </w:r>
          </w:p>
        </w:tc>
        <w:tc>
          <w:tcPr>
            <w:tcW w:type="dxa" w:w="4320"/>
            <w:vAlign w:val="center"/>
            <w:shd w:fill="F3F5F7"/>
          </w:tcPr>
          <w:p>
            <w:r/>
            <w:r>
              <w:rPr>
                <w:b w:val="0"/>
                <w:sz w:val="16"/>
              </w:rPr>
              <w:t>Field remains excluded.</w:t>
            </w:r>
          </w:p>
        </w:tc>
      </w:tr>
      <w:tr>
        <w:tc>
          <w:tcPr>
            <w:tcW w:type="dxa" w:w="2736"/>
            <w:vAlign w:val="center"/>
          </w:tcPr>
          <w:p>
            <w:r/>
            <w:r>
              <w:rPr>
                <w:b w:val="0"/>
                <w:sz w:val="16"/>
              </w:rPr>
              <w:t>R3 — Class imbalance</w:t>
            </w:r>
          </w:p>
        </w:tc>
        <w:tc>
          <w:tcPr>
            <w:tcW w:type="dxa" w:w="1944"/>
            <w:vAlign w:val="center"/>
          </w:tcPr>
          <w:p>
            <w:r/>
            <w:r>
              <w:rPr>
                <w:b w:val="0"/>
                <w:sz w:val="16"/>
              </w:rPr>
              <w:t>Controlled</w:t>
            </w:r>
          </w:p>
        </w:tc>
        <w:tc>
          <w:tcPr>
            <w:tcW w:type="dxa" w:w="1944"/>
            <w:vAlign w:val="center"/>
          </w:tcPr>
          <w:p>
            <w:r/>
            <w:r>
              <w:rPr>
                <w:b w:val="0"/>
                <w:sz w:val="16"/>
              </w:rPr>
              <w:t>Controlled</w:t>
            </w:r>
          </w:p>
        </w:tc>
        <w:tc>
          <w:tcPr>
            <w:tcW w:type="dxa" w:w="4320"/>
            <w:vAlign w:val="center"/>
          </w:tcPr>
          <w:p>
            <w:r/>
            <w:r>
              <w:rPr>
                <w:b w:val="0"/>
                <w:sz w:val="16"/>
              </w:rPr>
              <w:t>Threshold tuning continues to enforce recall constraint; accuracy excluded from selection.</w:t>
            </w:r>
          </w:p>
        </w:tc>
      </w:tr>
      <w:tr>
        <w:tc>
          <w:tcPr>
            <w:tcW w:type="dxa" w:w="2736"/>
            <w:vAlign w:val="center"/>
            <w:shd w:fill="F3F5F7"/>
          </w:tcPr>
          <w:p>
            <w:r/>
            <w:r>
              <w:rPr>
                <w:b w:val="0"/>
                <w:sz w:val="16"/>
              </w:rPr>
              <w:t>R4 — Repeated-customer dependence</w:t>
            </w:r>
          </w:p>
        </w:tc>
        <w:tc>
          <w:tcPr>
            <w:tcW w:type="dxa" w:w="1944"/>
            <w:vAlign w:val="center"/>
            <w:shd w:fill="F3F5F7"/>
          </w:tcPr>
          <w:p>
            <w:r/>
            <w:r>
              <w:rPr>
                <w:b w:val="0"/>
                <w:sz w:val="16"/>
              </w:rPr>
              <w:t>Resolved</w:t>
            </w:r>
          </w:p>
        </w:tc>
        <w:tc>
          <w:tcPr>
            <w:tcW w:type="dxa" w:w="1944"/>
            <w:vAlign w:val="center"/>
            <w:shd w:fill="F3F5F7"/>
          </w:tcPr>
          <w:p>
            <w:r/>
            <w:r>
              <w:rPr>
                <w:b w:val="0"/>
                <w:sz w:val="16"/>
              </w:rPr>
              <w:t>Resolved</w:t>
            </w:r>
          </w:p>
        </w:tc>
        <w:tc>
          <w:tcPr>
            <w:tcW w:type="dxa" w:w="4320"/>
            <w:vAlign w:val="center"/>
            <w:shd w:fill="F3F5F7"/>
          </w:tcPr>
          <w:p>
            <w:r/>
            <w:r>
              <w:rPr>
                <w:b w:val="0"/>
                <w:sz w:val="16"/>
              </w:rPr>
              <w:t>Week 2 grouped sensitivity was negligible; no contrary Week 3 evidence.</w:t>
            </w:r>
          </w:p>
        </w:tc>
      </w:tr>
      <w:tr>
        <w:tc>
          <w:tcPr>
            <w:tcW w:type="dxa" w:w="2736"/>
            <w:vAlign w:val="center"/>
          </w:tcPr>
          <w:p>
            <w:r/>
            <w:r>
              <w:rPr>
                <w:b w:val="0"/>
                <w:sz w:val="16"/>
              </w:rPr>
              <w:t>R5 — Performance ceiling</w:t>
            </w:r>
          </w:p>
        </w:tc>
        <w:tc>
          <w:tcPr>
            <w:tcW w:type="dxa" w:w="1944"/>
            <w:vAlign w:val="center"/>
          </w:tcPr>
          <w:p>
            <w:r/>
            <w:r>
              <w:rPr>
                <w:b w:val="0"/>
                <w:sz w:val="16"/>
              </w:rPr>
              <w:t>Materialised / managed</w:t>
            </w:r>
          </w:p>
        </w:tc>
        <w:tc>
          <w:tcPr>
            <w:tcW w:type="dxa" w:w="1944"/>
            <w:vAlign w:val="center"/>
          </w:tcPr>
          <w:p>
            <w:r/>
            <w:r>
              <w:rPr>
                <w:b w:val="0"/>
                <w:sz w:val="16"/>
              </w:rPr>
              <w:t>Materialised</w:t>
            </w:r>
          </w:p>
        </w:tc>
        <w:tc>
          <w:tcPr>
            <w:tcW w:type="dxa" w:w="4320"/>
            <w:vAlign w:val="center"/>
          </w:tcPr>
          <w:p>
            <w:r/>
            <w:r>
              <w:rPr>
                <w:b w:val="0"/>
                <w:sz w:val="16"/>
              </w:rPr>
              <w:t>Boosting did not materially improve ROC-AUC.</w:t>
            </w:r>
          </w:p>
        </w:tc>
      </w:tr>
      <w:tr>
        <w:tc>
          <w:tcPr>
            <w:tcW w:type="dxa" w:w="2736"/>
            <w:vAlign w:val="center"/>
            <w:shd w:fill="F3F5F7"/>
          </w:tcPr>
          <w:p>
            <w:r/>
            <w:r>
              <w:rPr>
                <w:b w:val="0"/>
                <w:sz w:val="16"/>
              </w:rPr>
              <w:t>R6 — Final-test overfitting</w:t>
            </w:r>
          </w:p>
        </w:tc>
        <w:tc>
          <w:tcPr>
            <w:tcW w:type="dxa" w:w="1944"/>
            <w:vAlign w:val="center"/>
            <w:shd w:fill="F3F5F7"/>
          </w:tcPr>
          <w:p>
            <w:r/>
            <w:r>
              <w:rPr>
                <w:b w:val="0"/>
                <w:sz w:val="16"/>
              </w:rPr>
              <w:t>Not yet active</w:t>
            </w:r>
          </w:p>
        </w:tc>
        <w:tc>
          <w:tcPr>
            <w:tcW w:type="dxa" w:w="1944"/>
            <w:vAlign w:val="center"/>
            <w:shd w:fill="F3F5F7"/>
          </w:tcPr>
          <w:p>
            <w:r/>
            <w:r>
              <w:rPr>
                <w:b w:val="0"/>
                <w:sz w:val="16"/>
              </w:rPr>
              <w:t>Controlled / not yet active</w:t>
            </w:r>
          </w:p>
        </w:tc>
        <w:tc>
          <w:tcPr>
            <w:tcW w:type="dxa" w:w="4320"/>
            <w:vAlign w:val="center"/>
            <w:shd w:fill="F3F5F7"/>
          </w:tcPr>
          <w:p>
            <w:r/>
            <w:r>
              <w:rPr>
                <w:b w:val="0"/>
                <w:sz w:val="16"/>
              </w:rPr>
              <w:t>Test set remains untouched; candidate frozen.</w:t>
            </w:r>
          </w:p>
        </w:tc>
      </w:tr>
      <w:tr>
        <w:tc>
          <w:tcPr>
            <w:tcW w:type="dxa" w:w="2736"/>
            <w:vAlign w:val="center"/>
          </w:tcPr>
          <w:p>
            <w:r/>
            <w:r>
              <w:rPr>
                <w:b w:val="0"/>
                <w:sz w:val="16"/>
              </w:rPr>
              <w:t>R7 — Synthetic-data generalisability</w:t>
            </w:r>
          </w:p>
        </w:tc>
        <w:tc>
          <w:tcPr>
            <w:tcW w:type="dxa" w:w="1944"/>
            <w:vAlign w:val="center"/>
          </w:tcPr>
          <w:p>
            <w:r/>
            <w:r>
              <w:rPr>
                <w:b w:val="0"/>
                <w:sz w:val="16"/>
              </w:rPr>
              <w:t>Active</w:t>
            </w:r>
          </w:p>
        </w:tc>
        <w:tc>
          <w:tcPr>
            <w:tcW w:type="dxa" w:w="1944"/>
            <w:vAlign w:val="center"/>
          </w:tcPr>
          <w:p>
            <w:r/>
            <w:r>
              <w:rPr>
                <w:b w:val="0"/>
                <w:sz w:val="16"/>
              </w:rPr>
              <w:t>Active</w:t>
            </w:r>
          </w:p>
        </w:tc>
        <w:tc>
          <w:tcPr>
            <w:tcW w:type="dxa" w:w="4320"/>
            <w:vAlign w:val="center"/>
          </w:tcPr>
          <w:p>
            <w:r/>
            <w:r>
              <w:rPr>
                <w:b w:val="0"/>
                <w:sz w:val="16"/>
              </w:rPr>
              <w:t>No real-world validation; all claims remain educational.</w:t>
            </w:r>
          </w:p>
        </w:tc>
      </w:tr>
      <w:tr>
        <w:tc>
          <w:tcPr>
            <w:tcW w:type="dxa" w:w="2736"/>
            <w:vAlign w:val="center"/>
            <w:shd w:fill="F3F5F7"/>
          </w:tcPr>
          <w:p>
            <w:r/>
            <w:r>
              <w:rPr>
                <w:b w:val="0"/>
                <w:sz w:val="16"/>
              </w:rPr>
              <w:t>R8 — Review-cost assumptions</w:t>
            </w:r>
          </w:p>
        </w:tc>
        <w:tc>
          <w:tcPr>
            <w:tcW w:type="dxa" w:w="1944"/>
            <w:vAlign w:val="center"/>
            <w:shd w:fill="F3F5F7"/>
          </w:tcPr>
          <w:p>
            <w:r/>
            <w:r>
              <w:rPr>
                <w:b w:val="0"/>
                <w:sz w:val="16"/>
              </w:rPr>
              <w:t>Active</w:t>
            </w:r>
          </w:p>
        </w:tc>
        <w:tc>
          <w:tcPr>
            <w:tcW w:type="dxa" w:w="1944"/>
            <w:vAlign w:val="center"/>
            <w:shd w:fill="F3F5F7"/>
          </w:tcPr>
          <w:p>
            <w:r/>
            <w:r>
              <w:rPr>
                <w:b w:val="0"/>
                <w:sz w:val="16"/>
              </w:rPr>
              <w:t>Active</w:t>
            </w:r>
          </w:p>
        </w:tc>
        <w:tc>
          <w:tcPr>
            <w:tcW w:type="dxa" w:w="4320"/>
            <w:vAlign w:val="center"/>
            <w:shd w:fill="F3F5F7"/>
          </w:tcPr>
          <w:p>
            <w:r/>
            <w:r>
              <w:rPr>
                <w:b w:val="0"/>
                <w:sz w:val="16"/>
              </w:rPr>
              <w:t>No supplied FP/FN cost ratio; recall-weighted threshold remains an assumption.</w:t>
            </w:r>
          </w:p>
        </w:tc>
      </w:tr>
      <w:tr>
        <w:tc>
          <w:tcPr>
            <w:tcW w:type="dxa" w:w="2736"/>
            <w:vAlign w:val="center"/>
          </w:tcPr>
          <w:p>
            <w:r/>
            <w:r>
              <w:rPr>
                <w:b w:val="0"/>
                <w:sz w:val="16"/>
              </w:rPr>
              <w:t>R10 — Temporal realism</w:t>
            </w:r>
          </w:p>
        </w:tc>
        <w:tc>
          <w:tcPr>
            <w:tcW w:type="dxa" w:w="1944"/>
            <w:vAlign w:val="center"/>
          </w:tcPr>
          <w:p>
            <w:r/>
            <w:r>
              <w:rPr>
                <w:b w:val="0"/>
                <w:sz w:val="16"/>
              </w:rPr>
              <w:t>Active</w:t>
            </w:r>
          </w:p>
        </w:tc>
        <w:tc>
          <w:tcPr>
            <w:tcW w:type="dxa" w:w="1944"/>
            <w:vAlign w:val="center"/>
          </w:tcPr>
          <w:p>
            <w:r/>
            <w:r>
              <w:rPr>
                <w:b w:val="0"/>
                <w:sz w:val="16"/>
              </w:rPr>
              <w:t>Active</w:t>
            </w:r>
          </w:p>
        </w:tc>
        <w:tc>
          <w:tcPr>
            <w:tcW w:type="dxa" w:w="4320"/>
            <w:vAlign w:val="center"/>
          </w:tcPr>
          <w:p>
            <w:r/>
            <w:r>
              <w:rPr>
                <w:b w:val="0"/>
                <w:sz w:val="16"/>
              </w:rPr>
              <w:t>Synthetic temporal generation limits behavioural/seasonality inference.</w:t>
            </w:r>
          </w:p>
        </w:tc>
      </w:tr>
      <w:tr>
        <w:tc>
          <w:tcPr>
            <w:tcW w:type="dxa" w:w="2736"/>
            <w:vAlign w:val="center"/>
            <w:shd w:fill="F3F5F7"/>
          </w:tcPr>
          <w:p>
            <w:r/>
            <w:r>
              <w:rPr>
                <w:b w:val="0"/>
                <w:sz w:val="16"/>
              </w:rPr>
              <w:t>R11 — Governance / target provenance</w:t>
            </w:r>
          </w:p>
        </w:tc>
        <w:tc>
          <w:tcPr>
            <w:tcW w:type="dxa" w:w="1944"/>
            <w:vAlign w:val="center"/>
            <w:shd w:fill="F3F5F7"/>
          </w:tcPr>
          <w:p>
            <w:r/>
            <w:r>
              <w:rPr>
                <w:b w:val="0"/>
                <w:sz w:val="16"/>
              </w:rPr>
              <w:t>Active</w:t>
            </w:r>
          </w:p>
        </w:tc>
        <w:tc>
          <w:tcPr>
            <w:tcW w:type="dxa" w:w="1944"/>
            <w:vAlign w:val="center"/>
            <w:shd w:fill="F3F5F7"/>
          </w:tcPr>
          <w:p>
            <w:r/>
            <w:r>
              <w:rPr>
                <w:b w:val="0"/>
                <w:sz w:val="16"/>
              </w:rPr>
              <w:t>Active</w:t>
            </w:r>
          </w:p>
        </w:tc>
        <w:tc>
          <w:tcPr>
            <w:tcW w:type="dxa" w:w="4320"/>
            <w:vAlign w:val="center"/>
            <w:shd w:fill="F3F5F7"/>
          </w:tcPr>
          <w:p>
            <w:r/>
            <w:r>
              <w:rPr>
                <w:b w:val="0"/>
                <w:sz w:val="16"/>
              </w:rPr>
              <w:t>Human oversight and documented provenance would be required operationally.</w:t>
            </w:r>
          </w:p>
        </w:tc>
      </w:tr>
      <w:tr>
        <w:tc>
          <w:tcPr>
            <w:tcW w:type="dxa" w:w="2736"/>
            <w:vAlign w:val="center"/>
          </w:tcPr>
          <w:p>
            <w:r/>
            <w:r>
              <w:rPr>
                <w:b w:val="0"/>
                <w:sz w:val="16"/>
              </w:rPr>
              <w:t>R12 — Feature redundancy</w:t>
            </w:r>
          </w:p>
        </w:tc>
        <w:tc>
          <w:tcPr>
            <w:tcW w:type="dxa" w:w="1944"/>
            <w:vAlign w:val="center"/>
          </w:tcPr>
          <w:p>
            <w:r/>
            <w:r>
              <w:rPr>
                <w:b w:val="0"/>
                <w:sz w:val="16"/>
              </w:rPr>
              <w:t>Active</w:t>
            </w:r>
          </w:p>
        </w:tc>
        <w:tc>
          <w:tcPr>
            <w:tcW w:type="dxa" w:w="1944"/>
            <w:vAlign w:val="center"/>
          </w:tcPr>
          <w:p>
            <w:r/>
            <w:r>
              <w:rPr>
                <w:b w:val="0"/>
                <w:sz w:val="16"/>
              </w:rPr>
              <w:t>Resolved</w:t>
            </w:r>
          </w:p>
        </w:tc>
        <w:tc>
          <w:tcPr>
            <w:tcW w:type="dxa" w:w="4320"/>
            <w:vAlign w:val="center"/>
          </w:tcPr>
          <w:p>
            <w:r/>
            <w:r>
              <w:rPr>
                <w:b w:val="0"/>
                <w:sz w:val="16"/>
              </w:rPr>
              <w:t>Redundant amount encodings removed; coefficient direction corrected.</w:t>
            </w:r>
          </w:p>
        </w:tc>
      </w:tr>
      <w:tr>
        <w:tc>
          <w:tcPr>
            <w:tcW w:type="dxa" w:w="2736"/>
            <w:vAlign w:val="center"/>
            <w:shd w:fill="F3F5F7"/>
          </w:tcPr>
          <w:p>
            <w:r/>
            <w:r>
              <w:rPr>
                <w:b w:val="0"/>
                <w:sz w:val="16"/>
              </w:rPr>
              <w:t>R13 — Uneven segment recall</w:t>
            </w:r>
          </w:p>
        </w:tc>
        <w:tc>
          <w:tcPr>
            <w:tcW w:type="dxa" w:w="1944"/>
            <w:vAlign w:val="center"/>
            <w:shd w:fill="F3F5F7"/>
          </w:tcPr>
          <w:p>
            <w:r/>
            <w:r>
              <w:rPr>
                <w:b w:val="0"/>
                <w:sz w:val="16"/>
              </w:rPr>
              <w:t>Active</w:t>
            </w:r>
          </w:p>
        </w:tc>
        <w:tc>
          <w:tcPr>
            <w:tcW w:type="dxa" w:w="1944"/>
            <w:vAlign w:val="center"/>
            <w:shd w:fill="F3F5F7"/>
          </w:tcPr>
          <w:p>
            <w:r/>
            <w:r>
              <w:rPr>
                <w:b w:val="0"/>
                <w:sz w:val="16"/>
              </w:rPr>
              <w:t>Active</w:t>
            </w:r>
          </w:p>
        </w:tc>
        <w:tc>
          <w:tcPr>
            <w:tcW w:type="dxa" w:w="4320"/>
            <w:vAlign w:val="center"/>
            <w:shd w:fill="F3F5F7"/>
          </w:tcPr>
          <w:p>
            <w:r/>
            <w:r>
              <w:rPr>
                <w:b w:val="0"/>
                <w:sz w:val="16"/>
              </w:rPr>
              <w:t>Week 3 error analysis confirms recall from 0.269 to 0.950 across types.</w:t>
            </w:r>
          </w:p>
        </w:tc>
      </w:tr>
      <w:tr>
        <w:tc>
          <w:tcPr>
            <w:tcW w:type="dxa" w:w="2736"/>
            <w:vAlign w:val="center"/>
          </w:tcPr>
          <w:p>
            <w:r/>
            <w:r>
              <w:rPr>
                <w:b w:val="0"/>
                <w:sz w:val="16"/>
              </w:rPr>
              <w:t>R14 — International coefficient stability</w:t>
            </w:r>
          </w:p>
        </w:tc>
        <w:tc>
          <w:tcPr>
            <w:tcW w:type="dxa" w:w="1944"/>
            <w:vAlign w:val="center"/>
          </w:tcPr>
          <w:p>
            <w:r/>
            <w:r>
              <w:rPr>
                <w:b w:val="0"/>
                <w:sz w:val="16"/>
              </w:rPr>
              <w:t>Active</w:t>
            </w:r>
          </w:p>
        </w:tc>
        <w:tc>
          <w:tcPr>
            <w:tcW w:type="dxa" w:w="1944"/>
            <w:vAlign w:val="center"/>
          </w:tcPr>
          <w:p>
            <w:r/>
            <w:r>
              <w:rPr>
                <w:b w:val="0"/>
                <w:sz w:val="16"/>
              </w:rPr>
              <w:t>Active</w:t>
            </w:r>
          </w:p>
        </w:tc>
        <w:tc>
          <w:tcPr>
            <w:tcW w:type="dxa" w:w="4320"/>
            <w:vAlign w:val="center"/>
          </w:tcPr>
          <w:p>
            <w:r/>
            <w:r>
              <w:rPr>
                <w:b w:val="0"/>
                <w:sz w:val="16"/>
              </w:rPr>
              <w:t>Important signal but limited prevalence; no new data added.</w:t>
            </w:r>
          </w:p>
        </w:tc>
      </w:tr>
    </w:tbl>
    <w:p>
      <w:pPr>
        <w:spacing w:after="20"/>
      </w:pPr>
    </w:p>
    <w:p>
      <w:pPr>
        <w:pStyle w:val="Heading2"/>
        <w:spacing w:before="160" w:after="80"/>
      </w:pPr>
      <w:r>
        <w:t>14.2 New Week 3 risks</w:t>
      </w:r>
    </w:p>
    <w:tbl>
      <w:tblPr>
        <w:tblW w:type="auto" w:w="0"/>
        <w:jc w:val="center"/>
        <w:tblLook w:firstColumn="1" w:firstRow="1" w:lastColumn="0" w:lastRow="0" w:noHBand="0" w:noVBand="1" w:val="04A0"/>
      </w:tblPr>
      <w:tblGrid>
        <w:gridCol w:w="2256"/>
        <w:gridCol w:w="2256"/>
        <w:gridCol w:w="2256"/>
        <w:gridCol w:w="2256"/>
      </w:tblGrid>
      <w:tr>
        <w:tc>
          <w:tcPr>
            <w:tcW w:type="dxa" w:w="3024"/>
            <w:vAlign w:val="center"/>
            <w:shd w:fill="1F3B63"/>
          </w:tcPr>
          <w:p>
            <w:r/>
            <w:r>
              <w:rPr>
                <w:b/>
                <w:color w:val="FFFFFF"/>
                <w:sz w:val="16"/>
              </w:rPr>
              <w:t>New risk</w:t>
            </w:r>
          </w:p>
        </w:tc>
        <w:tc>
          <w:tcPr>
            <w:tcW w:type="dxa" w:w="1440"/>
            <w:vAlign w:val="center"/>
            <w:shd w:fill="1F3B63"/>
          </w:tcPr>
          <w:p>
            <w:r/>
            <w:r>
              <w:rPr>
                <w:b/>
                <w:color w:val="FFFFFF"/>
                <w:sz w:val="16"/>
              </w:rPr>
              <w:t>Status</w:t>
            </w:r>
          </w:p>
        </w:tc>
        <w:tc>
          <w:tcPr>
            <w:tcW w:type="dxa" w:w="3024"/>
            <w:vAlign w:val="center"/>
            <w:shd w:fill="1F3B63"/>
          </w:tcPr>
          <w:p>
            <w:r/>
            <w:r>
              <w:rPr>
                <w:b/>
                <w:color w:val="FFFFFF"/>
                <w:sz w:val="16"/>
              </w:rPr>
              <w:t>Why it matters</w:t>
            </w:r>
          </w:p>
        </w:tc>
        <w:tc>
          <w:tcPr>
            <w:tcW w:type="dxa" w:w="3456"/>
            <w:vAlign w:val="center"/>
            <w:shd w:fill="1F3B63"/>
          </w:tcPr>
          <w:p>
            <w:r/>
            <w:r>
              <w:rPr>
                <w:b/>
                <w:color w:val="FFFFFF"/>
                <w:sz w:val="16"/>
              </w:rPr>
              <w:t>Mitigation</w:t>
            </w:r>
          </w:p>
        </w:tc>
      </w:tr>
      <w:tr>
        <w:tc>
          <w:tcPr>
            <w:tcW w:type="dxa" w:w="3024"/>
            <w:vAlign w:val="center"/>
          </w:tcPr>
          <w:p>
            <w:r/>
            <w:r>
              <w:rPr>
                <w:b w:val="0"/>
                <w:sz w:val="16"/>
              </w:rPr>
              <w:t>R15 — Validation overfitting from repeated model comparison</w:t>
            </w:r>
          </w:p>
        </w:tc>
        <w:tc>
          <w:tcPr>
            <w:tcW w:type="dxa" w:w="1440"/>
            <w:vAlign w:val="center"/>
          </w:tcPr>
          <w:p>
            <w:r/>
            <w:r>
              <w:rPr>
                <w:b w:val="0"/>
                <w:sz w:val="16"/>
              </w:rPr>
              <w:t>Active</w:t>
            </w:r>
          </w:p>
        </w:tc>
        <w:tc>
          <w:tcPr>
            <w:tcW w:type="dxa" w:w="3024"/>
            <w:vAlign w:val="center"/>
          </w:tcPr>
          <w:p>
            <w:r/>
            <w:r>
              <w:rPr>
                <w:b w:val="0"/>
                <w:sz w:val="16"/>
              </w:rPr>
              <w:t>Week 3 compares several candidates on the same validation split</w:t>
            </w:r>
          </w:p>
        </w:tc>
        <w:tc>
          <w:tcPr>
            <w:tcW w:type="dxa" w:w="3456"/>
            <w:vAlign w:val="center"/>
          </w:tcPr>
          <w:p>
            <w:r/>
            <w:r>
              <w:rPr>
                <w:b w:val="0"/>
                <w:sz w:val="16"/>
              </w:rPr>
              <w:t>Freeze candidate now; score test once in Week 4.</w:t>
            </w:r>
          </w:p>
        </w:tc>
      </w:tr>
      <w:tr>
        <w:tc>
          <w:tcPr>
            <w:tcW w:type="dxa" w:w="3024"/>
            <w:vAlign w:val="center"/>
            <w:shd w:fill="F3F5F7"/>
          </w:tcPr>
          <w:p>
            <w:r/>
            <w:r>
              <w:rPr>
                <w:b w:val="0"/>
                <w:sz w:val="16"/>
              </w:rPr>
              <w:t>R16 — Low precision at recall-constrained threshold</w:t>
            </w:r>
          </w:p>
        </w:tc>
        <w:tc>
          <w:tcPr>
            <w:tcW w:type="dxa" w:w="1440"/>
            <w:vAlign w:val="center"/>
            <w:shd w:fill="F3F5F7"/>
          </w:tcPr>
          <w:p>
            <w:r/>
            <w:r>
              <w:rPr>
                <w:b w:val="0"/>
                <w:sz w:val="16"/>
              </w:rPr>
              <w:t>Active</w:t>
            </w:r>
          </w:p>
        </w:tc>
        <w:tc>
          <w:tcPr>
            <w:tcW w:type="dxa" w:w="3024"/>
            <w:vAlign w:val="center"/>
            <w:shd w:fill="F3F5F7"/>
          </w:tcPr>
          <w:p>
            <w:r/>
            <w:r>
              <w:rPr>
                <w:b w:val="0"/>
                <w:sz w:val="16"/>
              </w:rPr>
              <w:t>Precision 0.286 implies substantial review workload</w:t>
            </w:r>
          </w:p>
        </w:tc>
        <w:tc>
          <w:tcPr>
            <w:tcW w:type="dxa" w:w="3456"/>
            <w:vAlign w:val="center"/>
            <w:shd w:fill="F3F5F7"/>
          </w:tcPr>
          <w:p>
            <w:r/>
            <w:r>
              <w:rPr>
                <w:b w:val="0"/>
                <w:sz w:val="16"/>
              </w:rPr>
              <w:t>Report workload explicitly; do not claim automated decisioning.</w:t>
            </w:r>
          </w:p>
        </w:tc>
      </w:tr>
      <w:tr>
        <w:tc>
          <w:tcPr>
            <w:tcW w:type="dxa" w:w="3024"/>
            <w:vAlign w:val="center"/>
          </w:tcPr>
          <w:p>
            <w:r/>
            <w:r>
              <w:rPr>
                <w:b w:val="0"/>
                <w:sz w:val="16"/>
              </w:rPr>
              <w:t>R17 — Missing behavioural feature categories</w:t>
            </w:r>
          </w:p>
        </w:tc>
        <w:tc>
          <w:tcPr>
            <w:tcW w:type="dxa" w:w="1440"/>
            <w:vAlign w:val="center"/>
          </w:tcPr>
          <w:p>
            <w:r/>
            <w:r>
              <w:rPr>
                <w:b w:val="0"/>
                <w:sz w:val="16"/>
              </w:rPr>
              <w:t>Materialised limitation</w:t>
            </w:r>
          </w:p>
        </w:tc>
        <w:tc>
          <w:tcPr>
            <w:tcW w:type="dxa" w:w="3024"/>
            <w:vAlign w:val="center"/>
          </w:tcPr>
          <w:p>
            <w:r/>
            <w:r>
              <w:rPr>
                <w:b w:val="0"/>
                <w:sz w:val="16"/>
              </w:rPr>
              <w:t>Model complexity did not close the AUC gap</w:t>
            </w:r>
          </w:p>
        </w:tc>
        <w:tc>
          <w:tcPr>
            <w:tcW w:type="dxa" w:w="3456"/>
            <w:vAlign w:val="center"/>
          </w:tcPr>
          <w:p>
            <w:r/>
            <w:r>
              <w:rPr>
                <w:b w:val="0"/>
                <w:sz w:val="16"/>
              </w:rPr>
              <w:t>Document absent velocity/device/network/geolocation signals; do not fabricate them.</w:t>
            </w:r>
          </w:p>
        </w:tc>
      </w:tr>
    </w:tbl>
    <w:p>
      <w:pPr>
        <w:spacing w:after="20"/>
      </w:pPr>
    </w:p>
    <w:p>
      <w:pPr>
        <w:pStyle w:val="Heading2"/>
        <w:spacing w:before="160" w:after="80"/>
      </w:pPr>
      <w:r>
        <w:t>14.3 Model and data limitations</w:t>
      </w:r>
    </w:p>
    <w:p>
      <w:pPr>
        <w:spacing w:after="40"/>
        <w:ind w:left="288" w:hanging="216"/>
      </w:pPr>
      <w:r>
        <w:rPr>
          <w:sz w:val="19"/>
        </w:rPr>
        <w:t>• Validation ROC-AUC 0.683 remains below the pre-set 0.75 target.</w:t>
      </w:r>
    </w:p>
    <w:p>
      <w:pPr>
        <w:spacing w:after="40"/>
        <w:ind w:left="288" w:hanging="216"/>
      </w:pPr>
      <w:r>
        <w:rPr>
          <w:sz w:val="19"/>
        </w:rPr>
        <w:t>• Precision 0.286 at the recall-constrained threshold means many reviewed cases would not carry the synthetic flag.</w:t>
      </w:r>
    </w:p>
    <w:p>
      <w:pPr>
        <w:spacing w:after="40"/>
        <w:ind w:left="288" w:hanging="216"/>
      </w:pPr>
      <w:r>
        <w:rPr>
          <w:sz w:val="19"/>
        </w:rPr>
        <w:t>• Recall varies materially by transaction type; the model is not uniformly effective across products.</w:t>
      </w:r>
    </w:p>
    <w:p>
      <w:pPr>
        <w:spacing w:after="40"/>
        <w:ind w:left="288" w:hanging="216"/>
      </w:pPr>
      <w:r>
        <w:rPr>
          <w:sz w:val="19"/>
        </w:rPr>
        <w:t>• Risk_Review_Flag is synthetic and undocumented; it cannot be interpreted as fraud truth.</w:t>
      </w:r>
    </w:p>
    <w:p>
      <w:pPr>
        <w:spacing w:after="40"/>
        <w:ind w:left="288" w:hanging="216"/>
      </w:pPr>
      <w:r>
        <w:rPr>
          <w:sz w:val="19"/>
        </w:rPr>
        <w:t>• The available data omit behavioural categories that could plausibly improve within-category discrimination.</w:t>
      </w:r>
    </w:p>
    <w:p>
      <w:pPr>
        <w:spacing w:after="40"/>
        <w:ind w:left="288" w:hanging="216"/>
      </w:pPr>
      <w:r>
        <w:rPr>
          <w:sz w:val="19"/>
        </w:rPr>
        <w:t>• No Week 3 result establishes real-world generalisability, fairness or operational suitability.</w:t>
      </w:r>
    </w:p>
    <w:p>
      <w:pPr>
        <w:pStyle w:val="Heading1"/>
        <w:spacing w:before="200" w:after="100"/>
      </w:pPr>
      <w:r>
        <w:t>15. Week 3 Project Summary</w:t>
      </w:r>
    </w:p>
    <w:p>
      <w:pPr>
        <w:spacing w:after="100" w:line="252" w:lineRule="auto"/>
      </w:pPr>
      <w:r>
        <w:rPr>
          <w:b w:val="0"/>
          <w:i w:val="0"/>
          <w:sz w:val="19"/>
        </w:rPr>
        <w:t>The table below answers the Week 3 assignment points directly and leaves a clear Week 4 handoff.</w:t>
      </w:r>
    </w:p>
    <w:tbl>
      <w:tblPr>
        <w:tblW w:type="auto" w:w="0"/>
        <w:jc w:val="center"/>
        <w:tblLook w:firstColumn="1" w:firstRow="1" w:lastColumn="0" w:lastRow="0" w:noHBand="0" w:noVBand="1" w:val="04A0"/>
      </w:tblPr>
      <w:tblGrid>
        <w:gridCol w:w="3009"/>
        <w:gridCol w:w="3009"/>
        <w:gridCol w:w="3009"/>
      </w:tblGrid>
      <w:tr>
        <w:tc>
          <w:tcPr>
            <w:tcW w:type="dxa" w:w="2880"/>
            <w:vAlign w:val="center"/>
            <w:shd w:fill="1F3B63"/>
          </w:tcPr>
          <w:p>
            <w:r/>
            <w:r>
              <w:rPr>
                <w:b/>
                <w:color w:val="FFFFFF"/>
                <w:sz w:val="16"/>
              </w:rPr>
              <w:t>Assignment point</w:t>
            </w:r>
          </w:p>
        </w:tc>
        <w:tc>
          <w:tcPr>
            <w:tcW w:type="dxa" w:w="5040"/>
            <w:vAlign w:val="center"/>
            <w:shd w:fill="1F3B63"/>
          </w:tcPr>
          <w:p>
            <w:r/>
            <w:r>
              <w:rPr>
                <w:b/>
                <w:color w:val="FFFFFF"/>
                <w:sz w:val="16"/>
              </w:rPr>
              <w:t>Week 3 answer</w:t>
            </w:r>
          </w:p>
        </w:tc>
        <w:tc>
          <w:tcPr>
            <w:tcW w:type="dxa" w:w="1728"/>
            <w:vAlign w:val="center"/>
            <w:shd w:fill="1F3B63"/>
          </w:tcPr>
          <w:p>
            <w:r/>
            <w:r>
              <w:rPr>
                <w:b/>
                <w:color w:val="FFFFFF"/>
                <w:sz w:val="16"/>
              </w:rPr>
              <w:t>Evidence location</w:t>
            </w:r>
          </w:p>
        </w:tc>
      </w:tr>
      <w:tr>
        <w:tc>
          <w:tcPr>
            <w:tcW w:type="dxa" w:w="2880"/>
            <w:vAlign w:val="center"/>
          </w:tcPr>
          <w:p>
            <w:r/>
            <w:r>
              <w:rPr>
                <w:b w:val="0"/>
                <w:sz w:val="16"/>
              </w:rPr>
              <w:t>Review baseline model</w:t>
            </w:r>
          </w:p>
        </w:tc>
        <w:tc>
          <w:tcPr>
            <w:tcW w:type="dxa" w:w="5040"/>
            <w:vAlign w:val="center"/>
          </w:tcPr>
          <w:p>
            <w:r/>
            <w:r>
              <w:rPr>
                <w:b w:val="0"/>
                <w:sz w:val="16"/>
              </w:rPr>
              <w:t>Week 2 LR reviewed for performance, preprocessing, feature weaknesses, errors and limitations</w:t>
            </w:r>
          </w:p>
        </w:tc>
        <w:tc>
          <w:tcPr>
            <w:tcW w:type="dxa" w:w="1728"/>
            <w:vAlign w:val="center"/>
          </w:tcPr>
          <w:p>
            <w:r/>
            <w:r>
              <w:rPr>
                <w:b w:val="0"/>
                <w:sz w:val="16"/>
              </w:rPr>
              <w:t>§4</w:t>
            </w:r>
          </w:p>
        </w:tc>
      </w:tr>
      <w:tr>
        <w:tc>
          <w:tcPr>
            <w:tcW w:type="dxa" w:w="2880"/>
            <w:vAlign w:val="center"/>
            <w:shd w:fill="F3F5F7"/>
          </w:tcPr>
          <w:p>
            <w:r/>
            <w:r>
              <w:rPr>
                <w:b w:val="0"/>
                <w:sz w:val="16"/>
              </w:rPr>
              <w:t>Train ≥2 additional classifiers</w:t>
            </w:r>
          </w:p>
        </w:tc>
        <w:tc>
          <w:tcPr>
            <w:tcW w:type="dxa" w:w="5040"/>
            <w:vAlign w:val="center"/>
            <w:shd w:fill="F3F5F7"/>
          </w:tcPr>
          <w:p>
            <w:r/>
            <w:r>
              <w:rPr>
                <w:b w:val="0"/>
                <w:sz w:val="16"/>
              </w:rPr>
              <w:t>Gradient Boosting and HistGradientBoosting added; tuned RF also evaluated</w:t>
            </w:r>
          </w:p>
        </w:tc>
        <w:tc>
          <w:tcPr>
            <w:tcW w:type="dxa" w:w="1728"/>
            <w:vAlign w:val="center"/>
            <w:shd w:fill="F3F5F7"/>
          </w:tcPr>
          <w:p>
            <w:r/>
            <w:r>
              <w:rPr>
                <w:b w:val="0"/>
                <w:sz w:val="16"/>
              </w:rPr>
              <w:t>§5</w:t>
            </w:r>
          </w:p>
        </w:tc>
      </w:tr>
      <w:tr>
        <w:tc>
          <w:tcPr>
            <w:tcW w:type="dxa" w:w="2880"/>
            <w:vAlign w:val="center"/>
          </w:tcPr>
          <w:p>
            <w:r/>
            <w:r>
              <w:rPr>
                <w:b w:val="0"/>
                <w:sz w:val="16"/>
              </w:rPr>
              <w:t>Feature refinement</w:t>
            </w:r>
          </w:p>
        </w:tc>
        <w:tc>
          <w:tcPr>
            <w:tcW w:type="dxa" w:w="5040"/>
            <w:vAlign w:val="center"/>
          </w:tcPr>
          <w:p>
            <w:r/>
            <w:r>
              <w:rPr>
                <w:b w:val="0"/>
                <w:sz w:val="16"/>
              </w:rPr>
              <w:t>24 raw inputs reduced to 16; redundant/weak/fairness-sensitive candidates removed</w:t>
            </w:r>
          </w:p>
        </w:tc>
        <w:tc>
          <w:tcPr>
            <w:tcW w:type="dxa" w:w="1728"/>
            <w:vAlign w:val="center"/>
          </w:tcPr>
          <w:p>
            <w:r/>
            <w:r>
              <w:rPr>
                <w:b w:val="0"/>
                <w:sz w:val="16"/>
              </w:rPr>
              <w:t>§6</w:t>
            </w:r>
          </w:p>
        </w:tc>
      </w:tr>
      <w:tr>
        <w:tc>
          <w:tcPr>
            <w:tcW w:type="dxa" w:w="2880"/>
            <w:vAlign w:val="center"/>
            <w:shd w:fill="F3F5F7"/>
          </w:tcPr>
          <w:p>
            <w:r/>
            <w:r>
              <w:rPr>
                <w:b w:val="0"/>
                <w:sz w:val="16"/>
              </w:rPr>
              <w:t>Model comparison</w:t>
            </w:r>
          </w:p>
        </w:tc>
        <w:tc>
          <w:tcPr>
            <w:tcW w:type="dxa" w:w="5040"/>
            <w:vAlign w:val="center"/>
            <w:shd w:fill="F3F5F7"/>
          </w:tcPr>
          <w:p>
            <w:r/>
            <w:r>
              <w:rPr>
                <w:b w:val="0"/>
                <w:sz w:val="16"/>
              </w:rPr>
              <w:t>All six models compared on accuracy, precision, recall, F1 and ROC-AUC</w:t>
            </w:r>
          </w:p>
        </w:tc>
        <w:tc>
          <w:tcPr>
            <w:tcW w:type="dxa" w:w="1728"/>
            <w:vAlign w:val="center"/>
            <w:shd w:fill="F3F5F7"/>
          </w:tcPr>
          <w:p>
            <w:r/>
            <w:r>
              <w:rPr>
                <w:b w:val="0"/>
                <w:sz w:val="16"/>
              </w:rPr>
              <w:t>§7</w:t>
            </w:r>
          </w:p>
        </w:tc>
      </w:tr>
      <w:tr>
        <w:tc>
          <w:tcPr>
            <w:tcW w:type="dxa" w:w="2880"/>
            <w:vAlign w:val="center"/>
          </w:tcPr>
          <w:p>
            <w:r/>
            <w:r>
              <w:rPr>
                <w:b w:val="0"/>
                <w:sz w:val="16"/>
              </w:rPr>
              <w:t>Error analysis</w:t>
            </w:r>
          </w:p>
        </w:tc>
        <w:tc>
          <w:tcPr>
            <w:tcW w:type="dxa" w:w="5040"/>
            <w:vAlign w:val="center"/>
          </w:tcPr>
          <w:p>
            <w:r/>
            <w:r>
              <w:rPr>
                <w:b w:val="0"/>
                <w:sz w:val="16"/>
              </w:rPr>
              <w:t>618 FP, 105 FN, 248 TP at candidate threshold; type-level patterns quantified</w:t>
            </w:r>
          </w:p>
        </w:tc>
        <w:tc>
          <w:tcPr>
            <w:tcW w:type="dxa" w:w="1728"/>
            <w:vAlign w:val="center"/>
          </w:tcPr>
          <w:p>
            <w:r/>
            <w:r>
              <w:rPr>
                <w:b w:val="0"/>
                <w:sz w:val="16"/>
              </w:rPr>
              <w:t>§8</w:t>
            </w:r>
          </w:p>
        </w:tc>
      </w:tr>
      <w:tr>
        <w:tc>
          <w:tcPr>
            <w:tcW w:type="dxa" w:w="2880"/>
            <w:vAlign w:val="center"/>
            <w:shd w:fill="F3F5F7"/>
          </w:tcPr>
          <w:p>
            <w:r/>
            <w:r>
              <w:rPr>
                <w:b w:val="0"/>
                <w:sz w:val="16"/>
              </w:rPr>
              <w:t>Model interpretation</w:t>
            </w:r>
          </w:p>
        </w:tc>
        <w:tc>
          <w:tcPr>
            <w:tcW w:type="dxa" w:w="5040"/>
            <w:vAlign w:val="center"/>
            <w:shd w:fill="F3F5F7"/>
          </w:tcPr>
          <w:p>
            <w:r/>
            <w:r>
              <w:rPr>
                <w:b w:val="0"/>
                <w:sz w:val="16"/>
              </w:rPr>
              <w:t>Permutation importance plus corrected LR coefficients</w:t>
            </w:r>
          </w:p>
        </w:tc>
        <w:tc>
          <w:tcPr>
            <w:tcW w:type="dxa" w:w="1728"/>
            <w:vAlign w:val="center"/>
            <w:shd w:fill="F3F5F7"/>
          </w:tcPr>
          <w:p>
            <w:r/>
            <w:r>
              <w:rPr>
                <w:b w:val="0"/>
                <w:sz w:val="16"/>
              </w:rPr>
              <w:t>§9</w:t>
            </w:r>
          </w:p>
        </w:tc>
      </w:tr>
      <w:tr>
        <w:tc>
          <w:tcPr>
            <w:tcW w:type="dxa" w:w="2880"/>
            <w:vAlign w:val="center"/>
          </w:tcPr>
          <w:p>
            <w:r/>
            <w:r>
              <w:rPr>
                <w:b w:val="0"/>
                <w:sz w:val="16"/>
              </w:rPr>
              <w:t>Candidate final model</w:t>
            </w:r>
          </w:p>
        </w:tc>
        <w:tc>
          <w:tcPr>
            <w:tcW w:type="dxa" w:w="5040"/>
            <w:vAlign w:val="center"/>
          </w:tcPr>
          <w:p>
            <w:r/>
            <w:r>
              <w:rPr>
                <w:b w:val="0"/>
                <w:sz w:val="16"/>
              </w:rPr>
              <w:t>Refined Logistic Regression, threshold 0.4869, validation AUC 0.683</w:t>
            </w:r>
          </w:p>
        </w:tc>
        <w:tc>
          <w:tcPr>
            <w:tcW w:type="dxa" w:w="1728"/>
            <w:vAlign w:val="center"/>
          </w:tcPr>
          <w:p>
            <w:r/>
            <w:r>
              <w:rPr>
                <w:b w:val="0"/>
                <w:sz w:val="16"/>
              </w:rPr>
              <w:t>§10</w:t>
            </w:r>
          </w:p>
        </w:tc>
      </w:tr>
      <w:tr>
        <w:tc>
          <w:tcPr>
            <w:tcW w:type="dxa" w:w="2880"/>
            <w:vAlign w:val="center"/>
            <w:shd w:fill="F3F5F7"/>
          </w:tcPr>
          <w:p>
            <w:r/>
            <w:r>
              <w:rPr>
                <w:b w:val="0"/>
                <w:sz w:val="16"/>
              </w:rPr>
              <w:t>Validation chain</w:t>
            </w:r>
          </w:p>
        </w:tc>
        <w:tc>
          <w:tcPr>
            <w:tcW w:type="dxa" w:w="5040"/>
            <w:vAlign w:val="center"/>
            <w:shd w:fill="F3F5F7"/>
          </w:tcPr>
          <w:p>
            <w:r/>
            <w:r>
              <w:rPr>
                <w:b w:val="0"/>
                <w:sz w:val="16"/>
              </w:rPr>
              <w:t>Feature-redundancy fix and algorithmic-ceiling test both re-tested</w:t>
            </w:r>
          </w:p>
        </w:tc>
        <w:tc>
          <w:tcPr>
            <w:tcW w:type="dxa" w:w="1728"/>
            <w:vAlign w:val="center"/>
            <w:shd w:fill="F3F5F7"/>
          </w:tcPr>
          <w:p>
            <w:r/>
            <w:r>
              <w:rPr>
                <w:b w:val="0"/>
                <w:sz w:val="16"/>
              </w:rPr>
              <w:t>§11</w:t>
            </w:r>
          </w:p>
        </w:tc>
      </w:tr>
      <w:tr>
        <w:tc>
          <w:tcPr>
            <w:tcW w:type="dxa" w:w="2880"/>
            <w:vAlign w:val="center"/>
          </w:tcPr>
          <w:p>
            <w:r/>
            <w:r>
              <w:rPr>
                <w:b w:val="0"/>
                <w:sz w:val="16"/>
              </w:rPr>
              <w:t>Testing / QA</w:t>
            </w:r>
          </w:p>
        </w:tc>
        <w:tc>
          <w:tcPr>
            <w:tcW w:type="dxa" w:w="5040"/>
            <w:vAlign w:val="center"/>
          </w:tcPr>
          <w:p>
            <w:r/>
            <w:r>
              <w:rPr>
                <w:b w:val="0"/>
                <w:sz w:val="16"/>
              </w:rPr>
              <w:t>Eight explicit tests documented in required structure</w:t>
            </w:r>
          </w:p>
        </w:tc>
        <w:tc>
          <w:tcPr>
            <w:tcW w:type="dxa" w:w="1728"/>
            <w:vAlign w:val="center"/>
          </w:tcPr>
          <w:p>
            <w:r/>
            <w:r>
              <w:rPr>
                <w:b w:val="0"/>
                <w:sz w:val="16"/>
              </w:rPr>
              <w:t>§12</w:t>
            </w:r>
          </w:p>
        </w:tc>
      </w:tr>
      <w:tr>
        <w:tc>
          <w:tcPr>
            <w:tcW w:type="dxa" w:w="2880"/>
            <w:vAlign w:val="center"/>
            <w:shd w:fill="F3F5F7"/>
          </w:tcPr>
          <w:p>
            <w:r/>
            <w:r>
              <w:rPr>
                <w:b w:val="0"/>
                <w:sz w:val="16"/>
              </w:rPr>
              <w:t>Limitations / risks</w:t>
            </w:r>
          </w:p>
        </w:tc>
        <w:tc>
          <w:tcPr>
            <w:tcW w:type="dxa" w:w="5040"/>
            <w:vAlign w:val="center"/>
            <w:shd w:fill="F3F5F7"/>
          </w:tcPr>
          <w:p>
            <w:r/>
            <w:r>
              <w:rPr>
                <w:b w:val="0"/>
                <w:sz w:val="16"/>
              </w:rPr>
              <w:t>Prior register updated; R15–R17 added</w:t>
            </w:r>
          </w:p>
        </w:tc>
        <w:tc>
          <w:tcPr>
            <w:tcW w:type="dxa" w:w="1728"/>
            <w:vAlign w:val="center"/>
            <w:shd w:fill="F3F5F7"/>
          </w:tcPr>
          <w:p>
            <w:r/>
            <w:r>
              <w:rPr>
                <w:b w:val="0"/>
                <w:sz w:val="16"/>
              </w:rPr>
              <w:t>§14</w:t>
            </w:r>
          </w:p>
        </w:tc>
      </w:tr>
      <w:tr>
        <w:tc>
          <w:tcPr>
            <w:tcW w:type="dxa" w:w="2880"/>
            <w:vAlign w:val="center"/>
          </w:tcPr>
          <w:p>
            <w:r/>
            <w:r>
              <w:rPr>
                <w:b w:val="0"/>
                <w:sz w:val="16"/>
              </w:rPr>
              <w:t>Week 4 readiness</w:t>
            </w:r>
          </w:p>
        </w:tc>
        <w:tc>
          <w:tcPr>
            <w:tcW w:type="dxa" w:w="5040"/>
            <w:vAlign w:val="center"/>
          </w:tcPr>
          <w:p>
            <w:r/>
            <w:r>
              <w:rPr>
                <w:b w:val="0"/>
                <w:sz w:val="16"/>
              </w:rPr>
              <w:t>Candidate frozen; test set untouched for one final score</w:t>
            </w:r>
          </w:p>
        </w:tc>
        <w:tc>
          <w:tcPr>
            <w:tcW w:type="dxa" w:w="1728"/>
            <w:vAlign w:val="center"/>
          </w:tcPr>
          <w:p>
            <w:r/>
            <w:r>
              <w:rPr>
                <w:b w:val="0"/>
                <w:sz w:val="16"/>
              </w:rPr>
              <w:t>§10, §14</w:t>
            </w:r>
          </w:p>
        </w:tc>
      </w:tr>
    </w:tbl>
    <w:p>
      <w:pPr>
        <w:spacing w:after="20"/>
      </w:pPr>
    </w:p>
    <w:p>
      <w:pPr>
        <w:pStyle w:val="Heading2"/>
        <w:spacing w:before="160" w:after="80"/>
      </w:pPr>
      <w:r>
        <w:t>15.1 Week 4 entry point</w:t>
      </w:r>
    </w:p>
    <w:p>
      <w:pPr>
        <w:spacing w:after="40"/>
        <w:ind w:left="288" w:hanging="216"/>
      </w:pPr>
      <w:r>
        <w:rPr>
          <w:sz w:val="19"/>
        </w:rPr>
        <w:t>• Restart and run the final notebook in a clean environment to confirm reproducibility.</w:t>
      </w:r>
    </w:p>
    <w:p>
      <w:pPr>
        <w:spacing w:after="40"/>
        <w:ind w:left="288" w:hanging="216"/>
      </w:pPr>
      <w:r>
        <w:rPr>
          <w:sz w:val="19"/>
        </w:rPr>
        <w:t>• Load the frozen refined logistic-regression specification without further validation-driven tuning.</w:t>
      </w:r>
    </w:p>
    <w:p>
      <w:pPr>
        <w:spacing w:after="40"/>
        <w:ind w:left="288" w:hanging="216"/>
      </w:pPr>
      <w:r>
        <w:rPr>
          <w:sz w:val="19"/>
        </w:rPr>
        <w:t>• Score the untouched test split once and report ROC-AUC plus the pre-defined supporting metrics.</w:t>
      </w:r>
    </w:p>
    <w:p>
      <w:pPr>
        <w:spacing w:after="40"/>
        <w:ind w:left="288" w:hanging="216"/>
      </w:pPr>
      <w:r>
        <w:rPr>
          <w:sz w:val="19"/>
        </w:rPr>
        <w:t>• Perform final fairness/segment review and document any gap between validation and test performance.</w:t>
      </w:r>
    </w:p>
    <w:p>
      <w:pPr>
        <w:spacing w:after="40"/>
        <w:ind w:left="288" w:hanging="216"/>
      </w:pPr>
      <w:r>
        <w:rPr>
          <w:sz w:val="19"/>
        </w:rPr>
        <w:t>• Prepare final documentation and presentation without reframing Risk_Review_Flag as real fraud detection.</w:t>
      </w:r>
    </w:p>
    <w:p>
      <w:pPr>
        <w:pStyle w:val="Heading1"/>
        <w:spacing w:before="200" w:after="100"/>
      </w:pPr>
      <w:r>
        <w:t>16. Appendices</w:t>
      </w:r>
    </w:p>
    <w:p>
      <w:pPr>
        <w:pStyle w:val="Heading2"/>
        <w:spacing w:before="160" w:after="80"/>
      </w:pPr>
      <w:r>
        <w:t>Appendix A — File manifest</w:t>
      </w:r>
    </w:p>
    <w:tbl>
      <w:tblPr>
        <w:tblW w:type="auto" w:w="0"/>
        <w:jc w:val="center"/>
        <w:tblLook w:firstColumn="1" w:firstRow="1" w:lastColumn="0" w:lastRow="0" w:noHBand="0" w:noVBand="1" w:val="04A0"/>
      </w:tblPr>
      <w:tblGrid>
        <w:gridCol w:w="4513"/>
        <w:gridCol w:w="4513"/>
      </w:tblGrid>
      <w:tr>
        <w:tc>
          <w:tcPr>
            <w:tcW w:type="dxa" w:w="4752"/>
            <w:vAlign w:val="center"/>
            <w:shd w:fill="1F3B63"/>
          </w:tcPr>
          <w:p>
            <w:r/>
            <w:r>
              <w:rPr>
                <w:b/>
                <w:color w:val="FFFFFF"/>
                <w:sz w:val="16"/>
              </w:rPr>
              <w:t>Artifact</w:t>
            </w:r>
          </w:p>
        </w:tc>
        <w:tc>
          <w:tcPr>
            <w:tcW w:type="dxa" w:w="5040"/>
            <w:vAlign w:val="center"/>
            <w:shd w:fill="1F3B63"/>
          </w:tcPr>
          <w:p>
            <w:r/>
            <w:r>
              <w:rPr>
                <w:b/>
                <w:color w:val="FFFFFF"/>
                <w:sz w:val="16"/>
              </w:rPr>
              <w:t>Purpose</w:t>
            </w:r>
          </w:p>
        </w:tc>
      </w:tr>
      <w:tr>
        <w:tc>
          <w:tcPr>
            <w:tcW w:type="dxa" w:w="4752"/>
            <w:vAlign w:val="center"/>
          </w:tcPr>
          <w:p>
            <w:r/>
            <w:r>
              <w:rPr>
                <w:b w:val="0"/>
                <w:sz w:val="16"/>
              </w:rPr>
              <w:t>notebooks/03_week3_model_development_and_validation.ipynb</w:t>
            </w:r>
          </w:p>
        </w:tc>
        <w:tc>
          <w:tcPr>
            <w:tcW w:type="dxa" w:w="5040"/>
            <w:vAlign w:val="center"/>
          </w:tcPr>
          <w:p>
            <w:r/>
            <w:r>
              <w:rPr>
                <w:b w:val="0"/>
                <w:sz w:val="16"/>
              </w:rPr>
              <w:t>Self-contained Week 3 analysis; Google Drive data loading; model development, validation and interpretation.</w:t>
            </w:r>
          </w:p>
        </w:tc>
      </w:tr>
      <w:tr>
        <w:tc>
          <w:tcPr>
            <w:tcW w:type="dxa" w:w="4752"/>
            <w:vAlign w:val="center"/>
            <w:shd w:fill="F3F5F7"/>
          </w:tcPr>
          <w:p>
            <w:r/>
            <w:r>
              <w:rPr>
                <w:b w:val="0"/>
                <w:sz w:val="16"/>
              </w:rPr>
              <w:t>reports/week3/FinTrust_Week3_DataScience_Submission_TJGumbo.docx</w:t>
            </w:r>
          </w:p>
        </w:tc>
        <w:tc>
          <w:tcPr>
            <w:tcW w:type="dxa" w:w="5040"/>
            <w:vAlign w:val="center"/>
            <w:shd w:fill="F3F5F7"/>
          </w:tcPr>
          <w:p>
            <w:r/>
            <w:r>
              <w:rPr>
                <w:b w:val="0"/>
                <w:sz w:val="16"/>
              </w:rPr>
              <w:t>Editable Week 3 report.</w:t>
            </w:r>
          </w:p>
        </w:tc>
      </w:tr>
      <w:tr>
        <w:tc>
          <w:tcPr>
            <w:tcW w:type="dxa" w:w="4752"/>
            <w:vAlign w:val="center"/>
          </w:tcPr>
          <w:p>
            <w:r/>
            <w:r>
              <w:rPr>
                <w:b w:val="0"/>
                <w:sz w:val="16"/>
              </w:rPr>
              <w:t>reports/week3/FinTrust_Week3_DataScience_Submission_TJGumbo.pdf</w:t>
            </w:r>
          </w:p>
        </w:tc>
        <w:tc>
          <w:tcPr>
            <w:tcW w:type="dxa" w:w="5040"/>
            <w:vAlign w:val="center"/>
          </w:tcPr>
          <w:p>
            <w:r/>
            <w:r>
              <w:rPr>
                <w:b w:val="0"/>
                <w:sz w:val="16"/>
              </w:rPr>
              <w:t>Submission-ready Week 3 report.</w:t>
            </w:r>
          </w:p>
        </w:tc>
      </w:tr>
      <w:tr>
        <w:tc>
          <w:tcPr>
            <w:tcW w:type="dxa" w:w="4752"/>
            <w:vAlign w:val="center"/>
            <w:shd w:fill="F3F5F7"/>
          </w:tcPr>
          <w:p>
            <w:r/>
            <w:r>
              <w:rPr>
                <w:b w:val="0"/>
                <w:sz w:val="16"/>
              </w:rPr>
              <w:t>reports/figures/fig15–fig17</w:t>
            </w:r>
          </w:p>
        </w:tc>
        <w:tc>
          <w:tcPr>
            <w:tcW w:type="dxa" w:w="5040"/>
            <w:vAlign w:val="center"/>
            <w:shd w:fill="F3F5F7"/>
          </w:tcPr>
          <w:p>
            <w:r/>
            <w:r>
              <w:rPr>
                <w:b w:val="0"/>
                <w:sz w:val="16"/>
              </w:rPr>
              <w:t>Week 3 model comparison, confusion matrix and permutation-importance figures.</w:t>
            </w:r>
          </w:p>
        </w:tc>
      </w:tr>
      <w:tr>
        <w:tc>
          <w:tcPr>
            <w:tcW w:type="dxa" w:w="4752"/>
            <w:vAlign w:val="center"/>
          </w:tcPr>
          <w:p>
            <w:r/>
            <w:r>
              <w:rPr>
                <w:b w:val="0"/>
                <w:sz w:val="16"/>
              </w:rPr>
              <w:t>README.md</w:t>
            </w:r>
          </w:p>
        </w:tc>
        <w:tc>
          <w:tcPr>
            <w:tcW w:type="dxa" w:w="5040"/>
            <w:vAlign w:val="center"/>
          </w:tcPr>
          <w:p>
            <w:r/>
            <w:r>
              <w:rPr>
                <w:b w:val="0"/>
                <w:sz w:val="16"/>
              </w:rPr>
              <w:t>Current project results, weekly progress and limitations.</w:t>
            </w:r>
          </w:p>
        </w:tc>
      </w:tr>
      <w:tr>
        <w:tc>
          <w:tcPr>
            <w:tcW w:type="dxa" w:w="4752"/>
            <w:vAlign w:val="center"/>
            <w:shd w:fill="F3F5F7"/>
          </w:tcPr>
          <w:p>
            <w:r/>
            <w:r>
              <w:rPr>
                <w:b w:val="0"/>
                <w:sz w:val="16"/>
              </w:rPr>
              <w:t>WEEK3_SUBMISSION_CHECKLIST.md</w:t>
            </w:r>
          </w:p>
        </w:tc>
        <w:tc>
          <w:tcPr>
            <w:tcW w:type="dxa" w:w="5040"/>
            <w:vAlign w:val="center"/>
            <w:shd w:fill="F3F5F7"/>
          </w:tcPr>
          <w:p>
            <w:r/>
            <w:r>
              <w:rPr>
                <w:b w:val="0"/>
                <w:sz w:val="16"/>
              </w:rPr>
              <w:t>Assignment-to-evidence mapping and submission checks.</w:t>
            </w:r>
          </w:p>
        </w:tc>
      </w:tr>
      <w:tr>
        <w:tc>
          <w:tcPr>
            <w:tcW w:type="dxa" w:w="4752"/>
            <w:vAlign w:val="center"/>
          </w:tcPr>
          <w:p>
            <w:r/>
            <w:r>
              <w:rPr>
                <w:b w:val="0"/>
                <w:sz w:val="16"/>
              </w:rPr>
              <w:t>social_posts_week3.md</w:t>
            </w:r>
          </w:p>
        </w:tc>
        <w:tc>
          <w:tcPr>
            <w:tcW w:type="dxa" w:w="5040"/>
            <w:vAlign w:val="center"/>
          </w:tcPr>
          <w:p>
            <w:r/>
            <w:r>
              <w:rPr>
                <w:b w:val="0"/>
                <w:sz w:val="16"/>
              </w:rPr>
              <w:t>LinkedIn and optional X copy for Week 3.</w:t>
            </w:r>
          </w:p>
        </w:tc>
      </w:tr>
    </w:tbl>
    <w:p>
      <w:pPr>
        <w:spacing w:after="20"/>
      </w:pPr>
    </w:p>
    <w:p>
      <w:pPr>
        <w:pStyle w:val="Heading2"/>
        <w:spacing w:before="160" w:after="80"/>
      </w:pPr>
      <w:r>
        <w:t>Appendix B — Reproducibility statement</w:t>
      </w:r>
    </w:p>
    <w:p>
      <w:pPr>
        <w:spacing w:after="100" w:line="252" w:lineRule="auto"/>
      </w:pPr>
      <w:r>
        <w:rPr>
          <w:b w:val="0"/>
          <w:i w:val="0"/>
          <w:sz w:val="19"/>
        </w:rPr>
        <w:t>The analysis uses seed 42 and the original stratified 70/15/15 split created before exploratory analysis or feature fitting. All fitted statistics are learned from training data only. Preprocessing is embedded inside scikit-learn Pipeline/ColumnTransformer objects so cross-validation refits transformations per fold. Validation is used for Week 3 model comparison, threshold selection and interpretation. The test set is not scored in Week 3 and is reserved for one final Week 4 evaluation.</w:t>
      </w:r>
    </w:p>
    <w:p>
      <w:pPr>
        <w:pStyle w:val="Heading2"/>
        <w:spacing w:before="160" w:after="80"/>
      </w:pPr>
      <w:r>
        <w:t>Appendix C — Methodological commitments retained</w:t>
      </w:r>
    </w:p>
    <w:p>
      <w:pPr>
        <w:spacing w:after="40"/>
        <w:ind w:left="288" w:hanging="216"/>
      </w:pPr>
      <w:r>
        <w:rPr>
          <w:sz w:val="19"/>
        </w:rPr>
        <w:t>• Train/validation/test split fixed before EDA or feature engineering: 70/15/15, stratified, seed 42.</w:t>
      </w:r>
    </w:p>
    <w:p>
      <w:pPr>
        <w:spacing w:after="40"/>
        <w:ind w:left="288" w:hanging="216"/>
      </w:pPr>
      <w:r>
        <w:rPr>
          <w:sz w:val="19"/>
        </w:rPr>
        <w:t>• All EDA and fitted statistics use the training split only.</w:t>
      </w:r>
    </w:p>
    <w:p>
      <w:pPr>
        <w:spacing w:after="40"/>
        <w:ind w:left="288" w:hanging="216"/>
      </w:pPr>
      <w:r>
        <w:rPr>
          <w:sz w:val="19"/>
        </w:rPr>
        <w:t>• Test set remains untouched until Week 4.</w:t>
      </w:r>
    </w:p>
    <w:p>
      <w:pPr>
        <w:spacing w:after="40"/>
        <w:ind w:left="288" w:hanging="216"/>
      </w:pPr>
      <w:r>
        <w:rPr>
          <w:sz w:val="19"/>
        </w:rPr>
        <w:t>• Preprocessing remains inside Pipeline/ColumnTransformer objects.</w:t>
      </w:r>
    </w:p>
    <w:p>
      <w:pPr>
        <w:spacing w:after="40"/>
        <w:ind w:left="288" w:hanging="216"/>
      </w:pPr>
      <w:r>
        <w:rPr>
          <w:sz w:val="19"/>
        </w:rPr>
        <w:t>• Primary metric remains ROC-AUC with recall ≥0.70 as the binding constraint.</w:t>
      </w:r>
    </w:p>
    <w:p>
      <w:pPr>
        <w:spacing w:after="40"/>
        <w:ind w:left="288" w:hanging="216"/>
      </w:pPr>
      <w:r>
        <w:rPr>
          <w:sz w:val="19"/>
        </w:rPr>
        <w:t>• Accuracy is reported but excluded from model selection.</w:t>
      </w:r>
    </w:p>
    <w:p>
      <w:pPr>
        <w:spacing w:after="40"/>
        <w:ind w:left="288" w:hanging="216"/>
      </w:pPr>
      <w:r>
        <w:rPr>
          <w:sz w:val="19"/>
        </w:rPr>
        <w:t>• Replacement rule remains literal: a challenger must beat the incumbent by more than the incumbent cross-fold standard deviation.</w:t>
      </w:r>
    </w:p>
    <w:p>
      <w:pPr>
        <w:spacing w:after="40"/>
        <w:ind w:left="288" w:hanging="216"/>
      </w:pPr>
      <w:r>
        <w:rPr>
          <w:sz w:val="19"/>
        </w:rPr>
        <w:t>• Rejected hypotheses remain reported as results.</w:t>
      </w:r>
    </w:p>
    <w:p>
      <w:pPr>
        <w:spacing w:after="40"/>
        <w:ind w:left="288" w:hanging="216"/>
      </w:pPr>
      <w:r>
        <w:rPr>
          <w:sz w:val="19"/>
        </w:rPr>
        <w:t>• Gender remains excluded; weak demographic candidates were removed under fairness scrutiny.</w:t>
      </w:r>
    </w:p>
    <w:p>
      <w:pPr>
        <w:spacing w:after="40"/>
        <w:ind w:left="288" w:hanging="216"/>
      </w:pPr>
      <w:r>
        <w:rPr>
          <w:sz w:val="19"/>
        </w:rPr>
        <w:t>• No result is claimed unless produced by executed code.</w:t>
      </w:r>
    </w:p>
    <w:p>
      <w:pPr>
        <w:pStyle w:val="Heading2"/>
        <w:spacing w:before="160" w:after="80"/>
      </w:pPr>
      <w:r>
        <w:t>Appendix D — Responsible-use statement</w:t>
      </w:r>
    </w:p>
    <w:p>
      <w:pPr>
        <w:spacing w:after="100" w:line="252" w:lineRule="auto"/>
      </w:pPr>
      <w:r>
        <w:rPr>
          <w:b/>
          <w:i w:val="0"/>
          <w:sz w:val="19"/>
        </w:rPr>
        <w:t>This project uses entirely synthetic educational data. Risk_Review_Flag is a synthetic review-prioritisation label and must not be interpreted as real fraud detection, a fraud probability, or an automated basis for adverse customer action. Model outputs are suitable only for educational demonstration of a review-prioritisation workflow. Human oversight, documented target provenance, representative real-world validation, fairness testing and governance would be required before any operational use.</w:t>
      </w:r>
    </w:p>
    <w:sectPr w:rsidR="00C4526A">
      <w:headerReference w:type="default" r:id="rId18"/>
      <w:footerReference w:type="default" r:id="rId1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608D9" w14:textId="77777777" w:rsidR="00127000" w:rsidRDefault="00127000">
      <w:r>
        <w:separator/>
      </w:r>
    </w:p>
  </w:endnote>
  <w:endnote w:type="continuationSeparator" w:id="0">
    <w:p w14:paraId="7BB09F72" w14:textId="77777777" w:rsidR="00127000" w:rsidRDefault="00127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color w:val="8C93A0"/>
        <w:sz w:val="16"/>
      </w:rPr>
      <w:t xml:space="preserve">AnalystLab Africa Experience Lab | Synthetic data — educational use only | 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00A6C" w14:textId="77777777" w:rsidR="00127000" w:rsidRDefault="00127000">
      <w:r>
        <w:separator/>
      </w:r>
    </w:p>
  </w:footnote>
  <w:footnote w:type="continuationSeparator" w:id="0">
    <w:p w14:paraId="5467FFAC" w14:textId="77777777" w:rsidR="00127000" w:rsidRDefault="00127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Bdr>
        <w:bottom w:val="single" w:sz="10" w:color="D4A017"/>
      </w:pBdr>
    </w:pPr>
    <w:r>
      <w:rPr>
        <w:b/>
        <w:color w:val="1F3B63"/>
        <w:sz w:val="16"/>
      </w:rPr>
      <w:t>FinTrust Digital Bank — Week 3 Submission  |  Data Science Track  |  T. J. Gumbo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F42"/>
    <w:multiLevelType w:val="hybridMultilevel"/>
    <w:tmpl w:val="213C735A"/>
    <w:lvl w:ilvl="0" w:tplc="A7B6A4EE">
      <w:start w:val="1"/>
      <w:numFmt w:val="decimal"/>
      <w:lvlText w:val="%1."/>
      <w:lvlJc w:val="left"/>
      <w:pPr>
        <w:ind w:left="460" w:hanging="280"/>
      </w:pPr>
    </w:lvl>
    <w:lvl w:ilvl="1" w:tplc="F01A95D0">
      <w:numFmt w:val="decimal"/>
      <w:lvlText w:val=""/>
      <w:lvlJc w:val="left"/>
    </w:lvl>
    <w:lvl w:ilvl="2" w:tplc="D18A3CCA">
      <w:numFmt w:val="decimal"/>
      <w:lvlText w:val=""/>
      <w:lvlJc w:val="left"/>
    </w:lvl>
    <w:lvl w:ilvl="3" w:tplc="71449BBA">
      <w:numFmt w:val="decimal"/>
      <w:lvlText w:val=""/>
      <w:lvlJc w:val="left"/>
    </w:lvl>
    <w:lvl w:ilvl="4" w:tplc="A540F3F8">
      <w:numFmt w:val="decimal"/>
      <w:lvlText w:val=""/>
      <w:lvlJc w:val="left"/>
    </w:lvl>
    <w:lvl w:ilvl="5" w:tplc="338870FA">
      <w:numFmt w:val="decimal"/>
      <w:lvlText w:val=""/>
      <w:lvlJc w:val="left"/>
    </w:lvl>
    <w:lvl w:ilvl="6" w:tplc="A61C0B6A">
      <w:numFmt w:val="decimal"/>
      <w:lvlText w:val=""/>
      <w:lvlJc w:val="left"/>
    </w:lvl>
    <w:lvl w:ilvl="7" w:tplc="605E58AE">
      <w:numFmt w:val="decimal"/>
      <w:lvlText w:val=""/>
      <w:lvlJc w:val="left"/>
    </w:lvl>
    <w:lvl w:ilvl="8" w:tplc="6B0AEFEC">
      <w:numFmt w:val="decimal"/>
      <w:lvlText w:val=""/>
      <w:lvlJc w:val="left"/>
    </w:lvl>
  </w:abstractNum>
  <w:abstractNum w:abstractNumId="1" w15:restartNumberingAfterBreak="0">
    <w:nsid w:val="3F0D0540"/>
    <w:multiLevelType w:val="hybridMultilevel"/>
    <w:tmpl w:val="3B2ED77C"/>
    <w:lvl w:ilvl="0" w:tplc="6FA0B6FE">
      <w:start w:val="1"/>
      <w:numFmt w:val="decimal"/>
      <w:lvlText w:val="%1."/>
      <w:lvlJc w:val="left"/>
      <w:pPr>
        <w:ind w:left="460" w:hanging="280"/>
      </w:pPr>
    </w:lvl>
    <w:lvl w:ilvl="1" w:tplc="9CB446F2">
      <w:numFmt w:val="decimal"/>
      <w:lvlText w:val=""/>
      <w:lvlJc w:val="left"/>
    </w:lvl>
    <w:lvl w:ilvl="2" w:tplc="2CA07764">
      <w:numFmt w:val="decimal"/>
      <w:lvlText w:val=""/>
      <w:lvlJc w:val="left"/>
    </w:lvl>
    <w:lvl w:ilvl="3" w:tplc="C248BF88">
      <w:numFmt w:val="decimal"/>
      <w:lvlText w:val=""/>
      <w:lvlJc w:val="left"/>
    </w:lvl>
    <w:lvl w:ilvl="4" w:tplc="78A604B2">
      <w:numFmt w:val="decimal"/>
      <w:lvlText w:val=""/>
      <w:lvlJc w:val="left"/>
    </w:lvl>
    <w:lvl w:ilvl="5" w:tplc="6074DA2C">
      <w:numFmt w:val="decimal"/>
      <w:lvlText w:val=""/>
      <w:lvlJc w:val="left"/>
    </w:lvl>
    <w:lvl w:ilvl="6" w:tplc="63DC8D1E">
      <w:numFmt w:val="decimal"/>
      <w:lvlText w:val=""/>
      <w:lvlJc w:val="left"/>
    </w:lvl>
    <w:lvl w:ilvl="7" w:tplc="4142E370">
      <w:numFmt w:val="decimal"/>
      <w:lvlText w:val=""/>
      <w:lvlJc w:val="left"/>
    </w:lvl>
    <w:lvl w:ilvl="8" w:tplc="DA1E2C64">
      <w:numFmt w:val="decimal"/>
      <w:lvlText w:val=""/>
      <w:lvlJc w:val="left"/>
    </w:lvl>
  </w:abstractNum>
  <w:abstractNum w:abstractNumId="2" w15:restartNumberingAfterBreak="0">
    <w:nsid w:val="4092630B"/>
    <w:multiLevelType w:val="hybridMultilevel"/>
    <w:tmpl w:val="EA6259BE"/>
    <w:lvl w:ilvl="0" w:tplc="4A88AD56">
      <w:start w:val="1"/>
      <w:numFmt w:val="decimal"/>
      <w:lvlText w:val="%1."/>
      <w:lvlJc w:val="left"/>
      <w:pPr>
        <w:ind w:left="460" w:hanging="280"/>
      </w:pPr>
    </w:lvl>
    <w:lvl w:ilvl="1" w:tplc="54501970">
      <w:numFmt w:val="decimal"/>
      <w:lvlText w:val=""/>
      <w:lvlJc w:val="left"/>
    </w:lvl>
    <w:lvl w:ilvl="2" w:tplc="4740E7C0">
      <w:numFmt w:val="decimal"/>
      <w:lvlText w:val=""/>
      <w:lvlJc w:val="left"/>
    </w:lvl>
    <w:lvl w:ilvl="3" w:tplc="68ECAA30">
      <w:numFmt w:val="decimal"/>
      <w:lvlText w:val=""/>
      <w:lvlJc w:val="left"/>
    </w:lvl>
    <w:lvl w:ilvl="4" w:tplc="9CF4D35C">
      <w:numFmt w:val="decimal"/>
      <w:lvlText w:val=""/>
      <w:lvlJc w:val="left"/>
    </w:lvl>
    <w:lvl w:ilvl="5" w:tplc="017AE96E">
      <w:numFmt w:val="decimal"/>
      <w:lvlText w:val=""/>
      <w:lvlJc w:val="left"/>
    </w:lvl>
    <w:lvl w:ilvl="6" w:tplc="E7AE9FB6">
      <w:numFmt w:val="decimal"/>
      <w:lvlText w:val=""/>
      <w:lvlJc w:val="left"/>
    </w:lvl>
    <w:lvl w:ilvl="7" w:tplc="7644ADAE">
      <w:numFmt w:val="decimal"/>
      <w:lvlText w:val=""/>
      <w:lvlJc w:val="left"/>
    </w:lvl>
    <w:lvl w:ilvl="8" w:tplc="A02A0C6C">
      <w:numFmt w:val="decimal"/>
      <w:lvlText w:val=""/>
      <w:lvlJc w:val="left"/>
    </w:lvl>
  </w:abstractNum>
  <w:abstractNum w:abstractNumId="3" w15:restartNumberingAfterBreak="0">
    <w:nsid w:val="41813C55"/>
    <w:multiLevelType w:val="hybridMultilevel"/>
    <w:tmpl w:val="79EE35CA"/>
    <w:lvl w:ilvl="0" w:tplc="D30C148C">
      <w:start w:val="1"/>
      <w:numFmt w:val="decimal"/>
      <w:lvlText w:val="%1."/>
      <w:lvlJc w:val="left"/>
      <w:pPr>
        <w:ind w:left="460" w:hanging="280"/>
      </w:pPr>
    </w:lvl>
    <w:lvl w:ilvl="1" w:tplc="C3ECF09A">
      <w:numFmt w:val="decimal"/>
      <w:lvlText w:val=""/>
      <w:lvlJc w:val="left"/>
    </w:lvl>
    <w:lvl w:ilvl="2" w:tplc="D79029DE">
      <w:numFmt w:val="decimal"/>
      <w:lvlText w:val=""/>
      <w:lvlJc w:val="left"/>
    </w:lvl>
    <w:lvl w:ilvl="3" w:tplc="A580BEEE">
      <w:numFmt w:val="decimal"/>
      <w:lvlText w:val=""/>
      <w:lvlJc w:val="left"/>
    </w:lvl>
    <w:lvl w:ilvl="4" w:tplc="5E067692">
      <w:numFmt w:val="decimal"/>
      <w:lvlText w:val=""/>
      <w:lvlJc w:val="left"/>
    </w:lvl>
    <w:lvl w:ilvl="5" w:tplc="4140C590">
      <w:numFmt w:val="decimal"/>
      <w:lvlText w:val=""/>
      <w:lvlJc w:val="left"/>
    </w:lvl>
    <w:lvl w:ilvl="6" w:tplc="C7EE8F64">
      <w:numFmt w:val="decimal"/>
      <w:lvlText w:val=""/>
      <w:lvlJc w:val="left"/>
    </w:lvl>
    <w:lvl w:ilvl="7" w:tplc="9BBC0298">
      <w:numFmt w:val="decimal"/>
      <w:lvlText w:val=""/>
      <w:lvlJc w:val="left"/>
    </w:lvl>
    <w:lvl w:ilvl="8" w:tplc="BA54A3B8">
      <w:numFmt w:val="decimal"/>
      <w:lvlText w:val=""/>
      <w:lvlJc w:val="left"/>
    </w:lvl>
  </w:abstractNum>
  <w:abstractNum w:abstractNumId="4" w15:restartNumberingAfterBreak="0">
    <w:nsid w:val="41EE02D9"/>
    <w:multiLevelType w:val="hybridMultilevel"/>
    <w:tmpl w:val="022E0956"/>
    <w:lvl w:ilvl="0" w:tplc="7A72C9EE">
      <w:start w:val="1"/>
      <w:numFmt w:val="bullet"/>
      <w:lvlText w:val="•"/>
      <w:lvlJc w:val="left"/>
      <w:pPr>
        <w:ind w:left="460" w:hanging="240"/>
      </w:pPr>
    </w:lvl>
    <w:lvl w:ilvl="1" w:tplc="3AA2CE04">
      <w:start w:val="1"/>
      <w:numFmt w:val="bullet"/>
      <w:lvlText w:val="◦"/>
      <w:lvlJc w:val="left"/>
      <w:pPr>
        <w:ind w:left="900" w:hanging="240"/>
      </w:pPr>
    </w:lvl>
    <w:lvl w:ilvl="2" w:tplc="EEE8BB72">
      <w:numFmt w:val="decimal"/>
      <w:lvlText w:val=""/>
      <w:lvlJc w:val="left"/>
    </w:lvl>
    <w:lvl w:ilvl="3" w:tplc="A82878C0">
      <w:numFmt w:val="decimal"/>
      <w:lvlText w:val=""/>
      <w:lvlJc w:val="left"/>
    </w:lvl>
    <w:lvl w:ilvl="4" w:tplc="EB78EF44">
      <w:numFmt w:val="decimal"/>
      <w:lvlText w:val=""/>
      <w:lvlJc w:val="left"/>
    </w:lvl>
    <w:lvl w:ilvl="5" w:tplc="BC0E0566">
      <w:numFmt w:val="decimal"/>
      <w:lvlText w:val=""/>
      <w:lvlJc w:val="left"/>
    </w:lvl>
    <w:lvl w:ilvl="6" w:tplc="7124CBCE">
      <w:numFmt w:val="decimal"/>
      <w:lvlText w:val=""/>
      <w:lvlJc w:val="left"/>
    </w:lvl>
    <w:lvl w:ilvl="7" w:tplc="5CCEE75C">
      <w:numFmt w:val="decimal"/>
      <w:lvlText w:val=""/>
      <w:lvlJc w:val="left"/>
    </w:lvl>
    <w:lvl w:ilvl="8" w:tplc="3EAA8622">
      <w:numFmt w:val="decimal"/>
      <w:lvlText w:val=""/>
      <w:lvlJc w:val="left"/>
    </w:lvl>
  </w:abstractNum>
  <w:abstractNum w:abstractNumId="5" w15:restartNumberingAfterBreak="0">
    <w:nsid w:val="5B4F3409"/>
    <w:multiLevelType w:val="hybridMultilevel"/>
    <w:tmpl w:val="6CFA528A"/>
    <w:lvl w:ilvl="0" w:tplc="E8F6C9A2">
      <w:start w:val="1"/>
      <w:numFmt w:val="bullet"/>
      <w:lvlText w:val="●"/>
      <w:lvlJc w:val="left"/>
      <w:pPr>
        <w:ind w:left="720" w:hanging="360"/>
      </w:pPr>
    </w:lvl>
    <w:lvl w:ilvl="1" w:tplc="C1742C26">
      <w:start w:val="1"/>
      <w:numFmt w:val="bullet"/>
      <w:lvlText w:val="○"/>
      <w:lvlJc w:val="left"/>
      <w:pPr>
        <w:ind w:left="1440" w:hanging="360"/>
      </w:pPr>
    </w:lvl>
    <w:lvl w:ilvl="2" w:tplc="0DF48ABA">
      <w:start w:val="1"/>
      <w:numFmt w:val="bullet"/>
      <w:lvlText w:val="■"/>
      <w:lvlJc w:val="left"/>
      <w:pPr>
        <w:ind w:left="2160" w:hanging="360"/>
      </w:pPr>
    </w:lvl>
    <w:lvl w:ilvl="3" w:tplc="9C1452E2">
      <w:start w:val="1"/>
      <w:numFmt w:val="bullet"/>
      <w:lvlText w:val="●"/>
      <w:lvlJc w:val="left"/>
      <w:pPr>
        <w:ind w:left="2880" w:hanging="360"/>
      </w:pPr>
    </w:lvl>
    <w:lvl w:ilvl="4" w:tplc="09BCD154">
      <w:start w:val="1"/>
      <w:numFmt w:val="bullet"/>
      <w:lvlText w:val="○"/>
      <w:lvlJc w:val="left"/>
      <w:pPr>
        <w:ind w:left="3600" w:hanging="360"/>
      </w:pPr>
    </w:lvl>
    <w:lvl w:ilvl="5" w:tplc="13A873FA">
      <w:start w:val="1"/>
      <w:numFmt w:val="bullet"/>
      <w:lvlText w:val="■"/>
      <w:lvlJc w:val="left"/>
      <w:pPr>
        <w:ind w:left="4320" w:hanging="360"/>
      </w:pPr>
    </w:lvl>
    <w:lvl w:ilvl="6" w:tplc="C66CC2A6">
      <w:start w:val="1"/>
      <w:numFmt w:val="bullet"/>
      <w:lvlText w:val="●"/>
      <w:lvlJc w:val="left"/>
      <w:pPr>
        <w:ind w:left="5040" w:hanging="360"/>
      </w:pPr>
    </w:lvl>
    <w:lvl w:ilvl="7" w:tplc="D17ABB6A">
      <w:start w:val="1"/>
      <w:numFmt w:val="bullet"/>
      <w:lvlText w:val="●"/>
      <w:lvlJc w:val="left"/>
      <w:pPr>
        <w:ind w:left="5760" w:hanging="360"/>
      </w:pPr>
    </w:lvl>
    <w:lvl w:ilvl="8" w:tplc="543288BC">
      <w:start w:val="1"/>
      <w:numFmt w:val="bullet"/>
      <w:lvlText w:val="●"/>
      <w:lvlJc w:val="left"/>
      <w:pPr>
        <w:ind w:left="6480" w:hanging="360"/>
      </w:pPr>
    </w:lvl>
  </w:abstractNum>
  <w:abstractNum w:abstractNumId="6" w15:restartNumberingAfterBreak="0">
    <w:nsid w:val="5DBC4957"/>
    <w:multiLevelType w:val="hybridMultilevel"/>
    <w:tmpl w:val="C144E322"/>
    <w:lvl w:ilvl="0" w:tplc="29F888D8">
      <w:start w:val="1"/>
      <w:numFmt w:val="decimal"/>
      <w:lvlText w:val="%1."/>
      <w:lvlJc w:val="left"/>
      <w:pPr>
        <w:ind w:left="460" w:hanging="280"/>
      </w:pPr>
    </w:lvl>
    <w:lvl w:ilvl="1" w:tplc="312A8AAC">
      <w:numFmt w:val="decimal"/>
      <w:lvlText w:val=""/>
      <w:lvlJc w:val="left"/>
    </w:lvl>
    <w:lvl w:ilvl="2" w:tplc="7CFC69CA">
      <w:numFmt w:val="decimal"/>
      <w:lvlText w:val=""/>
      <w:lvlJc w:val="left"/>
    </w:lvl>
    <w:lvl w:ilvl="3" w:tplc="02F60DE0">
      <w:numFmt w:val="decimal"/>
      <w:lvlText w:val=""/>
      <w:lvlJc w:val="left"/>
    </w:lvl>
    <w:lvl w:ilvl="4" w:tplc="C310C05C">
      <w:numFmt w:val="decimal"/>
      <w:lvlText w:val=""/>
      <w:lvlJc w:val="left"/>
    </w:lvl>
    <w:lvl w:ilvl="5" w:tplc="033A19DC">
      <w:numFmt w:val="decimal"/>
      <w:lvlText w:val=""/>
      <w:lvlJc w:val="left"/>
    </w:lvl>
    <w:lvl w:ilvl="6" w:tplc="60E8281C">
      <w:numFmt w:val="decimal"/>
      <w:lvlText w:val=""/>
      <w:lvlJc w:val="left"/>
    </w:lvl>
    <w:lvl w:ilvl="7" w:tplc="1E784E10">
      <w:numFmt w:val="decimal"/>
      <w:lvlText w:val=""/>
      <w:lvlJc w:val="left"/>
    </w:lvl>
    <w:lvl w:ilvl="8" w:tplc="3FEE0DE4">
      <w:numFmt w:val="decimal"/>
      <w:lvlText w:val=""/>
      <w:lvlJc w:val="left"/>
    </w:lvl>
  </w:abstractNum>
  <w:num w:numId="1" w16cid:durableId="488441907">
    <w:abstractNumId w:val="5"/>
    <w:lvlOverride w:ilvl="0">
      <w:startOverride w:val="1"/>
    </w:lvlOverride>
  </w:num>
  <w:num w:numId="2" w16cid:durableId="2117675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26A"/>
    <w:rsid w:val="00127000"/>
    <w:rsid w:val="001B77FB"/>
    <w:rsid w:val="001F073E"/>
    <w:rsid w:val="00C4526A"/>
    <w:rsid w:val="00EA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6813"/>
  <w15:docId w15:val="{4C9B8198-F2B4-452D-A386-94CD01E06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77FB"/>
    <w:pPr>
      <w:tabs>
        <w:tab w:val="center" w:pos="4680"/>
        <w:tab w:val="right" w:pos="9360"/>
      </w:tabs>
    </w:pPr>
  </w:style>
  <w:style w:type="character" w:customStyle="1" w:styleId="HeaderChar">
    <w:name w:val="Header Char"/>
    <w:basedOn w:val="DefaultParagraphFont"/>
    <w:link w:val="Header"/>
    <w:uiPriority w:val="99"/>
    <w:rsid w:val="001B77FB"/>
  </w:style>
  <w:style w:type="paragraph" w:styleId="Footer">
    <w:name w:val="footer"/>
    <w:basedOn w:val="Normal"/>
    <w:link w:val="FooterChar"/>
    <w:uiPriority w:val="99"/>
    <w:unhideWhenUsed/>
    <w:rsid w:val="001B77FB"/>
    <w:pPr>
      <w:tabs>
        <w:tab w:val="center" w:pos="4680"/>
        <w:tab w:val="right" w:pos="9360"/>
      </w:tabs>
    </w:pPr>
  </w:style>
  <w:style w:type="character" w:customStyle="1" w:styleId="FooterChar">
    <w:name w:val="Footer Char"/>
    <w:basedOn w:val="DefaultParagraphFont"/>
    <w:link w:val="Footer"/>
    <w:uiPriority w:val="99"/>
    <w:rsid w:val="001B7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7911</Words>
  <Characters>45098</Characters>
  <Application>Microsoft Office Word</Application>
  <DocSecurity>0</DocSecurity>
  <Lines>375</Lines>
  <Paragraphs>105</Paragraphs>
  <ScaleCrop>false</ScaleCrop>
  <Company/>
  <LinksUpToDate>false</LinksUpToDate>
  <CharactersWithSpaces>52904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Digital Bank — Week 2 Submission (Data Science Track)</dc:title>
  <dc:creator>Takudzwa Jeffrey Gumbo</dc:creator>
  <dc:description>AnalystLab Africa Experience Lab Internship — Week 2: Analyse &amp; Prepare</dc:description>
  <cp:lastModifiedBy>Takudzwa Gumbo</cp:lastModifiedBy>
  <cp:revision>3</cp:revision>
  <cp:lastPrinted>2026-09-27T16:21:00Z</cp:lastPrinted>
  <dcterms:created xsi:type="dcterms:W3CDTF">2026-09-21T06:44:00Z</dcterms:created>
  <dcterms:modified xsi:type="dcterms:W3CDTF">2026-09-27T16:21:00Z</dcterms:modified>
</cp:coreProperties>
</file>