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017"/>
          <w:sz w:val="22"/>
        </w:rPr>
        <w:t>ANALYSTLAB AFRICA</w:t>
      </w:r>
    </w:p>
    <w:p>
      <w:pPr>
        <w:jc w:val="center"/>
      </w:pPr>
      <w:r>
        <w:rPr>
          <w:b/>
          <w:color w:val="1F3B63"/>
          <w:sz w:val="44"/>
        </w:rPr>
        <w:t>Week 6 Data Quality Report</w:t>
      </w:r>
    </w:p>
    <w:p>
      <w:pPr>
        <w:jc w:val="center"/>
      </w:pPr>
      <w:r>
        <w:rPr>
          <w:color w:val="6F7782"/>
          <w:sz w:val="24"/>
        </w:rPr>
        <w:t>HealthConnect Rwanda - Healthcare Predictive Analytics and Population Health Intelligence</w:t>
      </w:r>
    </w:p>
    <w:p>
      <w:pPr>
        <w:jc w:val="center"/>
      </w:pPr>
      <w:r>
        <w:rPr>
          <w:b/>
        </w:rPr>
        <w:t>Takudzwa Jeffrey Gumbo (TJ) | Data Science Track</w:t>
      </w:r>
    </w:p>
    <w:p>
      <w:pPr>
        <w:jc w:val="center"/>
      </w:pPr>
      <w:r>
        <w:t>Synthetic educational healthcare data. Analytical outputs are not clinical advice or diagnosis.</w:t>
      </w:r>
    </w:p>
    <w:p>
      <w:r>
        <w:rPr>
          <w:rFonts w:ascii="Arial" w:hAnsi="Arial"/>
          <w:b/>
          <w:color w:val="1F3B63"/>
          <w:sz w:val="30"/>
        </w:rPr>
        <w:t>1. Executive finding</w:t>
      </w:r>
    </w:p>
    <w:p>
      <w:pPr>
        <w:spacing w:after="100" w:line="252" w:lineRule="auto"/>
      </w:pPr>
      <w:r>
        <w:rPr>
          <w:rFonts w:ascii="Arial" w:hAnsi="Arial"/>
          <w:sz w:val="19"/>
        </w:rPr>
        <w:t>The supplied package contains 25 CSV files plus a six-sheet Clinical Transactions workbook. The detailed appointment sheet contains 5,000 appointments, while full diagnosis and billing tables extend to 60,000 AppointmentIDs. The enterprise revenue summary reports 60,809 annual appointments. This means the 5,000 detailed appointments are treated as an analytical sample for appointment-level modelling, while enterprise forecasting uses the monthly summary.</w:t>
      </w:r>
    </w:p>
    <w:p>
      <w:r>
        <w:rPr>
          <w:rFonts w:ascii="Arial" w:hAnsi="Arial"/>
          <w:b/>
          <w:color w:val="1F3B63"/>
          <w:sz w:val="30"/>
        </w:rPr>
        <w:t>2. Dataset quality profile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shd w:fill="1F3B63"/>
          </w:tcPr>
          <w:p>
            <w:r/>
            <w:r>
              <w:rPr>
                <w:rFonts w:ascii="Arial" w:hAnsi="Arial"/>
                <w:b/>
                <w:color w:val="FFFFFF"/>
                <w:sz w:val="16"/>
              </w:rPr>
              <w:t>Dataset</w:t>
            </w:r>
          </w:p>
        </w:tc>
        <w:tc>
          <w:tcPr>
            <w:tcW w:type="dxa" w:w="2102"/>
            <w:vAlign w:val="center"/>
            <w:shd w:fill="1F3B63"/>
          </w:tcPr>
          <w:p>
            <w:r/>
            <w:r>
              <w:rPr>
                <w:rFonts w:ascii="Arial" w:hAnsi="Arial"/>
                <w:b/>
                <w:color w:val="FFFFFF"/>
                <w:sz w:val="16"/>
              </w:rPr>
              <w:t>Rows</w:t>
            </w:r>
          </w:p>
        </w:tc>
        <w:tc>
          <w:tcPr>
            <w:tcW w:type="dxa" w:w="2102"/>
            <w:vAlign w:val="center"/>
            <w:shd w:fill="1F3B63"/>
          </w:tcPr>
          <w:p>
            <w:r/>
            <w:r>
              <w:rPr>
                <w:rFonts w:ascii="Arial" w:hAnsi="Arial"/>
                <w:b/>
                <w:color w:val="FFFFFF"/>
                <w:sz w:val="16"/>
              </w:rPr>
              <w:t>Cols</w:t>
            </w:r>
          </w:p>
        </w:tc>
        <w:tc>
          <w:tcPr>
            <w:tcW w:type="dxa" w:w="2102"/>
            <w:vAlign w:val="center"/>
            <w:shd w:fill="1F3B63"/>
          </w:tcPr>
          <w:p>
            <w:r/>
            <w:r>
              <w:rPr>
                <w:rFonts w:ascii="Arial" w:hAnsi="Arial"/>
                <w:b/>
                <w:color w:val="FFFFFF"/>
                <w:sz w:val="16"/>
              </w:rPr>
              <w:t>Missing</w:t>
            </w:r>
          </w:p>
        </w:tc>
        <w:tc>
          <w:tcPr>
            <w:tcW w:type="dxa" w:w="2102"/>
            <w:vAlign w:val="center"/>
            <w:shd w:fill="1F3B63"/>
          </w:tcPr>
          <w:p>
            <w:r/>
            <w:r>
              <w:rPr>
                <w:rFonts w:ascii="Arial" w:hAnsi="Arial"/>
                <w:b/>
                <w:color w:val="FFFFFF"/>
                <w:sz w:val="16"/>
              </w:rPr>
              <w:t>Duplicates</w:t>
            </w:r>
          </w:p>
        </w:tc>
      </w:tr>
      <w:tr>
        <w:tc>
          <w:tcPr>
            <w:tcW w:type="dxa" w:w="2102"/>
            <w:vAlign w:val="center"/>
          </w:tcPr>
          <w:p>
            <w:r/>
            <w:r>
              <w:rPr>
                <w:rFonts w:ascii="Arial" w:hAnsi="Arial"/>
                <w:b w:val="0"/>
                <w:sz w:val="15"/>
              </w:rPr>
              <w:t>Clinical_Admissions</w:t>
            </w:r>
          </w:p>
        </w:tc>
        <w:tc>
          <w:tcPr>
            <w:tcW w:type="dxa" w:w="2102"/>
            <w:vAlign w:val="center"/>
          </w:tcPr>
          <w:p>
            <w:r/>
            <w:r>
              <w:rPr>
                <w:rFonts w:ascii="Arial" w:hAnsi="Arial"/>
                <w:b w:val="0"/>
                <w:sz w:val="15"/>
              </w:rPr>
              <w:t>5,000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Clinical_Appointments</w:t>
            </w:r>
          </w:p>
        </w:tc>
        <w:tc>
          <w:tcPr>
            <w:tcW w:type="dxa" w:w="2102"/>
            <w:vAlign w:val="center"/>
          </w:tcPr>
          <w:p>
            <w:r/>
            <w:r>
              <w:rPr>
                <w:rFonts w:ascii="Arial" w:hAnsi="Arial"/>
                <w:b w:val="0"/>
                <w:sz w:val="15"/>
              </w:rPr>
              <w:t>5,000</w:t>
            </w:r>
          </w:p>
        </w:tc>
        <w:tc>
          <w:tcPr>
            <w:tcW w:type="dxa" w:w="2102"/>
            <w:vAlign w:val="center"/>
          </w:tcPr>
          <w:p>
            <w:r/>
            <w:r>
              <w:rPr>
                <w:rFonts w:ascii="Arial" w:hAnsi="Arial"/>
                <w:b w:val="0"/>
                <w:sz w:val="15"/>
              </w:rPr>
              <w:t>7</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Clinical_Diagnoses</w:t>
            </w:r>
          </w:p>
        </w:tc>
        <w:tc>
          <w:tcPr>
            <w:tcW w:type="dxa" w:w="2102"/>
            <w:vAlign w:val="center"/>
          </w:tcPr>
          <w:p>
            <w:r/>
            <w:r>
              <w:rPr>
                <w:rFonts w:ascii="Arial" w:hAnsi="Arial"/>
                <w:b w:val="0"/>
                <w:sz w:val="15"/>
              </w:rPr>
              <w:t>5,000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Clinical_Laboratory_Tests</w:t>
            </w:r>
          </w:p>
        </w:tc>
        <w:tc>
          <w:tcPr>
            <w:tcW w:type="dxa" w:w="2102"/>
            <w:vAlign w:val="center"/>
          </w:tcPr>
          <w:p>
            <w:r/>
            <w:r>
              <w:rPr>
                <w:rFonts w:ascii="Arial" w:hAnsi="Arial"/>
                <w:b w:val="0"/>
                <w:sz w:val="15"/>
              </w:rPr>
              <w:t>5,000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Clinical_Prescriptions</w:t>
            </w:r>
          </w:p>
        </w:tc>
        <w:tc>
          <w:tcPr>
            <w:tcW w:type="dxa" w:w="2102"/>
            <w:vAlign w:val="center"/>
          </w:tcPr>
          <w:p>
            <w:r/>
            <w:r>
              <w:rPr>
                <w:rFonts w:ascii="Arial" w:hAnsi="Arial"/>
                <w:b w:val="0"/>
                <w:sz w:val="15"/>
              </w:rPr>
              <w:t>5,000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Clinical_Referrals</w:t>
            </w:r>
          </w:p>
        </w:tc>
        <w:tc>
          <w:tcPr>
            <w:tcW w:type="dxa" w:w="2102"/>
            <w:vAlign w:val="center"/>
          </w:tcPr>
          <w:p>
            <w:r/>
            <w:r>
              <w:rPr>
                <w:rFonts w:ascii="Arial" w:hAnsi="Arial"/>
                <w:b w:val="0"/>
                <w:sz w:val="15"/>
              </w:rPr>
              <w:t>4,708</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HCCountries</w:t>
            </w:r>
          </w:p>
        </w:tc>
        <w:tc>
          <w:tcPr>
            <w:tcW w:type="dxa" w:w="2102"/>
            <w:vAlign w:val="center"/>
          </w:tcPr>
          <w:p>
            <w:r/>
            <w:r>
              <w:rPr>
                <w:rFonts w:ascii="Arial" w:hAnsi="Arial"/>
                <w:b w:val="0"/>
                <w:sz w:val="15"/>
              </w:rPr>
              <w:t>1</w:t>
            </w:r>
          </w:p>
        </w:tc>
        <w:tc>
          <w:tcPr>
            <w:tcW w:type="dxa" w:w="2102"/>
            <w:vAlign w:val="center"/>
          </w:tcPr>
          <w:p>
            <w:r/>
            <w:r>
              <w:rPr>
                <w:rFonts w:ascii="Arial" w:hAnsi="Arial"/>
                <w:b w:val="0"/>
                <w:sz w:val="15"/>
              </w:rPr>
              <w:t>6</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HC_Administrative_Staff</w:t>
            </w:r>
          </w:p>
        </w:tc>
        <w:tc>
          <w:tcPr>
            <w:tcW w:type="dxa" w:w="2102"/>
            <w:vAlign w:val="center"/>
          </w:tcPr>
          <w:p>
            <w:r/>
            <w:r>
              <w:rPr>
                <w:rFonts w:ascii="Arial" w:hAnsi="Arial"/>
                <w:b w:val="0"/>
                <w:sz w:val="15"/>
              </w:rPr>
              <w:t>80</w:t>
            </w:r>
          </w:p>
        </w:tc>
        <w:tc>
          <w:tcPr>
            <w:tcW w:type="dxa" w:w="2102"/>
            <w:vAlign w:val="center"/>
          </w:tcPr>
          <w:p>
            <w:r/>
            <w:r>
              <w:rPr>
                <w:rFonts w:ascii="Arial" w:hAnsi="Arial"/>
                <w:b w:val="0"/>
                <w:sz w:val="15"/>
              </w:rPr>
              <w:t>10</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HC_Beds</w:t>
            </w:r>
          </w:p>
        </w:tc>
        <w:tc>
          <w:tcPr>
            <w:tcW w:type="dxa" w:w="2102"/>
            <w:vAlign w:val="center"/>
          </w:tcPr>
          <w:p>
            <w:r/>
            <w:r>
              <w:rPr>
                <w:rFonts w:ascii="Arial" w:hAnsi="Arial"/>
                <w:b w:val="0"/>
                <w:sz w:val="15"/>
              </w:rPr>
              <w:t>2,000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HC_Billing</w:t>
            </w:r>
          </w:p>
        </w:tc>
        <w:tc>
          <w:tcPr>
            <w:tcW w:type="dxa" w:w="2102"/>
            <w:vAlign w:val="center"/>
          </w:tcPr>
          <w:p>
            <w:r/>
            <w:r>
              <w:rPr>
                <w:rFonts w:ascii="Arial" w:hAnsi="Arial"/>
                <w:b w:val="0"/>
                <w:sz w:val="15"/>
              </w:rPr>
              <w:t>60,000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HC_Departments</w:t>
            </w:r>
          </w:p>
        </w:tc>
        <w:tc>
          <w:tcPr>
            <w:tcW w:type="dxa" w:w="2102"/>
            <w:vAlign w:val="center"/>
          </w:tcPr>
          <w:p>
            <w:r/>
            <w:r>
              <w:rPr>
                <w:rFonts w:ascii="Arial" w:hAnsi="Arial"/>
                <w:b w:val="0"/>
                <w:sz w:val="15"/>
              </w:rPr>
              <w:t>200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HC_Diagnoses</w:t>
            </w:r>
          </w:p>
        </w:tc>
        <w:tc>
          <w:tcPr>
            <w:tcW w:type="dxa" w:w="2102"/>
            <w:vAlign w:val="center"/>
          </w:tcPr>
          <w:p>
            <w:r/>
            <w:r>
              <w:rPr>
                <w:rFonts w:ascii="Arial" w:hAnsi="Arial"/>
                <w:b w:val="0"/>
                <w:sz w:val="15"/>
              </w:rPr>
              <w:t>60,000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HC_Districts</w:t>
            </w:r>
          </w:p>
        </w:tc>
        <w:tc>
          <w:tcPr>
            <w:tcW w:type="dxa" w:w="2102"/>
            <w:vAlign w:val="center"/>
          </w:tcPr>
          <w:p>
            <w:r/>
            <w:r>
              <w:rPr>
                <w:rFonts w:ascii="Arial" w:hAnsi="Arial"/>
                <w:b w:val="0"/>
                <w:sz w:val="15"/>
              </w:rPr>
              <w:t>30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HC_Doctor</w:t>
            </w:r>
          </w:p>
        </w:tc>
        <w:tc>
          <w:tcPr>
            <w:tcW w:type="dxa" w:w="2102"/>
            <w:vAlign w:val="center"/>
          </w:tcPr>
          <w:p>
            <w:r/>
            <w:r>
              <w:rPr>
                <w:rFonts w:ascii="Arial" w:hAnsi="Arial"/>
                <w:b w:val="0"/>
                <w:sz w:val="15"/>
              </w:rPr>
              <w:t>350</w:t>
            </w:r>
          </w:p>
        </w:tc>
        <w:tc>
          <w:tcPr>
            <w:tcW w:type="dxa" w:w="2102"/>
            <w:vAlign w:val="center"/>
          </w:tcPr>
          <w:p>
            <w:r/>
            <w:r>
              <w:rPr>
                <w:rFonts w:ascii="Arial" w:hAnsi="Arial"/>
                <w:b w:val="0"/>
                <w:sz w:val="15"/>
              </w:rPr>
              <w:t>10</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HC_Medical_Equipment</w:t>
            </w:r>
          </w:p>
        </w:tc>
        <w:tc>
          <w:tcPr>
            <w:tcW w:type="dxa" w:w="2102"/>
            <w:vAlign w:val="center"/>
          </w:tcPr>
          <w:p>
            <w:r/>
            <w:r>
              <w:rPr>
                <w:rFonts w:ascii="Arial" w:hAnsi="Arial"/>
                <w:b w:val="0"/>
                <w:sz w:val="15"/>
              </w:rPr>
              <w:t>200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HC_Medical_Specialties</w:t>
            </w:r>
          </w:p>
        </w:tc>
        <w:tc>
          <w:tcPr>
            <w:tcW w:type="dxa" w:w="2102"/>
            <w:vAlign w:val="center"/>
          </w:tcPr>
          <w:p>
            <w:r/>
            <w:r>
              <w:rPr>
                <w:rFonts w:ascii="Arial" w:hAnsi="Arial"/>
                <w:b w:val="0"/>
                <w:sz w:val="15"/>
              </w:rPr>
              <w:t>200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HC_Nurse</w:t>
            </w:r>
          </w:p>
        </w:tc>
        <w:tc>
          <w:tcPr>
            <w:tcW w:type="dxa" w:w="2102"/>
            <w:vAlign w:val="center"/>
          </w:tcPr>
          <w:p>
            <w:r/>
            <w:r>
              <w:rPr>
                <w:rFonts w:ascii="Arial" w:hAnsi="Arial"/>
                <w:b w:val="0"/>
                <w:sz w:val="15"/>
              </w:rPr>
              <w:t>700</w:t>
            </w:r>
          </w:p>
        </w:tc>
        <w:tc>
          <w:tcPr>
            <w:tcW w:type="dxa" w:w="2102"/>
            <w:vAlign w:val="center"/>
          </w:tcPr>
          <w:p>
            <w:r/>
            <w:r>
              <w:rPr>
                <w:rFonts w:ascii="Arial" w:hAnsi="Arial"/>
                <w:b w:val="0"/>
                <w:sz w:val="15"/>
              </w:rPr>
              <w:t>10</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HC_Ownership_Types</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2</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HC_Patient_Feedback</w:t>
            </w:r>
          </w:p>
        </w:tc>
        <w:tc>
          <w:tcPr>
            <w:tcW w:type="dxa" w:w="2102"/>
            <w:vAlign w:val="center"/>
          </w:tcPr>
          <w:p>
            <w:r/>
            <w:r>
              <w:rPr>
                <w:rFonts w:ascii="Arial" w:hAnsi="Arial"/>
                <w:b w:val="0"/>
                <w:sz w:val="15"/>
              </w:rPr>
              <w:t>21,064</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HC_Patients</w:t>
            </w:r>
          </w:p>
        </w:tc>
        <w:tc>
          <w:tcPr>
            <w:tcW w:type="dxa" w:w="2102"/>
            <w:vAlign w:val="center"/>
          </w:tcPr>
          <w:p>
            <w:r/>
            <w:r>
              <w:rPr>
                <w:rFonts w:ascii="Arial" w:hAnsi="Arial"/>
                <w:b w:val="0"/>
                <w:sz w:val="15"/>
              </w:rPr>
              <w:t>20,000</w:t>
            </w:r>
          </w:p>
        </w:tc>
        <w:tc>
          <w:tcPr>
            <w:tcW w:type="dxa" w:w="2102"/>
            <w:vAlign w:val="center"/>
          </w:tcPr>
          <w:p>
            <w:r/>
            <w:r>
              <w:rPr>
                <w:rFonts w:ascii="Arial" w:hAnsi="Arial"/>
                <w:b w:val="0"/>
                <w:sz w:val="15"/>
              </w:rPr>
              <w:t>19</w:t>
            </w:r>
          </w:p>
        </w:tc>
        <w:tc>
          <w:tcPr>
            <w:tcW w:type="dxa" w:w="2102"/>
            <w:vAlign w:val="center"/>
          </w:tcPr>
          <w:p>
            <w:r/>
            <w:r>
              <w:rPr>
                <w:rFonts w:ascii="Arial" w:hAnsi="Arial"/>
                <w:b w:val="0"/>
                <w:sz w:val="15"/>
              </w:rPr>
              <w:t>5,071</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HC_Payments</w:t>
            </w:r>
          </w:p>
        </w:tc>
        <w:tc>
          <w:tcPr>
            <w:tcW w:type="dxa" w:w="2102"/>
            <w:vAlign w:val="center"/>
          </w:tcPr>
          <w:p>
            <w:r/>
            <w:r>
              <w:rPr>
                <w:rFonts w:ascii="Arial" w:hAnsi="Arial"/>
                <w:b w:val="0"/>
                <w:sz w:val="15"/>
              </w:rPr>
              <w:t>60,000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HC_Provinces</w:t>
            </w:r>
          </w:p>
        </w:tc>
        <w:tc>
          <w:tcPr>
            <w:tcW w:type="dxa" w:w="2102"/>
            <w:vAlign w:val="center"/>
          </w:tcPr>
          <w:p>
            <w:r/>
            <w:r>
              <w:rPr>
                <w:rFonts w:ascii="Arial" w:hAnsi="Arial"/>
                <w:b w:val="0"/>
                <w:sz w:val="15"/>
              </w:rPr>
              <w:t>5</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HC_Radiographer</w:t>
            </w:r>
          </w:p>
        </w:tc>
        <w:tc>
          <w:tcPr>
            <w:tcW w:type="dxa" w:w="2102"/>
            <w:vAlign w:val="center"/>
          </w:tcPr>
          <w:p>
            <w:r/>
            <w:r>
              <w:rPr>
                <w:rFonts w:ascii="Arial" w:hAnsi="Arial"/>
                <w:b w:val="0"/>
                <w:sz w:val="15"/>
              </w:rPr>
              <w:t>30</w:t>
            </w:r>
          </w:p>
        </w:tc>
        <w:tc>
          <w:tcPr>
            <w:tcW w:type="dxa" w:w="2102"/>
            <w:vAlign w:val="center"/>
          </w:tcPr>
          <w:p>
            <w:r/>
            <w:r>
              <w:rPr>
                <w:rFonts w:ascii="Arial" w:hAnsi="Arial"/>
                <w:b w:val="0"/>
                <w:sz w:val="15"/>
              </w:rPr>
              <w:t>10</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HC_Revenue_Summary</w:t>
            </w:r>
          </w:p>
        </w:tc>
        <w:tc>
          <w:tcPr>
            <w:tcW w:type="dxa" w:w="2102"/>
            <w:vAlign w:val="center"/>
          </w:tcPr>
          <w:p>
            <w:r/>
            <w:r>
              <w:rPr>
                <w:rFonts w:ascii="Arial" w:hAnsi="Arial"/>
                <w:b w:val="0"/>
                <w:sz w:val="15"/>
              </w:rPr>
              <w:t>12</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HC_Rooms</w:t>
            </w:r>
          </w:p>
        </w:tc>
        <w:tc>
          <w:tcPr>
            <w:tcW w:type="dxa" w:w="2102"/>
            <w:vAlign w:val="center"/>
          </w:tcPr>
          <w:p>
            <w:r/>
            <w:r>
              <w:rPr>
                <w:rFonts w:ascii="Arial" w:hAnsi="Arial"/>
                <w:b w:val="0"/>
                <w:sz w:val="15"/>
              </w:rPr>
              <w:t>400</w:t>
            </w:r>
          </w:p>
        </w:tc>
        <w:tc>
          <w:tcPr>
            <w:tcW w:type="dxa" w:w="2102"/>
            <w:vAlign w:val="center"/>
          </w:tcPr>
          <w:p>
            <w:r/>
            <w:r>
              <w:rPr>
                <w:rFonts w:ascii="Arial" w:hAnsi="Arial"/>
                <w:b w:val="0"/>
                <w:sz w:val="15"/>
              </w:rPr>
              <w:t>4</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HC_Sectors</w:t>
            </w:r>
          </w:p>
        </w:tc>
        <w:tc>
          <w:tcPr>
            <w:tcW w:type="dxa" w:w="2102"/>
            <w:vAlign w:val="center"/>
          </w:tcPr>
          <w:p>
            <w:r/>
            <w:r>
              <w:rPr>
                <w:rFonts w:ascii="Arial" w:hAnsi="Arial"/>
                <w:b w:val="0"/>
                <w:sz w:val="15"/>
              </w:rPr>
              <w:t>120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HC_Services</w:t>
            </w:r>
          </w:p>
        </w:tc>
        <w:tc>
          <w:tcPr>
            <w:tcW w:type="dxa" w:w="2102"/>
            <w:vAlign w:val="center"/>
          </w:tcPr>
          <w:p>
            <w:r/>
            <w:r>
              <w:rPr>
                <w:rFonts w:ascii="Arial" w:hAnsi="Arial"/>
                <w:b w:val="0"/>
                <w:sz w:val="15"/>
              </w:rPr>
              <w:t>400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HC_Villages</w:t>
            </w:r>
          </w:p>
        </w:tc>
        <w:tc>
          <w:tcPr>
            <w:tcW w:type="dxa" w:w="2102"/>
            <w:vAlign w:val="center"/>
          </w:tcPr>
          <w:p>
            <w:r/>
            <w:r>
              <w:rPr>
                <w:rFonts w:ascii="Arial" w:hAnsi="Arial"/>
                <w:b w:val="0"/>
                <w:sz w:val="15"/>
              </w:rPr>
              <w:t>480</w:t>
            </w:r>
          </w:p>
        </w:tc>
        <w:tc>
          <w:tcPr>
            <w:tcW w:type="dxa" w:w="2102"/>
            <w:vAlign w:val="center"/>
          </w:tcPr>
          <w:p>
            <w:r/>
            <w:r>
              <w:rPr>
                <w:rFonts w:ascii="Arial" w:hAnsi="Arial"/>
                <w:b w:val="0"/>
                <w:sz w:val="15"/>
              </w:rPr>
              <w:t>3</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Insurance_Claims</w:t>
            </w:r>
          </w:p>
        </w:tc>
        <w:tc>
          <w:tcPr>
            <w:tcW w:type="dxa" w:w="2102"/>
            <w:vAlign w:val="center"/>
          </w:tcPr>
          <w:p>
            <w:r/>
            <w:r>
              <w:rPr>
                <w:rFonts w:ascii="Arial" w:hAnsi="Arial"/>
                <w:b w:val="0"/>
                <w:sz w:val="15"/>
              </w:rPr>
              <w:t>42,036</w:t>
            </w:r>
          </w:p>
        </w:tc>
        <w:tc>
          <w:tcPr>
            <w:tcW w:type="dxa" w:w="2102"/>
            <w:vAlign w:val="center"/>
          </w:tcPr>
          <w:p>
            <w:r/>
            <w:r>
              <w:rPr>
                <w:rFonts w:ascii="Arial" w:hAnsi="Arial"/>
                <w:b w:val="0"/>
                <w:sz w:val="15"/>
              </w:rPr>
              <w:t>5</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Laboratory_Scientist</w:t>
            </w:r>
          </w:p>
        </w:tc>
        <w:tc>
          <w:tcPr>
            <w:tcW w:type="dxa" w:w="2102"/>
            <w:vAlign w:val="center"/>
          </w:tcPr>
          <w:p>
            <w:r/>
            <w:r>
              <w:rPr>
                <w:rFonts w:ascii="Arial" w:hAnsi="Arial"/>
                <w:b w:val="0"/>
                <w:sz w:val="15"/>
              </w:rPr>
              <w:t>40</w:t>
            </w:r>
          </w:p>
        </w:tc>
        <w:tc>
          <w:tcPr>
            <w:tcW w:type="dxa" w:w="2102"/>
            <w:vAlign w:val="center"/>
          </w:tcPr>
          <w:p>
            <w:r/>
            <w:r>
              <w:rPr>
                <w:rFonts w:ascii="Arial" w:hAnsi="Arial"/>
                <w:b w:val="0"/>
                <w:sz w:val="15"/>
              </w:rPr>
              <w:t>10</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r>
        <w:tc>
          <w:tcPr>
            <w:tcW w:type="dxa" w:w="2102"/>
            <w:vAlign w:val="center"/>
          </w:tcPr>
          <w:p>
            <w:r/>
            <w:r>
              <w:rPr>
                <w:rFonts w:ascii="Arial" w:hAnsi="Arial"/>
                <w:b w:val="0"/>
                <w:sz w:val="15"/>
              </w:rPr>
              <w:t>Pharmacist</w:t>
            </w:r>
          </w:p>
        </w:tc>
        <w:tc>
          <w:tcPr>
            <w:tcW w:type="dxa" w:w="2102"/>
            <w:vAlign w:val="center"/>
          </w:tcPr>
          <w:p>
            <w:r/>
            <w:r>
              <w:rPr>
                <w:rFonts w:ascii="Arial" w:hAnsi="Arial"/>
                <w:b w:val="0"/>
                <w:sz w:val="15"/>
              </w:rPr>
              <w:t>50</w:t>
            </w:r>
          </w:p>
        </w:tc>
        <w:tc>
          <w:tcPr>
            <w:tcW w:type="dxa" w:w="2102"/>
            <w:vAlign w:val="center"/>
          </w:tcPr>
          <w:p>
            <w:r/>
            <w:r>
              <w:rPr>
                <w:rFonts w:ascii="Arial" w:hAnsi="Arial"/>
                <w:b w:val="0"/>
                <w:sz w:val="15"/>
              </w:rPr>
              <w:t>10</w:t>
            </w:r>
          </w:p>
        </w:tc>
        <w:tc>
          <w:tcPr>
            <w:tcW w:type="dxa" w:w="2102"/>
            <w:vAlign w:val="center"/>
          </w:tcPr>
          <w:p>
            <w:r/>
            <w:r>
              <w:rPr>
                <w:rFonts w:ascii="Arial" w:hAnsi="Arial"/>
                <w:b w:val="0"/>
                <w:sz w:val="15"/>
              </w:rPr>
              <w:t>0</w:t>
            </w:r>
          </w:p>
        </w:tc>
        <w:tc>
          <w:tcPr>
            <w:tcW w:type="dxa" w:w="2102"/>
            <w:vAlign w:val="center"/>
          </w:tcPr>
          <w:p>
            <w:r/>
            <w:r>
              <w:rPr>
                <w:rFonts w:ascii="Arial" w:hAnsi="Arial"/>
                <w:b w:val="0"/>
                <w:sz w:val="15"/>
              </w:rPr>
              <w:t>0</w:t>
            </w:r>
          </w:p>
        </w:tc>
      </w:tr>
    </w:tbl>
    <w:p>
      <w:pPr>
        <w:pageBreakBefore/>
      </w:pPr>
      <w:r>
        <w:rPr>
          <w:rFonts w:ascii="Arial" w:hAnsi="Arial"/>
          <w:b/>
          <w:color w:val="1F3B63"/>
          <w:sz w:val="30"/>
        </w:rPr>
        <w:t>3. Relationship validation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F3B63"/>
          </w:tcPr>
          <w:p>
            <w:r/>
            <w:r>
              <w:rPr>
                <w:rFonts w:ascii="Arial" w:hAnsi="Arial"/>
                <w:b/>
                <w:color w:val="FFFFFF"/>
                <w:sz w:val="16"/>
              </w:rPr>
              <w:t>Relationship</w:t>
            </w:r>
          </w:p>
        </w:tc>
        <w:tc>
          <w:tcPr>
            <w:tcW w:type="dxa" w:w="3504"/>
            <w:vAlign w:val="center"/>
            <w:shd w:fill="1F3B63"/>
          </w:tcPr>
          <w:p>
            <w:r/>
            <w:r>
              <w:rPr>
                <w:rFonts w:ascii="Arial" w:hAnsi="Arial"/>
                <w:b/>
                <w:color w:val="FFFFFF"/>
                <w:sz w:val="16"/>
              </w:rPr>
              <w:t>Unmatched</w:t>
            </w:r>
          </w:p>
        </w:tc>
        <w:tc>
          <w:tcPr>
            <w:tcW w:type="dxa" w:w="3504"/>
            <w:vAlign w:val="center"/>
            <w:shd w:fill="1F3B63"/>
          </w:tcPr>
          <w:p>
            <w:r/>
            <w:r>
              <w:rPr>
                <w:rFonts w:ascii="Arial" w:hAnsi="Arial"/>
                <w:b/>
                <w:color w:val="FFFFFF"/>
                <w:sz w:val="16"/>
              </w:rPr>
              <w:t>Match rate</w:t>
            </w:r>
          </w:p>
        </w:tc>
      </w:tr>
      <w:tr>
        <w:tc>
          <w:tcPr>
            <w:tcW w:type="dxa" w:w="3504"/>
            <w:vAlign w:val="center"/>
          </w:tcPr>
          <w:p>
            <w:r/>
            <w:r>
              <w:rPr>
                <w:rFonts w:ascii="Arial" w:hAnsi="Arial"/>
                <w:b w:val="0"/>
                <w:sz w:val="15"/>
              </w:rPr>
              <w:t>Patients.VillageID -&gt; Villages.VillageID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r>
        <w:tc>
          <w:tcPr>
            <w:tcW w:type="dxa" w:w="3504"/>
            <w:vAlign w:val="center"/>
          </w:tcPr>
          <w:p>
            <w:r/>
            <w:r>
              <w:rPr>
                <w:rFonts w:ascii="Arial" w:hAnsi="Arial"/>
                <w:b w:val="0"/>
                <w:sz w:val="15"/>
              </w:rPr>
              <w:t>Appointments.PatientID -&gt; Patients.PatientID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r>
        <w:tc>
          <w:tcPr>
            <w:tcW w:type="dxa" w:w="3504"/>
            <w:vAlign w:val="center"/>
          </w:tcPr>
          <w:p>
            <w:r/>
            <w:r>
              <w:rPr>
                <w:rFonts w:ascii="Arial" w:hAnsi="Arial"/>
                <w:b w:val="0"/>
                <w:sz w:val="15"/>
              </w:rPr>
              <w:t>Appointments.DoctorID -&gt; Doctors.StaffID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r>
        <w:tc>
          <w:tcPr>
            <w:tcW w:type="dxa" w:w="3504"/>
            <w:vAlign w:val="center"/>
          </w:tcPr>
          <w:p>
            <w:r/>
            <w:r>
              <w:rPr>
                <w:rFonts w:ascii="Arial" w:hAnsi="Arial"/>
                <w:b w:val="0"/>
                <w:sz w:val="15"/>
              </w:rPr>
              <w:t>Appointments.DepartmentID -&gt; Departments.DepartmentID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r>
        <w:tc>
          <w:tcPr>
            <w:tcW w:type="dxa" w:w="3504"/>
            <w:vAlign w:val="center"/>
          </w:tcPr>
          <w:p>
            <w:r/>
            <w:r>
              <w:rPr>
                <w:rFonts w:ascii="Arial" w:hAnsi="Arial"/>
                <w:b w:val="0"/>
                <w:sz w:val="15"/>
              </w:rPr>
              <w:t>Diagnoses.AppointmentID -&gt; detailed Appointments</w:t>
            </w:r>
          </w:p>
        </w:tc>
        <w:tc>
          <w:tcPr>
            <w:tcW w:type="dxa" w:w="3504"/>
            <w:vAlign w:val="center"/>
          </w:tcPr>
          <w:p>
            <w:r/>
            <w:r>
              <w:rPr>
                <w:rFonts w:ascii="Arial" w:hAnsi="Arial"/>
                <w:b w:val="0"/>
                <w:sz w:val="15"/>
              </w:rPr>
              <w:t>55,000</w:t>
            </w:r>
          </w:p>
        </w:tc>
        <w:tc>
          <w:tcPr>
            <w:tcW w:type="dxa" w:w="3504"/>
            <w:vAlign w:val="center"/>
          </w:tcPr>
          <w:p>
            <w:r/>
            <w:r>
              <w:rPr>
                <w:rFonts w:ascii="Arial" w:hAnsi="Arial"/>
                <w:b w:val="0"/>
                <w:sz w:val="15"/>
              </w:rPr>
              <w:t>8.3%</w:t>
            </w:r>
          </w:p>
        </w:tc>
      </w:tr>
      <w:tr>
        <w:tc>
          <w:tcPr>
            <w:tcW w:type="dxa" w:w="3504"/>
            <w:vAlign w:val="center"/>
          </w:tcPr>
          <w:p>
            <w:r/>
            <w:r>
              <w:rPr>
                <w:rFonts w:ascii="Arial" w:hAnsi="Arial"/>
                <w:b w:val="0"/>
                <w:sz w:val="15"/>
              </w:rPr>
              <w:t>Billing.AppointmentID -&gt; detailed Appointments</w:t>
            </w:r>
          </w:p>
        </w:tc>
        <w:tc>
          <w:tcPr>
            <w:tcW w:type="dxa" w:w="3504"/>
            <w:vAlign w:val="center"/>
          </w:tcPr>
          <w:p>
            <w:r/>
            <w:r>
              <w:rPr>
                <w:rFonts w:ascii="Arial" w:hAnsi="Arial"/>
                <w:b w:val="0"/>
                <w:sz w:val="15"/>
              </w:rPr>
              <w:t>55,000</w:t>
            </w:r>
          </w:p>
        </w:tc>
        <w:tc>
          <w:tcPr>
            <w:tcW w:type="dxa" w:w="3504"/>
            <w:vAlign w:val="center"/>
          </w:tcPr>
          <w:p>
            <w:r/>
            <w:r>
              <w:rPr>
                <w:rFonts w:ascii="Arial" w:hAnsi="Arial"/>
                <w:b w:val="0"/>
                <w:sz w:val="15"/>
              </w:rPr>
              <w:t>8.3%</w:t>
            </w:r>
          </w:p>
        </w:tc>
      </w:tr>
      <w:tr>
        <w:tc>
          <w:tcPr>
            <w:tcW w:type="dxa" w:w="3504"/>
            <w:vAlign w:val="center"/>
          </w:tcPr>
          <w:p>
            <w:r/>
            <w:r>
              <w:rPr>
                <w:rFonts w:ascii="Arial" w:hAnsi="Arial"/>
                <w:b w:val="0"/>
                <w:sz w:val="15"/>
              </w:rPr>
              <w:t>Feedback.AppointmentID -&gt; detailed Appointments</w:t>
            </w:r>
          </w:p>
        </w:tc>
        <w:tc>
          <w:tcPr>
            <w:tcW w:type="dxa" w:w="3504"/>
            <w:vAlign w:val="center"/>
          </w:tcPr>
          <w:p>
            <w:r/>
            <w:r>
              <w:rPr>
                <w:rFonts w:ascii="Arial" w:hAnsi="Arial"/>
                <w:b w:val="0"/>
                <w:sz w:val="15"/>
              </w:rPr>
              <w:t>19,308</w:t>
            </w:r>
          </w:p>
        </w:tc>
        <w:tc>
          <w:tcPr>
            <w:tcW w:type="dxa" w:w="3504"/>
            <w:vAlign w:val="center"/>
          </w:tcPr>
          <w:p>
            <w:r/>
            <w:r>
              <w:rPr>
                <w:rFonts w:ascii="Arial" w:hAnsi="Arial"/>
                <w:b w:val="0"/>
                <w:sz w:val="15"/>
              </w:rPr>
              <w:t>8.3%</w:t>
            </w:r>
          </w:p>
        </w:tc>
      </w:tr>
      <w:tr>
        <w:tc>
          <w:tcPr>
            <w:tcW w:type="dxa" w:w="3504"/>
            <w:vAlign w:val="center"/>
          </w:tcPr>
          <w:p>
            <w:r/>
            <w:r>
              <w:rPr>
                <w:rFonts w:ascii="Arial" w:hAnsi="Arial"/>
                <w:b w:val="0"/>
                <w:sz w:val="15"/>
              </w:rPr>
              <w:t>Beds.RoomID -&gt; Rooms.RoomID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r>
        <w:tc>
          <w:tcPr>
            <w:tcW w:type="dxa" w:w="3504"/>
            <w:vAlign w:val="center"/>
          </w:tcPr>
          <w:p>
            <w:r/>
            <w:r>
              <w:rPr>
                <w:rFonts w:ascii="Arial" w:hAnsi="Arial"/>
                <w:b w:val="0"/>
                <w:sz w:val="15"/>
              </w:rPr>
              <w:t>Rooms.DepartmentID -&gt; Departments.DepartmentID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r>
        <w:tc>
          <w:tcPr>
            <w:tcW w:type="dxa" w:w="3504"/>
            <w:vAlign w:val="center"/>
          </w:tcPr>
          <w:p>
            <w:r/>
            <w:r>
              <w:rPr>
                <w:rFonts w:ascii="Arial" w:hAnsi="Arial"/>
                <w:b w:val="0"/>
                <w:sz w:val="15"/>
              </w:rPr>
              <w:t>Equipment.DepartmentID -&gt; Departments.DepartmentID</w:t>
            </w:r>
          </w:p>
        </w:tc>
        <w:tc>
          <w:tcPr>
            <w:tcW w:type="dxa" w:w="3504"/>
            <w:vAlign w:val="center"/>
          </w:tcPr>
          <w:p>
            <w:r/>
            <w:r>
              <w:rPr>
                <w:rFonts w:ascii="Arial" w:hAnsi="Arial"/>
                <w:b w:val="0"/>
                <w:sz w:val="15"/>
              </w:rPr>
              <w:t>0</w:t>
            </w:r>
          </w:p>
        </w:tc>
        <w:tc>
          <w:tcPr>
            <w:tcW w:type="dxa" w:w="3504"/>
            <w:vAlign w:val="center"/>
          </w:tcPr>
          <w:p>
            <w:r/>
            <w:r>
              <w:rPr>
                <w:rFonts w:ascii="Arial" w:hAnsi="Arial"/>
                <w:b w:val="0"/>
                <w:sz w:val="15"/>
              </w:rPr>
              <w:t>100.0%</w:t>
            </w:r>
          </w:p>
        </w:tc>
      </w:tr>
    </w:tbl>
    <w:p>
      <w:r>
        <w:rPr>
          <w:rFonts w:ascii="Arial" w:hAnsi="Arial"/>
          <w:b/>
          <w:color w:val="1F3B63"/>
          <w:sz w:val="30"/>
        </w:rPr>
        <w:t>4. Material data limitations</w:t>
      </w:r>
    </w:p>
    <w:p>
      <w:pPr>
        <w:spacing w:after="100" w:line="252" w:lineRule="auto"/>
      </w:pPr>
      <w:r>
        <w:rPr>
          <w:rFonts w:ascii="Arial" w:hAnsi="Arial"/>
          <w:sz w:val="19"/>
        </w:rPr>
        <w:t>Health Facilities master missing: FacilityID values HF001-HF020 are used throughout the data, but no supplied table defines facility names, types, ownership or geographic links. Facility reporting therefore remains anonymised by FacilityID.</w:t>
      </w:r>
    </w:p>
    <w:p>
      <w:pPr>
        <w:spacing w:after="100" w:line="252" w:lineRule="auto"/>
      </w:pPr>
      <w:r>
        <w:rPr>
          <w:rFonts w:ascii="Arial" w:hAnsi="Arial"/>
          <w:sz w:val="19"/>
        </w:rPr>
        <w:t>Department-Facility hierarchy inconsistency: only 5.1% of appointment DepartmentID-FacilityID pairs match the Department master; doctors and nurses show similarly low consistency, while Rooms and Medical Equipment are fully consistent. DepartmentID is therefore used for department labels, but the Department master is not treated as a reliable cross-facility hierarchy for appointments/staff.</w:t>
      </w:r>
    </w:p>
    <w:p>
      <w:pPr>
        <w:spacing w:after="100" w:line="252" w:lineRule="auto"/>
      </w:pPr>
      <w:r>
        <w:rPr>
          <w:rFonts w:ascii="Arial" w:hAnsi="Arial"/>
          <w:sz w:val="19"/>
        </w:rPr>
        <w:t>Insurance coverage comparison requested in the brief cannot be performed as insured vs uninsured because every patient record contains an InsuranceID. Alternative supported statistical comparisons are used instead.</w:t>
      </w:r>
    </w:p>
    <w:p>
      <w:pPr>
        <w:spacing w:after="100" w:line="252" w:lineRule="auto"/>
      </w:pPr>
      <w:r>
        <w:rPr>
          <w:rFonts w:ascii="Arial" w:hAnsi="Arial"/>
          <w:sz w:val="19"/>
        </w:rPr>
        <w:t>All 2,000 supplied beds are marked Available. This variable therefore has no variation and cannot support meaningful bed-occupancy prediction or facility capacity ranking.</w:t>
      </w:r>
    </w:p>
    <w:p>
      <w:r>
        <w:rPr>
          <w:rFonts w:ascii="Arial" w:hAnsi="Arial"/>
          <w:b/>
          <w:color w:val="1F3B63"/>
          <w:sz w:val="30"/>
        </w:rPr>
        <w:t>5. Responsible-use decision</w:t>
      </w:r>
    </w:p>
    <w:p>
      <w:pPr>
        <w:spacing w:after="100" w:line="252" w:lineRule="auto"/>
      </w:pPr>
      <w:r>
        <w:rPr>
          <w:rFonts w:ascii="Arial" w:hAnsi="Arial"/>
          <w:sz w:val="19"/>
        </w:rPr>
        <w:t>No missing facility names, ownerships or geographic facility mappings are fabricated. The HighRiskPatientIndicator is a transparent educational heuristic for feature-engineering demonstration only; it must not be used for clinical triage or care decisions.</w:t>
      </w:r>
    </w:p>
    <w:p>
      <w:r>
        <w:rPr>
          <w:b/>
          <w:color w:val="1F3B63"/>
          <w:sz w:val="30"/>
        </w:rPr>
        <w:t>6. Analytical relationship map</w:t>
      </w:r>
    </w:p>
    <w:p>
      <w:pPr>
        <w:jc w:val="center"/>
      </w:pPr>
      <w:r>
        <w:drawing>
          <wp:inline xmlns:a="http://schemas.openxmlformats.org/drawingml/2006/main" xmlns:pic="http://schemas.openxmlformats.org/drawingml/2006/picture">
            <wp:extent cx="6126480" cy="3553988"/>
            <wp:docPr id="1" name="Picture 1"/>
            <wp:cNvGraphicFramePr>
              <a:graphicFrameLocks noChangeAspect="1"/>
            </wp:cNvGraphicFramePr>
            <a:graphic>
              <a:graphicData uri="http://schemas.openxmlformats.org/drawingml/2006/picture">
                <pic:pic>
                  <pic:nvPicPr>
                    <pic:cNvPr id="0" name="fig27_relationship_map.png"/>
                    <pic:cNvPicPr/>
                  </pic:nvPicPr>
                  <pic:blipFill>
                    <a:blip r:embed="rId9"/>
                    <a:stretch>
                      <a:fillRect/>
                    </a:stretch>
                  </pic:blipFill>
                  <pic:spPr>
                    <a:xfrm>
                      <a:off x="0" y="0"/>
                      <a:ext cx="6126480" cy="3553988"/>
                    </a:xfrm>
                    <a:prstGeom prst="rect"/>
                  </pic:spPr>
                </pic:pic>
              </a:graphicData>
            </a:graphic>
          </wp:inline>
        </w:drawing>
      </w:r>
    </w:p>
    <w:p>
      <w:pPr>
        <w:jc w:val="center"/>
      </w:pPr>
      <w:r>
        <w:rPr>
          <w:i/>
          <w:sz w:val="16"/>
        </w:rPr>
        <w:t>Figure 1. Validated analytical relationships and known master-data limitations.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