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017"/>
          <w:sz w:val="22"/>
        </w:rPr>
        <w:t>ANALYSTLAB AFRICA</w:t>
      </w:r>
    </w:p>
    <w:p>
      <w:pPr>
        <w:jc w:val="center"/>
      </w:pPr>
      <w:r>
        <w:rPr>
          <w:b/>
          <w:color w:val="1F3B63"/>
          <w:sz w:val="44"/>
        </w:rPr>
        <w:t>Week 6 Exploratory Data Analysis Report</w:t>
      </w:r>
    </w:p>
    <w:p>
      <w:pPr>
        <w:jc w:val="center"/>
      </w:pPr>
      <w:r>
        <w:rPr>
          <w:color w:val="6F7782"/>
          <w:sz w:val="24"/>
        </w:rPr>
        <w:t>HealthConnect Rwanda - Data Science Track</w:t>
      </w:r>
    </w:p>
    <w:p>
      <w:pPr>
        <w:jc w:val="center"/>
      </w:pPr>
      <w:r>
        <w:rPr>
          <w:b/>
        </w:rPr>
        <w:t>Takudzwa Jeffrey Gumbo (TJ) | Data Science Track</w:t>
      </w:r>
    </w:p>
    <w:p>
      <w:pPr>
        <w:jc w:val="center"/>
      </w:pPr>
      <w:r>
        <w:t>Synthetic educational healthcare data. Analytical outputs are not clinical advice or diagnosis.</w:t>
      </w:r>
    </w:p>
    <w:p>
      <w:r>
        <w:rPr>
          <w:rFonts w:ascii="Arial" w:hAnsi="Arial"/>
          <w:b/>
          <w:color w:val="1F3B63"/>
          <w:sz w:val="30"/>
        </w:rPr>
        <w:t>1. Executive summary</w:t>
      </w:r>
    </w:p>
    <w:p>
      <w:pPr>
        <w:spacing w:after="100" w:line="252" w:lineRule="auto"/>
      </w:pPr>
      <w:r>
        <w:rPr>
          <w:rFonts w:ascii="Arial" w:hAnsi="Arial"/>
          <w:sz w:val="19"/>
        </w:rPr>
        <w:t>The patient master contains 20,000 synthetic patients with mean age 45.0 years. A recorded chronic condition is present for 74.6% of patient records. The full feedback table contains 21,064 records with mean rating 2.99/5. The billing table contains 60,000 bills totaling RWF 9,309,401,961.</w:t>
      </w:r>
    </w:p>
    <w:p>
      <w:r>
        <w:rPr>
          <w:rFonts w:ascii="Arial" w:hAnsi="Arial"/>
          <w:b/>
          <w:color w:val="1F3B63"/>
          <w:sz w:val="30"/>
        </w:rPr>
        <w:t>2. Patient population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3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ag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1. Patient age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037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hronic_condi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2. Most common recorded chronic conditions.</w:t>
      </w:r>
    </w:p>
    <w:p>
      <w:r>
        <w:rPr>
          <w:rFonts w:ascii="Arial" w:hAnsi="Arial"/>
          <w:b/>
          <w:color w:val="1F3B63"/>
          <w:sz w:val="30"/>
        </w:rPr>
        <w:t>3. Clinical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25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etailed_appointments_month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3. Monthly pattern in the 5,000 detailed appointments.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3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top_diagno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4. Top diagnoses in the 60,000-record diagnosis table.</w:t>
      </w:r>
    </w:p>
    <w:p>
      <w:r>
        <w:rPr>
          <w:rFonts w:ascii="Arial" w:hAnsi="Arial"/>
          <w:b/>
          <w:color w:val="1F3B63"/>
          <w:sz w:val="30"/>
        </w:rPr>
        <w:t>4. Financial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635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billing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63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5. Billing amount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11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ayment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6. Payment method distribution.</w:t>
      </w:r>
    </w:p>
    <w:p>
      <w:r>
        <w:rPr>
          <w:rFonts w:ascii="Arial" w:hAnsi="Arial"/>
          <w:b/>
          <w:color w:val="1F3B63"/>
          <w:sz w:val="30"/>
        </w:rPr>
        <w:t>5. Patient experience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112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atisfaction_ra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11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7. Satisfaction rating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037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facility_satisfa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8. Mean satisfaction by anonymised FacilityID in the matched sample.</w:t>
      </w:r>
    </w:p>
    <w:p>
      <w:r>
        <w:rPr>
          <w:rFonts w:ascii="Arial" w:hAnsi="Arial"/>
          <w:b/>
          <w:color w:val="1F3B63"/>
          <w:sz w:val="30"/>
        </w:rPr>
        <w:t>6. Operations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037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department_work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0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9. Top department categories by appointment count in the detailed sample.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41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bed_statu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4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F7782"/>
          <w:sz w:val="16"/>
        </w:rPr>
        <w:t>Figure 10. Bed status distribution; all supplied beds are Available.</w:t>
      </w:r>
    </w:p>
    <w:p>
      <w:r>
        <w:rPr>
          <w:rFonts w:ascii="Arial" w:hAnsi="Arial"/>
          <w:b/>
          <w:color w:val="1F3B63"/>
          <w:sz w:val="30"/>
        </w:rPr>
        <w:t>7. Business interpretation</w:t>
      </w:r>
    </w:p>
    <w:p>
      <w:pPr>
        <w:spacing w:after="100" w:line="252" w:lineRule="auto"/>
      </w:pPr>
      <w:r>
        <w:rPr>
          <w:rFonts w:ascii="Arial" w:hAnsi="Arial"/>
          <w:sz w:val="19"/>
        </w:rPr>
        <w:t>The synthetic data provides broad coverage across clinical, financial and patient-experience domains, but important structural limitations constrain causal and facility-level conclusions. The detailed appointment sample is sufficient for educational predictive modelling, while enterprise-level time series are best sourced from the monthly Revenue Summary. Facility names and geographic/ownership attributes cannot be joined reliably because the Health Facilities master was not supplied.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