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017"/>
          <w:sz w:val="22"/>
        </w:rPr>
        <w:t>ANALYSTLAB AFRICA</w:t>
      </w:r>
    </w:p>
    <w:p>
      <w:pPr>
        <w:jc w:val="center"/>
      </w:pPr>
      <w:r>
        <w:rPr>
          <w:b/>
          <w:color w:val="1F3B63"/>
          <w:sz w:val="44"/>
        </w:rPr>
        <w:t>Week 6 Executive Summary</w:t>
      </w:r>
    </w:p>
    <w:p>
      <w:pPr>
        <w:jc w:val="center"/>
      </w:pPr>
      <w:r>
        <w:rPr>
          <w:color w:val="6F7782"/>
          <w:sz w:val="24"/>
        </w:rPr>
        <w:t>HealthConnect Rwanda - Healthcare Predictive Analytics and Population Health Intelligence</w:t>
      </w:r>
    </w:p>
    <w:p>
      <w:pPr>
        <w:jc w:val="center"/>
      </w:pPr>
      <w:r>
        <w:rPr>
          <w:b/>
        </w:rPr>
        <w:t>Takudzwa Jeffrey Gumbo (TJ) | Data Science Track</w:t>
      </w:r>
    </w:p>
    <w:p>
      <w:pPr>
        <w:jc w:val="center"/>
      </w:pPr>
      <w:r>
        <w:t>Synthetic educational healthcare data. Analytical outputs are not clinical advice or diagnosis.</w:t>
      </w:r>
    </w:p>
    <w:p>
      <w:r>
        <w:rPr>
          <w:rFonts w:ascii="Arial" w:hAnsi="Arial"/>
          <w:b/>
          <w:color w:val="1F3B63"/>
          <w:sz w:val="30"/>
        </w:rPr>
        <w:t>Executive overview</w:t>
      </w:r>
    </w:p>
    <w:p>
      <w:pPr>
        <w:spacing w:after="100" w:line="252" w:lineRule="auto"/>
      </w:pPr>
      <w:r>
        <w:rPr>
          <w:rFonts w:ascii="Arial" w:hAnsi="Arial"/>
          <w:sz w:val="19"/>
        </w:rPr>
        <w:t>This Data Science project integrates HealthConnect Rwanda synthetic patient, clinical, operational, financial and experience data to support population-health intelligence, forecasting and predictive analytics. The available package contains 20,000 patient records, 60,000 billing records, 60,000 diagnosis records and a 5,000-record detailed appointment sample. Enterprise monthly summaries report 60,809 appointments and RWF 1,132,677,500 revenue across 2026.</w:t>
      </w:r>
    </w:p>
    <w:p>
      <w:r>
        <w:rPr>
          <w:rFonts w:ascii="Arial" w:hAnsi="Arial"/>
          <w:b/>
          <w:color w:val="1F3B63"/>
          <w:sz w:val="30"/>
        </w:rPr>
        <w:t>Key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3B6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5256"/>
            <w:vAlign w:val="center"/>
            <w:shd w:fill="1F3B63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Recorded chronic-condition prevalence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74.6%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Mean patient age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45.0 years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Mean satisfaction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2.99/5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Detailed-sample admission rate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11.7%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Claims approved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50.0%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Best admission ROC-AUC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0.497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Best satisfaction R2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-0.022</w:t>
            </w:r>
          </w:p>
        </w:tc>
      </w:tr>
    </w:tbl>
    <w:p>
      <w:r>
        <w:rPr>
          <w:rFonts w:ascii="Arial" w:hAnsi="Arial"/>
          <w:b/>
          <w:color w:val="1F3B63"/>
          <w:sz w:val="30"/>
        </w:rPr>
        <w:t>What the statistics show</w:t>
      </w:r>
    </w:p>
    <w:p>
      <w:pPr>
        <w:spacing w:after="100" w:line="252" w:lineRule="auto"/>
      </w:pPr>
      <w:r>
        <w:rPr>
          <w:rFonts w:ascii="Arial" w:hAnsi="Arial"/>
          <w:sz w:val="19"/>
        </w:rPr>
        <w:t>Patient satisfaction did not differ significantly across anonymised FacilityIDs (p=0.7952), while admission status showed a statistically significant association with age group (p=0.0308). Billing distributions did not differ significantly by recorded chronic-condition status (p=0.5438). These are synthetic-data associations and should not be treated as clinical causal evidence.</w:t>
      </w:r>
    </w:p>
    <w:p>
      <w:r>
        <w:rPr>
          <w:rFonts w:ascii="Arial" w:hAnsi="Arial"/>
          <w:b/>
          <w:color w:val="1F3B63"/>
          <w:sz w:val="30"/>
        </w:rPr>
        <w:t>Predictive and forecasting conclusion</w:t>
      </w:r>
    </w:p>
    <w:p>
      <w:pPr>
        <w:spacing w:after="100" w:line="252" w:lineRule="auto"/>
      </w:pPr>
      <w:r>
        <w:rPr>
          <w:rFonts w:ascii="Arial" w:hAnsi="Arial"/>
          <w:sz w:val="19"/>
        </w:rPr>
        <w:t>The strongest admission model achieved ROC-AUC 0.497, indicating weak discrimination. Satisfaction models also performed poorly, with best R-squared -0.022. These results are important: the available variables do not support reliable clinical-risk or satisfaction prediction. Twelve-month appointment and revenue forecasts are therefore presented only as planning illustrations based on 12 monthly observations.</w:t>
      </w:r>
    </w:p>
    <w:p>
      <w:r>
        <w:rPr>
          <w:rFonts w:ascii="Arial" w:hAnsi="Arial"/>
          <w:b/>
          <w:color w:val="1F3B63"/>
          <w:sz w:val="30"/>
        </w:rPr>
        <w:t>Data-quality constraints</w:t>
      </w:r>
    </w:p>
    <w:p>
      <w:pPr>
        <w:spacing w:after="100" w:line="252" w:lineRule="auto"/>
      </w:pPr>
      <w:r>
        <w:rPr>
          <w:rFonts w:ascii="Arial" w:hAnsi="Arial"/>
          <w:sz w:val="19"/>
        </w:rPr>
        <w:t>The Health Facilities master table was not supplied, so FacilityIDs cannot be mapped to names, ownership, or geography. DepartmentID-FacilityID combinations are also inconsistent in appointments and staff relative to the Department master, preventing a trustworthy facility-department hierarchy. All supplied beds are marked Available, so bed-utilization modelling is not possible from the supplied bed status field.</w:t>
      </w:r>
    </w:p>
    <w:p>
      <w:r>
        <w:rPr>
          <w:rFonts w:ascii="Arial" w:hAnsi="Arial"/>
          <w:b/>
          <w:color w:val="1F3B63"/>
          <w:sz w:val="30"/>
        </w:rPr>
        <w:t>Recommendations</w:t>
      </w:r>
    </w:p>
    <w:p>
      <w:pPr>
        <w:spacing w:after="100" w:line="252" w:lineRule="auto"/>
      </w:pPr>
      <w:r>
        <w:rPr>
          <w:rFonts w:ascii="Arial" w:hAnsi="Arial"/>
          <w:sz w:val="19"/>
        </w:rPr>
        <w:t>1. Collect a complete Health Facilities master with stable FacilityID, name, type, ownership and geographic keys.</w:t>
      </w:r>
    </w:p>
    <w:p>
      <w:pPr>
        <w:spacing w:after="100" w:line="252" w:lineRule="auto"/>
      </w:pPr>
      <w:r>
        <w:rPr>
          <w:rFonts w:ascii="Arial" w:hAnsi="Arial"/>
          <w:sz w:val="19"/>
        </w:rPr>
        <w:t>2. Enforce referential integrity between FacilityID and DepartmentID across appointments and staff systems.</w:t>
      </w:r>
    </w:p>
    <w:p>
      <w:pPr>
        <w:spacing w:after="100" w:line="252" w:lineRule="auto"/>
      </w:pPr>
      <w:r>
        <w:rPr>
          <w:rFonts w:ascii="Arial" w:hAnsi="Arial"/>
          <w:sz w:val="19"/>
        </w:rPr>
        <w:t>3. Capture true bed occupancy events and timestamps rather than static Available status only.</w:t>
      </w:r>
    </w:p>
    <w:p>
      <w:pPr>
        <w:spacing w:after="100" w:line="252" w:lineRule="auto"/>
      </w:pPr>
      <w:r>
        <w:rPr>
          <w:rFonts w:ascii="Arial" w:hAnsi="Arial"/>
          <w:sz w:val="19"/>
        </w:rPr>
        <w:t>4. Preserve complete longitudinal appointment histories with consistent patient, facility, department and clinician keys.</w:t>
      </w:r>
    </w:p>
    <w:p>
      <w:pPr>
        <w:spacing w:after="100" w:line="252" w:lineRule="auto"/>
      </w:pPr>
      <w:r>
        <w:rPr>
          <w:rFonts w:ascii="Arial" w:hAnsi="Arial"/>
          <w:sz w:val="19"/>
        </w:rPr>
        <w:t>5. Capture waiting time, triage acuity and discharge outcome fields for operational and admission modelling.</w:t>
      </w:r>
    </w:p>
    <w:p>
      <w:pPr>
        <w:spacing w:after="100" w:line="252" w:lineRule="auto"/>
      </w:pPr>
      <w:r>
        <w:rPr>
          <w:rFonts w:ascii="Arial" w:hAnsi="Arial"/>
          <w:sz w:val="19"/>
        </w:rPr>
        <w:t>6. Use the current admission and satisfaction models only as educational baselines; do not deploy them clinically.</w:t>
      </w:r>
    </w:p>
    <w:p>
      <w:pPr>
        <w:spacing w:after="100" w:line="252" w:lineRule="auto"/>
      </w:pPr>
      <w:r>
        <w:rPr>
          <w:rFonts w:ascii="Arial" w:hAnsi="Arial"/>
          <w:sz w:val="19"/>
        </w:rPr>
        <w:t>7. Retain forecast uncertainty in capacity planning because only 12 monthly enterprise observations are available.</w:t>
      </w:r>
    </w:p>
    <w:p>
      <w:pPr>
        <w:spacing w:after="100" w:line="252" w:lineRule="auto"/>
      </w:pPr>
      <w:r>
        <w:rPr>
          <w:rFonts w:ascii="Arial" w:hAnsi="Arial"/>
          <w:sz w:val="19"/>
        </w:rPr>
        <w:t>8. Use patient clustering only for descriptive service-planning exploration, with fairness and clinical review before any intervention.</w:t>
      </w:r>
    </w:p>
    <w:p>
      <w:pPr>
        <w:spacing w:after="100" w:line="252" w:lineRule="auto"/>
      </w:pPr>
      <w:r>
        <w:rPr>
          <w:rFonts w:ascii="Arial" w:hAnsi="Arial"/>
          <w:sz w:val="19"/>
        </w:rPr>
        <w:t>9. Implement data-quality monitoring for invalid cross-table relationships before expanding AI use.</w:t>
      </w:r>
    </w:p>
    <w:p>
      <w:pPr>
        <w:spacing w:after="100" w:line="252" w:lineRule="auto"/>
      </w:pPr>
      <w:r>
        <w:rPr>
          <w:rFonts w:ascii="Arial" w:hAnsi="Arial"/>
          <w:sz w:val="19"/>
        </w:rPr>
        <w:t>10. Require human oversight, privacy controls, bias assessment and prospective validation for any future healthcare AI.</w:t>
      </w:r>
    </w:p>
    <w:p>
      <w:r>
        <w:br/>
      </w:r>
    </w:p>
    <w:p>
      <w:pPr>
        <w:pStyle w:val="Heading1"/>
      </w:pPr>
      <w:r>
        <w:rPr>
          <w:color w:val="1F3B63"/>
        </w:rPr>
        <w:t>Evidence snapshot</w:t>
      </w:r>
    </w:p>
    <w:p>
      <w:r>
        <w:rPr>
          <w:b/>
        </w:rPr>
        <w:t>Enterprise demand and revenue planning</w:t>
      </w:r>
    </w:p>
    <w:p>
      <w:r>
        <w:t>The enterprise Revenue Summary provides 12 monthly observations for 2026. Forecasts therefore use a transparent damped-trend method and are presented as planning illustrations. The limited history means uncertainty is material; the forecasts should not be used as binding staffing or investment commitments without additional monthly history and external validation.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8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appointment_foreca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Enterprise appointment volume: observed 2026 summary and 12-month forecast.</w:t>
      </w:r>
    </w:p>
    <w:p>
      <w:r>
        <w:rPr>
          <w:b/>
        </w:rPr>
        <w:t>Predictive model evidence</w:t>
      </w:r>
    </w:p>
    <w:p>
      <w:r>
        <w:t>Admission models did not demonstrate useful discrimination: the highest observed ROC-AUC was approximately 0.497, which is effectively random ranking. Patient-satisfaction models also failed to explain ratings beyond a simple baseline. These null/weak results are retained as valid findings and indicate that stronger longitudinal and operational features are required before predictive deployment.</w:t>
      </w:r>
    </w:p>
    <w:p>
      <w:pPr>
        <w:pStyle w:val="Heading1"/>
      </w:pPr>
      <w:r>
        <w:rPr>
          <w:color w:val="1F3B63"/>
        </w:rPr>
        <w:t>Executive action priorities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504"/>
          </w:tcPr>
          <w:p>
            <w:r>
              <w:rPr>
                <w:b/>
              </w:rPr>
              <w:t>Why it matters</w:t>
            </w:r>
          </w:p>
        </w:tc>
        <w:tc>
          <w:tcPr>
            <w:tcW w:type="dxa" w:w="3504"/>
          </w:tcPr>
          <w:p>
            <w:r>
              <w:rPr>
                <w:b/>
              </w:rPr>
              <w:t>Recommended action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1. Master data integrity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Facility names/geography/ownership are unavailable and FacilityID-DepartmentID relationships are inconsistent.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Create and govern a Health Facilities master; enforce referential integrity across departments, staff and appointments.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2. Operational capacity data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All supplied beds are marked Available, preventing meaningful occupancy analysis.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Capture bed occupancy episodes, timestamps, ward transfers, capacity and discharge events.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3. Longitudinal patient journey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Only 5,000 appointments contain full patient/doctor/facility details while other transaction tables extend to 60,000 AppointmentIDs.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Provide a complete appointment fact table covering the same AppointmentID universe as diagnosis, billing, feedback and admissions.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4. Predictive feature quality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Current variables do not support reliable admission or satisfaction prediction.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Capture waiting times, triage acuity, prior admissions, medication/lab history and outcome timestamps.</w:t>
            </w:r>
          </w:p>
        </w:tc>
      </w:tr>
      <w:tr>
        <w:tc>
          <w:tcPr>
            <w:tcW w:type="dxa" w:w="3504"/>
          </w:tcPr>
          <w:p>
            <w:r>
              <w:rPr>
                <w:sz w:val="16"/>
              </w:rPr>
              <w:t>5. Responsible AI governance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Healthcare predictions can affect high-stakes decisions.</w:t>
            </w:r>
          </w:p>
        </w:tc>
        <w:tc>
          <w:tcPr>
            <w:tcW w:type="dxa" w:w="3504"/>
          </w:tcPr>
          <w:p>
            <w:r>
              <w:rPr>
                <w:sz w:val="16"/>
              </w:rPr>
              <w:t>Require human oversight, privacy controls, bias testing, explainability and prospective clinical/operational validation.</w:t>
            </w:r>
          </w:p>
        </w:tc>
      </w:tr>
    </w:tbl>
    <w:p>
      <w:pPr>
        <w:pStyle w:val="Heading1"/>
      </w:pPr>
      <w:r>
        <w:rPr>
          <w:color w:val="1F3B63"/>
        </w:rPr>
        <w:t>Closing position</w:t>
      </w:r>
    </w:p>
    <w:p>
      <w:r>
        <w:t>The project demonstrates a complete healthcare data-science workflow while preserving uncertainty and data limitations. The strongest management recommendation is to improve data architecture and longitudinal operational capture before expanding predictive AI. This is a synthetic educational analysis; no output should be interpreted as diagnosis, treatment guidance or clinical risk scoring.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