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A017"/>
          <w:sz w:val="22"/>
        </w:rPr>
        <w:t>ANALYSTLAB AFRICA</w:t>
      </w:r>
    </w:p>
    <w:p>
      <w:pPr>
        <w:jc w:val="center"/>
      </w:pPr>
      <w:r>
        <w:rPr>
          <w:b/>
          <w:color w:val="1F3B63"/>
          <w:sz w:val="44"/>
        </w:rPr>
        <w:t>Week 6 Predictive Analytics Report</w:t>
      </w:r>
    </w:p>
    <w:p>
      <w:pPr>
        <w:jc w:val="center"/>
      </w:pPr>
      <w:r>
        <w:rPr>
          <w:color w:val="6F7782"/>
          <w:sz w:val="24"/>
        </w:rPr>
        <w:t>HealthConnect Rwanda - Data Science Track</w:t>
      </w:r>
    </w:p>
    <w:p>
      <w:pPr>
        <w:jc w:val="center"/>
      </w:pPr>
      <w:r>
        <w:rPr>
          <w:b/>
        </w:rPr>
        <w:t>Takudzwa Jeffrey Gumbo (TJ) | Data Science Track</w:t>
      </w:r>
    </w:p>
    <w:p>
      <w:pPr>
        <w:jc w:val="center"/>
      </w:pPr>
      <w:r>
        <w:t>Synthetic educational healthcare data. Analytical outputs are not clinical advice or diagnosis.</w:t>
      </w:r>
    </w:p>
    <w:p>
      <w:r>
        <w:rPr>
          <w:rFonts w:ascii="Arial" w:hAnsi="Arial"/>
          <w:b/>
          <w:color w:val="1F3B63"/>
          <w:sz w:val="30"/>
        </w:rPr>
        <w:t>1. Scope and safeguards</w:t>
      </w:r>
    </w:p>
    <w:p>
      <w:pPr>
        <w:spacing w:after="100" w:line="252" w:lineRule="auto"/>
      </w:pPr>
      <w:r>
        <w:rPr>
          <w:rFonts w:ascii="Arial" w:hAnsi="Arial"/>
          <w:sz w:val="19"/>
        </w:rPr>
        <w:t>Predictive modelling is restricted to relationships supported by the supplied synthetic data. The 5,000 detailed appointment records form the modelling universe for admission prediction and matched satisfaction modelling. No predictions are presented as clinical advice.</w:t>
      </w:r>
    </w:p>
    <w:p>
      <w:r>
        <w:rPr>
          <w:rFonts w:ascii="Arial" w:hAnsi="Arial"/>
          <w:b/>
          <w:color w:val="1F3B63"/>
          <w:sz w:val="30"/>
        </w:rPr>
        <w:t>2. Patient volume and revenue forecasting</w:t>
      </w:r>
    </w:p>
    <w:p>
      <w:pPr>
        <w:spacing w:after="100" w:line="252" w:lineRule="auto"/>
      </w:pPr>
      <w:r>
        <w:rPr>
          <w:rFonts w:ascii="Arial" w:hAnsi="Arial"/>
          <w:sz w:val="19"/>
        </w:rPr>
        <w:t>The monthly summary contains only 12 historical observations. A damped Holt trend model is therefore used as a transparent planning demonstration rather than a production forecast. Last-three-month backtest MAE is 1,299 appointments and RWF 23,126,582 for revenue, indicating substantial uncertainty.</w:t>
      </w:r>
    </w:p>
    <w:p>
      <w:pPr>
        <w:jc w:val="center"/>
      </w:pPr>
      <w:r>
        <w:drawing>
          <wp:inline xmlns:a="http://schemas.openxmlformats.org/drawingml/2006/main" xmlns:pic="http://schemas.openxmlformats.org/drawingml/2006/picture">
            <wp:extent cx="5943600" cy="2928392"/>
            <wp:docPr id="1" name="Picture 1"/>
            <wp:cNvGraphicFramePr>
              <a:graphicFrameLocks noChangeAspect="1"/>
            </wp:cNvGraphicFramePr>
            <a:graphic>
              <a:graphicData uri="http://schemas.openxmlformats.org/drawingml/2006/picture">
                <pic:pic>
                  <pic:nvPicPr>
                    <pic:cNvPr id="0" name="fig16_appointment_forecast.png"/>
                    <pic:cNvPicPr/>
                  </pic:nvPicPr>
                  <pic:blipFill>
                    <a:blip r:embed="rId9"/>
                    <a:stretch>
                      <a:fillRect/>
                    </a:stretch>
                  </pic:blipFill>
                  <pic:spPr>
                    <a:xfrm>
                      <a:off x="0" y="0"/>
                      <a:ext cx="5943600" cy="2928392"/>
                    </a:xfrm>
                    <a:prstGeom prst="rect"/>
                  </pic:spPr>
                </pic:pic>
              </a:graphicData>
            </a:graphic>
          </wp:inline>
        </w:drawing>
      </w:r>
    </w:p>
    <w:p>
      <w:pPr>
        <w:jc w:val="center"/>
      </w:pPr>
      <w:r>
        <w:rPr>
          <w:i/>
          <w:color w:val="6F7782"/>
          <w:sz w:val="16"/>
        </w:rPr>
        <w:t>Figure 1. Observed monthly appointments and 12-month forecast.</w:t>
      </w:r>
    </w:p>
    <w:p>
      <w:pPr>
        <w:jc w:val="center"/>
      </w:pPr>
      <w:r>
        <w:drawing>
          <wp:inline xmlns:a="http://schemas.openxmlformats.org/drawingml/2006/main" xmlns:pic="http://schemas.openxmlformats.org/drawingml/2006/picture">
            <wp:extent cx="5943600" cy="2928392"/>
            <wp:docPr id="2" name="Picture 2"/>
            <wp:cNvGraphicFramePr>
              <a:graphicFrameLocks noChangeAspect="1"/>
            </wp:cNvGraphicFramePr>
            <a:graphic>
              <a:graphicData uri="http://schemas.openxmlformats.org/drawingml/2006/picture">
                <pic:pic>
                  <pic:nvPicPr>
                    <pic:cNvPr id="0" name="fig17_revenue_forecast.png"/>
                    <pic:cNvPicPr/>
                  </pic:nvPicPr>
                  <pic:blipFill>
                    <a:blip r:embed="rId10"/>
                    <a:stretch>
                      <a:fillRect/>
                    </a:stretch>
                  </pic:blipFill>
                  <pic:spPr>
                    <a:xfrm>
                      <a:off x="0" y="0"/>
                      <a:ext cx="5943600" cy="2928392"/>
                    </a:xfrm>
                    <a:prstGeom prst="rect"/>
                  </pic:spPr>
                </pic:pic>
              </a:graphicData>
            </a:graphic>
          </wp:inline>
        </w:drawing>
      </w:r>
    </w:p>
    <w:p>
      <w:pPr>
        <w:jc w:val="center"/>
      </w:pPr>
      <w:r>
        <w:rPr>
          <w:i/>
          <w:color w:val="6F7782"/>
          <w:sz w:val="16"/>
        </w:rPr>
        <w:t>Figure 2. Observed monthly revenue and 12-month forecast.</w:t>
      </w:r>
    </w:p>
    <w:p>
      <w:r>
        <w:rPr>
          <w:rFonts w:ascii="Arial" w:hAnsi="Arial"/>
          <w:b/>
          <w:color w:val="1F3B63"/>
          <w:sz w:val="30"/>
        </w:rPr>
        <w:t>3. Hospital admission prediction</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center"/>
            <w:shd w:fill="1F3B63"/>
          </w:tcPr>
          <w:p>
            <w:r/>
            <w:r>
              <w:rPr>
                <w:rFonts w:ascii="Arial" w:hAnsi="Arial"/>
                <w:b/>
                <w:color w:val="FFFFFF"/>
                <w:sz w:val="16"/>
              </w:rPr>
              <w:t>Model</w:t>
            </w:r>
          </w:p>
        </w:tc>
        <w:tc>
          <w:tcPr>
            <w:tcW w:type="dxa" w:w="1752"/>
            <w:vAlign w:val="center"/>
            <w:shd w:fill="1F3B63"/>
          </w:tcPr>
          <w:p>
            <w:r/>
            <w:r>
              <w:rPr>
                <w:rFonts w:ascii="Arial" w:hAnsi="Arial"/>
                <w:b/>
                <w:color w:val="FFFFFF"/>
                <w:sz w:val="16"/>
              </w:rPr>
              <w:t>ROC-AUC</w:t>
            </w:r>
          </w:p>
        </w:tc>
        <w:tc>
          <w:tcPr>
            <w:tcW w:type="dxa" w:w="1752"/>
            <w:vAlign w:val="center"/>
            <w:shd w:fill="1F3B63"/>
          </w:tcPr>
          <w:p>
            <w:r/>
            <w:r>
              <w:rPr>
                <w:rFonts w:ascii="Arial" w:hAnsi="Arial"/>
                <w:b/>
                <w:color w:val="FFFFFF"/>
                <w:sz w:val="16"/>
              </w:rPr>
              <w:t>Accuracy</w:t>
            </w:r>
          </w:p>
        </w:tc>
        <w:tc>
          <w:tcPr>
            <w:tcW w:type="dxa" w:w="1752"/>
            <w:vAlign w:val="center"/>
            <w:shd w:fill="1F3B63"/>
          </w:tcPr>
          <w:p>
            <w:r/>
            <w:r>
              <w:rPr>
                <w:rFonts w:ascii="Arial" w:hAnsi="Arial"/>
                <w:b/>
                <w:color w:val="FFFFFF"/>
                <w:sz w:val="16"/>
              </w:rPr>
              <w:t>Precision</w:t>
            </w:r>
          </w:p>
        </w:tc>
        <w:tc>
          <w:tcPr>
            <w:tcW w:type="dxa" w:w="1752"/>
            <w:vAlign w:val="center"/>
            <w:shd w:fill="1F3B63"/>
          </w:tcPr>
          <w:p>
            <w:r/>
            <w:r>
              <w:rPr>
                <w:rFonts w:ascii="Arial" w:hAnsi="Arial"/>
                <w:b/>
                <w:color w:val="FFFFFF"/>
                <w:sz w:val="16"/>
              </w:rPr>
              <w:t>Recall</w:t>
            </w:r>
          </w:p>
        </w:tc>
        <w:tc>
          <w:tcPr>
            <w:tcW w:type="dxa" w:w="1752"/>
            <w:vAlign w:val="center"/>
            <w:shd w:fill="1F3B63"/>
          </w:tcPr>
          <w:p>
            <w:r/>
            <w:r>
              <w:rPr>
                <w:rFonts w:ascii="Arial" w:hAnsi="Arial"/>
                <w:b/>
                <w:color w:val="FFFFFF"/>
                <w:sz w:val="16"/>
              </w:rPr>
              <w:t>F1</w:t>
            </w:r>
          </w:p>
        </w:tc>
      </w:tr>
      <w:tr>
        <w:tc>
          <w:tcPr>
            <w:tcW w:type="dxa" w:w="1752"/>
            <w:vAlign w:val="center"/>
          </w:tcPr>
          <w:p>
            <w:r/>
            <w:r>
              <w:rPr>
                <w:rFonts w:ascii="Arial" w:hAnsi="Arial"/>
                <w:b w:val="0"/>
                <w:sz w:val="15"/>
              </w:rPr>
              <w:t>Gradient Boosting</w:t>
            </w:r>
          </w:p>
        </w:tc>
        <w:tc>
          <w:tcPr>
            <w:tcW w:type="dxa" w:w="1752"/>
            <w:vAlign w:val="center"/>
          </w:tcPr>
          <w:p>
            <w:r/>
            <w:r>
              <w:rPr>
                <w:rFonts w:ascii="Arial" w:hAnsi="Arial"/>
                <w:b w:val="0"/>
                <w:sz w:val="15"/>
              </w:rPr>
              <w:t>0.497</w:t>
            </w:r>
          </w:p>
        </w:tc>
        <w:tc>
          <w:tcPr>
            <w:tcW w:type="dxa" w:w="1752"/>
            <w:vAlign w:val="center"/>
          </w:tcPr>
          <w:p>
            <w:r/>
            <w:r>
              <w:rPr>
                <w:rFonts w:ascii="Arial" w:hAnsi="Arial"/>
                <w:b w:val="0"/>
                <w:sz w:val="15"/>
              </w:rPr>
              <w:t>0.881</w:t>
            </w:r>
          </w:p>
        </w:tc>
        <w:tc>
          <w:tcPr>
            <w:tcW w:type="dxa" w:w="1752"/>
            <w:vAlign w:val="center"/>
          </w:tcPr>
          <w:p>
            <w:r/>
            <w:r>
              <w:rPr>
                <w:rFonts w:ascii="Arial" w:hAnsi="Arial"/>
                <w:b w:val="0"/>
                <w:sz w:val="15"/>
              </w:rPr>
              <w:t>0.000</w:t>
            </w:r>
          </w:p>
        </w:tc>
        <w:tc>
          <w:tcPr>
            <w:tcW w:type="dxa" w:w="1752"/>
            <w:vAlign w:val="center"/>
          </w:tcPr>
          <w:p>
            <w:r/>
            <w:r>
              <w:rPr>
                <w:rFonts w:ascii="Arial" w:hAnsi="Arial"/>
                <w:b w:val="0"/>
                <w:sz w:val="15"/>
              </w:rPr>
              <w:t>0.000</w:t>
            </w:r>
          </w:p>
        </w:tc>
        <w:tc>
          <w:tcPr>
            <w:tcW w:type="dxa" w:w="1752"/>
            <w:vAlign w:val="center"/>
          </w:tcPr>
          <w:p>
            <w:r/>
            <w:r>
              <w:rPr>
                <w:rFonts w:ascii="Arial" w:hAnsi="Arial"/>
                <w:b w:val="0"/>
                <w:sz w:val="15"/>
              </w:rPr>
              <w:t>0.000</w:t>
            </w:r>
          </w:p>
        </w:tc>
      </w:tr>
      <w:tr>
        <w:tc>
          <w:tcPr>
            <w:tcW w:type="dxa" w:w="1752"/>
            <w:vAlign w:val="center"/>
          </w:tcPr>
          <w:p>
            <w:r/>
            <w:r>
              <w:rPr>
                <w:rFonts w:ascii="Arial" w:hAnsi="Arial"/>
                <w:b w:val="0"/>
                <w:sz w:val="15"/>
              </w:rPr>
              <w:t>Logistic Regression</w:t>
            </w:r>
          </w:p>
        </w:tc>
        <w:tc>
          <w:tcPr>
            <w:tcW w:type="dxa" w:w="1752"/>
            <w:vAlign w:val="center"/>
          </w:tcPr>
          <w:p>
            <w:r/>
            <w:r>
              <w:rPr>
                <w:rFonts w:ascii="Arial" w:hAnsi="Arial"/>
                <w:b w:val="0"/>
                <w:sz w:val="15"/>
              </w:rPr>
              <w:t>0.496</w:t>
            </w:r>
          </w:p>
        </w:tc>
        <w:tc>
          <w:tcPr>
            <w:tcW w:type="dxa" w:w="1752"/>
            <w:vAlign w:val="center"/>
          </w:tcPr>
          <w:p>
            <w:r/>
            <w:r>
              <w:rPr>
                <w:rFonts w:ascii="Arial" w:hAnsi="Arial"/>
                <w:b w:val="0"/>
                <w:sz w:val="15"/>
              </w:rPr>
              <w:t>0.532</w:t>
            </w:r>
          </w:p>
        </w:tc>
        <w:tc>
          <w:tcPr>
            <w:tcW w:type="dxa" w:w="1752"/>
            <w:vAlign w:val="center"/>
          </w:tcPr>
          <w:p>
            <w:r/>
            <w:r>
              <w:rPr>
                <w:rFonts w:ascii="Arial" w:hAnsi="Arial"/>
                <w:b w:val="0"/>
                <w:sz w:val="15"/>
              </w:rPr>
              <w:t>0.109</w:t>
            </w:r>
          </w:p>
        </w:tc>
        <w:tc>
          <w:tcPr>
            <w:tcW w:type="dxa" w:w="1752"/>
            <w:vAlign w:val="center"/>
          </w:tcPr>
          <w:p>
            <w:r/>
            <w:r>
              <w:rPr>
                <w:rFonts w:ascii="Arial" w:hAnsi="Arial"/>
                <w:b w:val="0"/>
                <w:sz w:val="15"/>
              </w:rPr>
              <w:t>0.419</w:t>
            </w:r>
          </w:p>
        </w:tc>
        <w:tc>
          <w:tcPr>
            <w:tcW w:type="dxa" w:w="1752"/>
            <w:vAlign w:val="center"/>
          </w:tcPr>
          <w:p>
            <w:r/>
            <w:r>
              <w:rPr>
                <w:rFonts w:ascii="Arial" w:hAnsi="Arial"/>
                <w:b w:val="0"/>
                <w:sz w:val="15"/>
              </w:rPr>
              <w:t>0.173</w:t>
            </w:r>
          </w:p>
        </w:tc>
      </w:tr>
      <w:tr>
        <w:tc>
          <w:tcPr>
            <w:tcW w:type="dxa" w:w="1752"/>
            <w:vAlign w:val="center"/>
          </w:tcPr>
          <w:p>
            <w:r/>
            <w:r>
              <w:rPr>
                <w:rFonts w:ascii="Arial" w:hAnsi="Arial"/>
                <w:b w:val="0"/>
                <w:sz w:val="15"/>
              </w:rPr>
              <w:t>Random Forest</w:t>
            </w:r>
          </w:p>
        </w:tc>
        <w:tc>
          <w:tcPr>
            <w:tcW w:type="dxa" w:w="1752"/>
            <w:vAlign w:val="center"/>
          </w:tcPr>
          <w:p>
            <w:r/>
            <w:r>
              <w:rPr>
                <w:rFonts w:ascii="Arial" w:hAnsi="Arial"/>
                <w:b w:val="0"/>
                <w:sz w:val="15"/>
              </w:rPr>
              <w:t>0.483</w:t>
            </w:r>
          </w:p>
        </w:tc>
        <w:tc>
          <w:tcPr>
            <w:tcW w:type="dxa" w:w="1752"/>
            <w:vAlign w:val="center"/>
          </w:tcPr>
          <w:p>
            <w:r/>
            <w:r>
              <w:rPr>
                <w:rFonts w:ascii="Arial" w:hAnsi="Arial"/>
                <w:b w:val="0"/>
                <w:sz w:val="15"/>
              </w:rPr>
              <w:t>0.728</w:t>
            </w:r>
          </w:p>
        </w:tc>
        <w:tc>
          <w:tcPr>
            <w:tcW w:type="dxa" w:w="1752"/>
            <w:vAlign w:val="center"/>
          </w:tcPr>
          <w:p>
            <w:r/>
            <w:r>
              <w:rPr>
                <w:rFonts w:ascii="Arial" w:hAnsi="Arial"/>
                <w:b w:val="0"/>
                <w:sz w:val="15"/>
              </w:rPr>
              <w:t>0.103</w:t>
            </w:r>
          </w:p>
        </w:tc>
        <w:tc>
          <w:tcPr>
            <w:tcW w:type="dxa" w:w="1752"/>
            <w:vAlign w:val="center"/>
          </w:tcPr>
          <w:p>
            <w:r/>
            <w:r>
              <w:rPr>
                <w:rFonts w:ascii="Arial" w:hAnsi="Arial"/>
                <w:b w:val="0"/>
                <w:sz w:val="15"/>
              </w:rPr>
              <w:t>0.171</w:t>
            </w:r>
          </w:p>
        </w:tc>
        <w:tc>
          <w:tcPr>
            <w:tcW w:type="dxa" w:w="1752"/>
            <w:vAlign w:val="center"/>
          </w:tcPr>
          <w:p>
            <w:r/>
            <w:r>
              <w:rPr>
                <w:rFonts w:ascii="Arial" w:hAnsi="Arial"/>
                <w:b w:val="0"/>
                <w:sz w:val="15"/>
              </w:rPr>
              <w:t>0.128</w:t>
            </w:r>
          </w:p>
        </w:tc>
      </w:tr>
    </w:tbl>
    <w:p>
      <w:pPr>
        <w:spacing w:after="100" w:line="252" w:lineRule="auto"/>
      </w:pPr>
      <w:r>
        <w:rPr>
          <w:rFonts w:ascii="Arial" w:hAnsi="Arial"/>
          <w:sz w:val="19"/>
        </w:rPr>
        <w:t>The strongest admission model by ROC-AUC is Gradient Boosting at 0.497. This is only slightly above random ranking, so the data does not support a strong admission-risk model. The weak result is retained rather than overstated.</w:t>
      </w:r>
    </w:p>
    <w:p>
      <w:pPr>
        <w:jc w:val="center"/>
      </w:pPr>
      <w:r>
        <w:drawing>
          <wp:inline xmlns:a="http://schemas.openxmlformats.org/drawingml/2006/main" xmlns:pic="http://schemas.openxmlformats.org/drawingml/2006/picture">
            <wp:extent cx="5577840" cy="3097055"/>
            <wp:docPr id="3" name="Picture 3"/>
            <wp:cNvGraphicFramePr>
              <a:graphicFrameLocks noChangeAspect="1"/>
            </wp:cNvGraphicFramePr>
            <a:graphic>
              <a:graphicData uri="http://schemas.openxmlformats.org/drawingml/2006/picture">
                <pic:pic>
                  <pic:nvPicPr>
                    <pic:cNvPr id="0" name="fig19_admission_model_comparison.png"/>
                    <pic:cNvPicPr/>
                  </pic:nvPicPr>
                  <pic:blipFill>
                    <a:blip r:embed="rId11"/>
                    <a:stretch>
                      <a:fillRect/>
                    </a:stretch>
                  </pic:blipFill>
                  <pic:spPr>
                    <a:xfrm>
                      <a:off x="0" y="0"/>
                      <a:ext cx="5577840" cy="3097055"/>
                    </a:xfrm>
                    <a:prstGeom prst="rect"/>
                  </pic:spPr>
                </pic:pic>
              </a:graphicData>
            </a:graphic>
          </wp:inline>
        </w:drawing>
      </w:r>
    </w:p>
    <w:p>
      <w:pPr>
        <w:jc w:val="center"/>
      </w:pPr>
      <w:r>
        <w:rPr>
          <w:i/>
          <w:color w:val="6F7782"/>
          <w:sz w:val="16"/>
        </w:rPr>
        <w:t>Figure 3. Admission model ROC-AUC comparison.</w:t>
      </w:r>
    </w:p>
    <w:p>
      <w:pPr>
        <w:jc w:val="center"/>
      </w:pPr>
      <w:r>
        <w:drawing>
          <wp:inline xmlns:a="http://schemas.openxmlformats.org/drawingml/2006/main" xmlns:pic="http://schemas.openxmlformats.org/drawingml/2006/picture">
            <wp:extent cx="5669280" cy="3496455"/>
            <wp:docPr id="4" name="Picture 4"/>
            <wp:cNvGraphicFramePr>
              <a:graphicFrameLocks noChangeAspect="1"/>
            </wp:cNvGraphicFramePr>
            <a:graphic>
              <a:graphicData uri="http://schemas.openxmlformats.org/drawingml/2006/picture">
                <pic:pic>
                  <pic:nvPicPr>
                    <pic:cNvPr id="0" name="fig20_admission_feature_importance.png"/>
                    <pic:cNvPicPr/>
                  </pic:nvPicPr>
                  <pic:blipFill>
                    <a:blip r:embed="rId12"/>
                    <a:stretch>
                      <a:fillRect/>
                    </a:stretch>
                  </pic:blipFill>
                  <pic:spPr>
                    <a:xfrm>
                      <a:off x="0" y="0"/>
                      <a:ext cx="5669280" cy="3496455"/>
                    </a:xfrm>
                    <a:prstGeom prst="rect"/>
                  </pic:spPr>
                </pic:pic>
              </a:graphicData>
            </a:graphic>
          </wp:inline>
        </w:drawing>
      </w:r>
    </w:p>
    <w:p>
      <w:pPr>
        <w:jc w:val="center"/>
      </w:pPr>
      <w:r>
        <w:rPr>
          <w:i/>
          <w:color w:val="6F7782"/>
          <w:sz w:val="16"/>
        </w:rPr>
        <w:t>Figure 4. Permutation importance for the selected admission model.</w:t>
      </w:r>
    </w:p>
    <w:p>
      <w:r>
        <w:rPr>
          <w:rFonts w:ascii="Arial" w:hAnsi="Arial"/>
          <w:b/>
          <w:color w:val="1F3B63"/>
          <w:sz w:val="30"/>
        </w:rPr>
        <w:t>4. Patient satisfaction prediction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1F3B63"/>
          </w:tcPr>
          <w:p>
            <w:r/>
            <w:r>
              <w:rPr>
                <w:rFonts w:ascii="Arial" w:hAnsi="Arial"/>
                <w:b/>
                <w:color w:val="FFFFFF"/>
                <w:sz w:val="16"/>
              </w:rPr>
              <w:t>Model</w:t>
            </w:r>
          </w:p>
        </w:tc>
        <w:tc>
          <w:tcPr>
            <w:tcW w:type="dxa" w:w="2628"/>
            <w:vAlign w:val="center"/>
            <w:shd w:fill="1F3B63"/>
          </w:tcPr>
          <w:p>
            <w:r/>
            <w:r>
              <w:rPr>
                <w:rFonts w:ascii="Arial" w:hAnsi="Arial"/>
                <w:b/>
                <w:color w:val="FFFFFF"/>
                <w:sz w:val="16"/>
              </w:rPr>
              <w:t>MAE</w:t>
            </w:r>
          </w:p>
        </w:tc>
        <w:tc>
          <w:tcPr>
            <w:tcW w:type="dxa" w:w="2628"/>
            <w:vAlign w:val="center"/>
            <w:shd w:fill="1F3B63"/>
          </w:tcPr>
          <w:p>
            <w:r/>
            <w:r>
              <w:rPr>
                <w:rFonts w:ascii="Arial" w:hAnsi="Arial"/>
                <w:b/>
                <w:color w:val="FFFFFF"/>
                <w:sz w:val="16"/>
              </w:rPr>
              <w:t>RMSE</w:t>
            </w:r>
          </w:p>
        </w:tc>
        <w:tc>
          <w:tcPr>
            <w:tcW w:type="dxa" w:w="2628"/>
            <w:vAlign w:val="center"/>
            <w:shd w:fill="1F3B63"/>
          </w:tcPr>
          <w:p>
            <w:r/>
            <w:r>
              <w:rPr>
                <w:rFonts w:ascii="Arial" w:hAnsi="Arial"/>
                <w:b/>
                <w:color w:val="FFFFFF"/>
                <w:sz w:val="16"/>
              </w:rPr>
              <w:t>R2</w:t>
            </w:r>
          </w:p>
        </w:tc>
      </w:tr>
      <w:tr>
        <w:tc>
          <w:tcPr>
            <w:tcW w:type="dxa" w:w="2628"/>
            <w:vAlign w:val="center"/>
          </w:tcPr>
          <w:p>
            <w:r/>
            <w:r>
              <w:rPr>
                <w:rFonts w:ascii="Arial" w:hAnsi="Arial"/>
                <w:b w:val="0"/>
                <w:sz w:val="15"/>
              </w:rPr>
              <w:t>Random Forest Regressor</w:t>
            </w:r>
          </w:p>
        </w:tc>
        <w:tc>
          <w:tcPr>
            <w:tcW w:type="dxa" w:w="2628"/>
            <w:vAlign w:val="center"/>
          </w:tcPr>
          <w:p>
            <w:r/>
            <w:r>
              <w:rPr>
                <w:rFonts w:ascii="Arial" w:hAnsi="Arial"/>
                <w:b w:val="0"/>
                <w:sz w:val="15"/>
              </w:rPr>
              <w:t>1.212</w:t>
            </w:r>
          </w:p>
        </w:tc>
        <w:tc>
          <w:tcPr>
            <w:tcW w:type="dxa" w:w="2628"/>
            <w:vAlign w:val="center"/>
          </w:tcPr>
          <w:p>
            <w:r/>
            <w:r>
              <w:rPr>
                <w:rFonts w:ascii="Arial" w:hAnsi="Arial"/>
                <w:b w:val="0"/>
                <w:sz w:val="15"/>
              </w:rPr>
              <w:t>1.409</w:t>
            </w:r>
          </w:p>
        </w:tc>
        <w:tc>
          <w:tcPr>
            <w:tcW w:type="dxa" w:w="2628"/>
            <w:vAlign w:val="center"/>
          </w:tcPr>
          <w:p>
            <w:r/>
            <w:r>
              <w:rPr>
                <w:rFonts w:ascii="Arial" w:hAnsi="Arial"/>
                <w:b w:val="0"/>
                <w:sz w:val="15"/>
              </w:rPr>
              <w:t>-0.022</w:t>
            </w:r>
          </w:p>
        </w:tc>
      </w:tr>
      <w:tr>
        <w:tc>
          <w:tcPr>
            <w:tcW w:type="dxa" w:w="2628"/>
            <w:vAlign w:val="center"/>
          </w:tcPr>
          <w:p>
            <w:r/>
            <w:r>
              <w:rPr>
                <w:rFonts w:ascii="Arial" w:hAnsi="Arial"/>
                <w:b w:val="0"/>
                <w:sz w:val="15"/>
              </w:rPr>
              <w:t>Gradient Boosting Regressor</w:t>
            </w:r>
          </w:p>
        </w:tc>
        <w:tc>
          <w:tcPr>
            <w:tcW w:type="dxa" w:w="2628"/>
            <w:vAlign w:val="center"/>
          </w:tcPr>
          <w:p>
            <w:r/>
            <w:r>
              <w:rPr>
                <w:rFonts w:ascii="Arial" w:hAnsi="Arial"/>
                <w:b w:val="0"/>
                <w:sz w:val="15"/>
              </w:rPr>
              <w:t>1.222</w:t>
            </w:r>
          </w:p>
        </w:tc>
        <w:tc>
          <w:tcPr>
            <w:tcW w:type="dxa" w:w="2628"/>
            <w:vAlign w:val="center"/>
          </w:tcPr>
          <w:p>
            <w:r/>
            <w:r>
              <w:rPr>
                <w:rFonts w:ascii="Arial" w:hAnsi="Arial"/>
                <w:b w:val="0"/>
                <w:sz w:val="15"/>
              </w:rPr>
              <w:t>1.418</w:t>
            </w:r>
          </w:p>
        </w:tc>
        <w:tc>
          <w:tcPr>
            <w:tcW w:type="dxa" w:w="2628"/>
            <w:vAlign w:val="center"/>
          </w:tcPr>
          <w:p>
            <w:r/>
            <w:r>
              <w:rPr>
                <w:rFonts w:ascii="Arial" w:hAnsi="Arial"/>
                <w:b w:val="0"/>
                <w:sz w:val="15"/>
              </w:rPr>
              <w:t>-0.035</w:t>
            </w:r>
          </w:p>
        </w:tc>
      </w:tr>
      <w:tr>
        <w:tc>
          <w:tcPr>
            <w:tcW w:type="dxa" w:w="2628"/>
            <w:vAlign w:val="center"/>
          </w:tcPr>
          <w:p>
            <w:r/>
            <w:r>
              <w:rPr>
                <w:rFonts w:ascii="Arial" w:hAnsi="Arial"/>
                <w:b w:val="0"/>
                <w:sz w:val="15"/>
              </w:rPr>
              <w:t>Linear Regression</w:t>
            </w:r>
          </w:p>
        </w:tc>
        <w:tc>
          <w:tcPr>
            <w:tcW w:type="dxa" w:w="2628"/>
            <w:vAlign w:val="center"/>
          </w:tcPr>
          <w:p>
            <w:r/>
            <w:r>
              <w:rPr>
                <w:rFonts w:ascii="Arial" w:hAnsi="Arial"/>
                <w:b w:val="0"/>
                <w:sz w:val="15"/>
              </w:rPr>
              <w:t>1.277</w:t>
            </w:r>
          </w:p>
        </w:tc>
        <w:tc>
          <w:tcPr>
            <w:tcW w:type="dxa" w:w="2628"/>
            <w:vAlign w:val="center"/>
          </w:tcPr>
          <w:p>
            <w:r/>
            <w:r>
              <w:rPr>
                <w:rFonts w:ascii="Arial" w:hAnsi="Arial"/>
                <w:b w:val="0"/>
                <w:sz w:val="15"/>
              </w:rPr>
              <w:t>1.498</w:t>
            </w:r>
          </w:p>
        </w:tc>
        <w:tc>
          <w:tcPr>
            <w:tcW w:type="dxa" w:w="2628"/>
            <w:vAlign w:val="center"/>
          </w:tcPr>
          <w:p>
            <w:r/>
            <w:r>
              <w:rPr>
                <w:rFonts w:ascii="Arial" w:hAnsi="Arial"/>
                <w:b w:val="0"/>
                <w:sz w:val="15"/>
              </w:rPr>
              <w:t>-0.155</w:t>
            </w:r>
          </w:p>
        </w:tc>
      </w:tr>
    </w:tbl>
    <w:p>
      <w:pPr>
        <w:spacing w:after="100" w:line="252" w:lineRule="auto"/>
      </w:pPr>
      <w:r>
        <w:rPr>
          <w:rFonts w:ascii="Arial" w:hAnsi="Arial"/>
          <w:sz w:val="19"/>
        </w:rPr>
        <w:t>The best satisfaction model by RMSE is Random Forest Regressor with RMSE 1.409 and R-squared -0.022. The negative/near-zero R-squared indicates that the supplied operational/clinical variables do not explain satisfaction ratings well in the matched sample.</w:t>
      </w:r>
    </w:p>
    <w:p>
      <w:r>
        <w:rPr>
          <w:rFonts w:ascii="Arial" w:hAnsi="Arial"/>
          <w:b/>
          <w:color w:val="1F3B63"/>
          <w:sz w:val="30"/>
        </w:rPr>
        <w:t>5. Patient segmentation</w:t>
      </w:r>
    </w:p>
    <w:p>
      <w:pPr>
        <w:spacing w:after="100" w:line="252" w:lineRule="auto"/>
      </w:pPr>
      <w:r>
        <w:rPr>
          <w:rFonts w:ascii="Arial" w:hAnsi="Arial"/>
          <w:sz w:val="19"/>
        </w:rPr>
        <w:t>K-Means clustering selected k=3 using the best silhouette score among k=3, 4 and 5 (0.439). The segments are descriptive analytical groupings, not clinical phenotypes.</w:t>
      </w:r>
    </w:p>
    <w:p>
      <w:pPr>
        <w:jc w:val="center"/>
      </w:pPr>
      <w:r>
        <w:drawing>
          <wp:inline xmlns:a="http://schemas.openxmlformats.org/drawingml/2006/main" xmlns:pic="http://schemas.openxmlformats.org/drawingml/2006/picture">
            <wp:extent cx="5760720" cy="3557853"/>
            <wp:docPr id="5" name="Picture 5"/>
            <wp:cNvGraphicFramePr>
              <a:graphicFrameLocks noChangeAspect="1"/>
            </wp:cNvGraphicFramePr>
            <a:graphic>
              <a:graphicData uri="http://schemas.openxmlformats.org/drawingml/2006/picture">
                <pic:pic>
                  <pic:nvPicPr>
                    <pic:cNvPr id="0" name="fig22_patient_clusters.png"/>
                    <pic:cNvPicPr/>
                  </pic:nvPicPr>
                  <pic:blipFill>
                    <a:blip r:embed="rId13"/>
                    <a:stretch>
                      <a:fillRect/>
                    </a:stretch>
                  </pic:blipFill>
                  <pic:spPr>
                    <a:xfrm>
                      <a:off x="0" y="0"/>
                      <a:ext cx="5760720" cy="3557853"/>
                    </a:xfrm>
                    <a:prstGeom prst="rect"/>
                  </pic:spPr>
                </pic:pic>
              </a:graphicData>
            </a:graphic>
          </wp:inline>
        </w:drawing>
      </w:r>
    </w:p>
    <w:p>
      <w:pPr>
        <w:jc w:val="center"/>
      </w:pPr>
      <w:r>
        <w:rPr>
          <w:i/>
          <w:color w:val="6F7782"/>
          <w:sz w:val="16"/>
        </w:rPr>
        <w:t>Figure 5. Patient segmentation by age and BMI, coloured by cluster.</w:t>
      </w:r>
    </w:p>
    <w:p>
      <w:r>
        <w:rPr>
          <w:rFonts w:ascii="Arial" w:hAnsi="Arial"/>
          <w:b/>
          <w:color w:val="1F3B63"/>
          <w:sz w:val="30"/>
        </w:rPr>
        <w:t>6. Department workload forecasting</w:t>
      </w:r>
    </w:p>
    <w:p>
      <w:pPr>
        <w:spacing w:after="100" w:line="252" w:lineRule="auto"/>
      </w:pPr>
      <w:r>
        <w:rPr>
          <w:rFonts w:ascii="Arial" w:hAnsi="Arial"/>
          <w:sz w:val="19"/>
        </w:rPr>
        <w:t>Department-level 12-month workload projections are generated for the ten most frequently observed department categories using simple linear trends over the 12 monthly detailed-sample counts. Because the detailed appointment table is only a 5,000-record sample, these forecasts should be used as directional workload illustrations rather than staffing commitments.</w:t>
      </w:r>
    </w:p>
    <w:p>
      <w:r>
        <w:rPr>
          <w:rFonts w:ascii="Arial" w:hAnsi="Arial"/>
          <w:b/>
          <w:color w:val="1F3B63"/>
          <w:sz w:val="30"/>
        </w:rPr>
        <w:t>7. Final predictive conclusion</w:t>
      </w:r>
    </w:p>
    <w:p>
      <w:pPr>
        <w:spacing w:after="100" w:line="252" w:lineRule="auto"/>
      </w:pPr>
      <w:r>
        <w:rPr>
          <w:rFonts w:ascii="Arial" w:hAnsi="Arial"/>
          <w:sz w:val="19"/>
        </w:rPr>
        <w:t>Forecasting and clustering are useful as planning demonstrations, but the admission and satisfaction models show limited predictive signal. Future data collection should prioritize complete longitudinal appointment histories, consistent facility-department relationships, validated operational capacity measures, waiting times, actual bed occupancy, and clearly time-stamped patient outcomes.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