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017"/>
          <w:sz w:val="22"/>
        </w:rPr>
        <w:t>ANALYSTLAB AFRICA</w:t>
      </w:r>
    </w:p>
    <w:p>
      <w:pPr>
        <w:jc w:val="center"/>
      </w:pPr>
      <w:r>
        <w:rPr>
          <w:b/>
          <w:color w:val="1F3B63"/>
          <w:sz w:val="44"/>
        </w:rPr>
        <w:t>Week 6 Statistical Analysis Report</w:t>
      </w:r>
    </w:p>
    <w:p>
      <w:pPr>
        <w:jc w:val="center"/>
      </w:pPr>
      <w:r>
        <w:rPr>
          <w:color w:val="6F7782"/>
          <w:sz w:val="24"/>
        </w:rPr>
        <w:t>HealthConnect Rwanda - Data Science Track</w:t>
      </w:r>
    </w:p>
    <w:p>
      <w:pPr>
        <w:jc w:val="center"/>
      </w:pPr>
      <w:r>
        <w:rPr>
          <w:b/>
        </w:rPr>
        <w:t>Takudzwa Jeffrey Gumbo (TJ) | Data Science Track</w:t>
      </w:r>
    </w:p>
    <w:p>
      <w:pPr>
        <w:jc w:val="center"/>
      </w:pPr>
      <w:r>
        <w:t>Synthetic educational healthcare data. Analytical outputs are not clinical advice or diagnosis.</w:t>
      </w:r>
    </w:p>
    <w:p>
      <w:r>
        <w:rPr>
          <w:rFonts w:ascii="Arial" w:hAnsi="Arial"/>
          <w:b/>
          <w:color w:val="1F3B63"/>
          <w:sz w:val="30"/>
        </w:rPr>
        <w:t>1. Methods</w:t>
      </w:r>
    </w:p>
    <w:p>
      <w:pPr>
        <w:spacing w:after="100" w:line="252" w:lineRule="auto"/>
      </w:pPr>
      <w:r>
        <w:rPr>
          <w:rFonts w:ascii="Arial" w:hAnsi="Arial"/>
          <w:sz w:val="19"/>
        </w:rPr>
        <w:t>Significance level alpha = 0.05. Non-parametric tests are used where rating/billing distributions are not assumed normal, and a chi-square test is used for categorical admission status by age group.</w:t>
      </w:r>
    </w:p>
    <w:p>
      <w:r>
        <w:rPr>
          <w:rFonts w:ascii="Arial" w:hAnsi="Arial"/>
          <w:b/>
          <w:color w:val="1F3B63"/>
          <w:sz w:val="30"/>
        </w:rPr>
        <w:t>2. Hypothesis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02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102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Statistic</w:t>
            </w:r>
          </w:p>
        </w:tc>
        <w:tc>
          <w:tcPr>
            <w:tcW w:type="dxa" w:w="2102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p-value</w:t>
            </w:r>
          </w:p>
        </w:tc>
        <w:tc>
          <w:tcPr>
            <w:tcW w:type="dxa" w:w="2102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Kruskal-Wallis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13.800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0.7952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Fail to reject H0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Chi-square independence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10.653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0.0308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Reject H0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Mann-Whitney U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2332992.500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0.5438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Fail to reject H0</w:t>
            </w:r>
          </w:p>
        </w:tc>
      </w:tr>
    </w:tbl>
    <w:p>
      <w:r>
        <w:rPr>
          <w:rFonts w:ascii="Arial" w:hAnsi="Arial"/>
          <w:b/>
          <w:color w:val="1F3B63"/>
          <w:sz w:val="30"/>
        </w:rPr>
        <w:t>3. Interpretation</w:t>
      </w:r>
    </w:p>
    <w:p>
      <w:pPr>
        <w:spacing w:after="100" w:line="252" w:lineRule="auto"/>
      </w:pPr>
      <w:r>
        <w:rPr>
          <w:rFonts w:ascii="Arial" w:hAnsi="Arial"/>
          <w:sz w:val="19"/>
        </w:rPr>
        <w:t>H1 - Satisfaction across facilities: p=0.7952. There is no statistically significant evidence of different satisfaction distributions across FacilityIDs in the matched detailed sample.</w:t>
      </w:r>
    </w:p>
    <w:p>
      <w:pPr>
        <w:spacing w:after="100" w:line="252" w:lineRule="auto"/>
      </w:pPr>
      <w:r>
        <w:rPr>
          <w:rFonts w:ascii="Arial" w:hAnsi="Arial"/>
          <w:sz w:val="19"/>
        </w:rPr>
        <w:t>H2 - Admission by age group: p=0.0308. The null of independence is rejected at 5%, indicating that admission occurrence varies across the defined age groups in this synthetic detailed sample. This is an association, not a clinical causal conclusion.</w:t>
      </w:r>
    </w:p>
    <w:p>
      <w:pPr>
        <w:spacing w:after="100" w:line="252" w:lineRule="auto"/>
      </w:pPr>
      <w:r>
        <w:rPr>
          <w:rFonts w:ascii="Arial" w:hAnsi="Arial"/>
          <w:sz w:val="19"/>
        </w:rPr>
        <w:t>H3 - Billing by recorded chronic-condition status: p=0.5438. There is no statistically significant evidence that billing distributions differ between records with and without a recorded chronic condition in the matched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dmission_age_gro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1. Admission rates by age group in the detailed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93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9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2. Correlation matrix for selected analytical variables.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