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HealthConnect Rwanda</w:t>
      </w:r>
    </w:p>
    <w:p>
      <w:pPr>
        <w:spacing w:after="280"/>
      </w:pPr>
      <w:r>
        <w:rPr>
          <w:color w:val="444444"/>
          <w:sz w:val="26"/>
          <w:szCs w:val="26"/>
        </w:rPr>
        <w:t xml:space="preserve">Validation Summary</w:t>
      </w:r>
    </w:p>
    <w:p>
      <w:pPr>
        <w:pStyle w:val="Heading1"/>
        <w:spacing w:after="120" w:before="280"/>
      </w:pPr>
      <w:r>
        <w:t xml:space="preserve">1. Purpose</w:t>
      </w:r>
    </w:p>
    <w:p>
      <w:pPr>
        <w:spacing w:after="140" w:line="300"/>
      </w:pPr>
      <w:r>
        <w:rPr>
          <w:sz w:val="21"/>
          <w:szCs w:val="21"/>
        </w:rPr>
        <w:t xml:space="preserve">This summary records the validation tests run on the HealthConnect Rwanda data and the dashboard figures derived from it. It sets out what was tested, what was found, and where the findings are limited. It supports the business insights report and the data science feature review.</w:t>
      </w:r>
    </w:p>
    <w:p>
      <w:pPr>
        <w:pStyle w:val="Heading1"/>
        <w:spacing w:after="120" w:before="280"/>
      </w:pPr>
      <w:r>
        <w:t xml:space="preserve">2. Summary of results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00"/>
        <w:gridCol w:w="1840"/>
      </w:tblGrid>
      <w:tr>
        <w:trPr>
          <w:tblHeader/>
        </w:trPr>
        <w:tc>
          <w:tcPr>
            <w:tcW w:type="dxa" w:w="2200"/>
            <w:shd w:fill="E8ECF2" w:val="clear"/>
          </w:tcPr>
          <w:p>
            <w:r>
              <w:rPr>
                <w:b/>
                <w:bCs/>
                <w:sz w:val="18"/>
                <w:szCs w:val="18"/>
              </w:rPr>
              <w:t xml:space="preserve">Area</w:t>
            </w:r>
          </w:p>
        </w:tc>
        <w:tc>
          <w:tcPr>
            <w:tcW w:type="dxa" w:w="3400"/>
            <w:shd w:fill="E8ECF2" w:val="clear"/>
          </w:tcPr>
          <w:p>
            <w:r>
              <w:rPr>
                <w:b/>
                <w:bCs/>
                <w:sz w:val="18"/>
                <w:szCs w:val="18"/>
              </w:rPr>
              <w:t xml:space="preserve">Test</w:t>
            </w:r>
          </w:p>
        </w:tc>
        <w:tc>
          <w:tcPr>
            <w:tcW w:type="dxa" w:w="3700"/>
            <w:shd w:fill="E8ECF2" w:val="clear"/>
          </w:tcPr>
          <w:p>
            <w:r>
              <w:rPr>
                <w:b/>
                <w:bCs/>
                <w:sz w:val="18"/>
                <w:szCs w:val="18"/>
              </w:rPr>
              <w:t xml:space="preserve">Result</w:t>
            </w:r>
          </w:p>
        </w:tc>
        <w:tc>
          <w:tcPr>
            <w:tcW w:type="dxa" w:w="1840"/>
            <w:shd w:fill="E8ECF2" w:val="clear"/>
          </w:tcPr>
          <w:p>
            <w:r>
              <w:rPr>
                <w:b/>
                <w:bCs/>
                <w:sz w:val="18"/>
                <w:szCs w:val="18"/>
              </w:rPr>
              <w:t xml:space="preserve">Status</w:t>
            </w:r>
          </w:p>
        </w:tc>
      </w:tr>
      <w:tr>
        <w:tc>
          <w:tcPr>
            <w:tcW w:type="dxa" w:w="2200"/>
          </w:tcPr>
          <w:p>
            <w:r>
              <w:rPr>
                <w:b w:val="false"/>
                <w:bCs w:val="false"/>
                <w:sz w:val="18"/>
                <w:szCs w:val="18"/>
              </w:rPr>
              <w:t xml:space="preserve">KPI reconciliation</w:t>
            </w:r>
          </w:p>
        </w:tc>
        <w:tc>
          <w:tcPr>
            <w:tcW w:type="dxa" w:w="3400"/>
          </w:tcPr>
          <w:p>
            <w:r>
              <w:rPr>
                <w:b w:val="false"/>
                <w:bCs w:val="false"/>
                <w:sz w:val="18"/>
                <w:szCs w:val="18"/>
              </w:rPr>
              <w:t xml:space="preserve">Dashboard figures against independent recalculation</w:t>
            </w:r>
          </w:p>
        </w:tc>
        <w:tc>
          <w:tcPr>
            <w:tcW w:type="dxa" w:w="3700"/>
          </w:tcPr>
          <w:p>
            <w:r>
              <w:rPr>
                <w:b w:val="false"/>
                <w:bCs w:val="false"/>
                <w:sz w:val="18"/>
                <w:szCs w:val="18"/>
              </w:rPr>
              <w:t xml:space="preserve">All headline KPIs match the reference values</w:t>
            </w:r>
          </w:p>
        </w:tc>
        <w:tc>
          <w:tcPr>
            <w:tcW w:type="dxa" w:w="1840"/>
          </w:tcPr>
          <w:p>
            <w:r>
              <w:rPr>
                <w:b w:val="false"/>
                <w:bCs w:val="false"/>
                <w:sz w:val="18"/>
                <w:szCs w:val="18"/>
              </w:rPr>
              <w:t xml:space="preserve">Pass</w:t>
            </w:r>
          </w:p>
        </w:tc>
      </w:tr>
      <w:tr>
        <w:tc>
          <w:tcPr>
            <w:tcW w:type="dxa" w:w="2200"/>
          </w:tcPr>
          <w:p>
            <w:r>
              <w:rPr>
                <w:b w:val="false"/>
                <w:bCs w:val="false"/>
                <w:sz w:val="18"/>
                <w:szCs w:val="18"/>
              </w:rPr>
              <w:t xml:space="preserve">Date slicer</w:t>
            </w:r>
          </w:p>
        </w:tc>
        <w:tc>
          <w:tcPr>
            <w:tcW w:type="dxa" w:w="3400"/>
          </w:tcPr>
          <w:p>
            <w:r>
              <w:rPr>
                <w:b w:val="false"/>
                <w:bCs w:val="false"/>
                <w:sz w:val="18"/>
                <w:szCs w:val="18"/>
              </w:rPr>
              <w:t xml:space="preserve">Emergency visits and total appointments change with the date filter</w:t>
            </w:r>
          </w:p>
        </w:tc>
        <w:tc>
          <w:tcPr>
            <w:tcW w:type="dxa" w:w="3700"/>
          </w:tcPr>
          <w:p>
            <w:r>
              <w:rPr>
                <w:b w:val="false"/>
                <w:bCs w:val="false"/>
                <w:sz w:val="18"/>
                <w:szCs w:val="18"/>
              </w:rPr>
              <w:t xml:space="preserve">Both respond to the slicer and return to full values when cleared</w:t>
            </w:r>
          </w:p>
        </w:tc>
        <w:tc>
          <w:tcPr>
            <w:tcW w:type="dxa" w:w="1840"/>
          </w:tcPr>
          <w:p>
            <w:r>
              <w:rPr>
                <w:b w:val="false"/>
                <w:bCs w:val="false"/>
                <w:sz w:val="18"/>
                <w:szCs w:val="18"/>
              </w:rPr>
              <w:t xml:space="preserve">Pass</w:t>
            </w:r>
          </w:p>
        </w:tc>
      </w:tr>
      <w:tr>
        <w:tc>
          <w:tcPr>
            <w:tcW w:type="dxa" w:w="2200"/>
          </w:tcPr>
          <w:p>
            <w:r>
              <w:rPr>
                <w:b w:val="false"/>
                <w:bCs w:val="false"/>
                <w:sz w:val="18"/>
                <w:szCs w:val="18"/>
              </w:rPr>
              <w:t xml:space="preserve">Billing representativeness</w:t>
            </w:r>
          </w:p>
        </w:tc>
        <w:tc>
          <w:tcPr>
            <w:tcW w:type="dxa" w:w="3400"/>
          </w:tcPr>
          <w:p>
            <w:r>
              <w:rPr>
                <w:b w:val="false"/>
                <w:bCs w:val="false"/>
                <w:sz w:val="18"/>
                <w:szCs w:val="18"/>
              </w:rPr>
              <w:t xml:space="preserve">Matched bills against all bills (amount, status, severity)</w:t>
            </w:r>
          </w:p>
        </w:tc>
        <w:tc>
          <w:tcPr>
            <w:tcW w:type="dxa" w:w="3700"/>
          </w:tcPr>
          <w:p>
            <w:r>
              <w:rPr>
                <w:b w:val="false"/>
                <w:bCs w:val="false"/>
                <w:sz w:val="18"/>
                <w:szCs w:val="18"/>
              </w:rPr>
              <w:t xml:space="preserve">Amount distributions match (KS p = 0.66); shares differ by under one point</w:t>
            </w:r>
          </w:p>
        </w:tc>
        <w:tc>
          <w:tcPr>
            <w:tcW w:type="dxa" w:w="1840"/>
          </w:tcPr>
          <w:p>
            <w:r>
              <w:rPr>
                <w:b w:val="false"/>
                <w:bCs w:val="false"/>
                <w:sz w:val="18"/>
                <w:szCs w:val="18"/>
              </w:rPr>
              <w:t xml:space="preserve">Pass, with subset caveat</w:t>
            </w:r>
          </w:p>
        </w:tc>
      </w:tr>
      <w:tr>
        <w:tc>
          <w:tcPr>
            <w:tcW w:type="dxa" w:w="2200"/>
          </w:tcPr>
          <w:p>
            <w:r>
              <w:rPr>
                <w:b w:val="false"/>
                <w:bCs w:val="false"/>
                <w:sz w:val="18"/>
                <w:szCs w:val="18"/>
              </w:rPr>
              <w:t xml:space="preserve">Monthly revenue trend</w:t>
            </w:r>
          </w:p>
        </w:tc>
        <w:tc>
          <w:tcPr>
            <w:tcW w:type="dxa" w:w="3400"/>
          </w:tcPr>
          <w:p>
            <w:r>
              <w:rPr>
                <w:b w:val="false"/>
                <w:bCs w:val="false"/>
                <w:sz w:val="18"/>
                <w:szCs w:val="18"/>
              </w:rPr>
              <w:t xml:space="preserve">Linear trend on matched monthly billing</w:t>
            </w:r>
          </w:p>
        </w:tc>
        <w:tc>
          <w:tcPr>
            <w:tcW w:type="dxa" w:w="3700"/>
          </w:tcPr>
          <w:p>
            <w:r>
              <w:rPr>
                <w:b w:val="false"/>
                <w:bCs w:val="false"/>
                <w:sz w:val="18"/>
                <w:szCs w:val="18"/>
              </w:rPr>
              <w:t xml:space="preserve">Slope -0.3M per month, p = 0.37; variation 5.9%</w:t>
            </w:r>
          </w:p>
        </w:tc>
        <w:tc>
          <w:tcPr>
            <w:tcW w:type="dxa" w:w="1840"/>
          </w:tcPr>
          <w:p>
            <w:r>
              <w:rPr>
                <w:b w:val="false"/>
                <w:bCs w:val="false"/>
                <w:sz w:val="18"/>
                <w:szCs w:val="18"/>
              </w:rPr>
              <w:t xml:space="preserve">Pass, no sustained trend</w:t>
            </w:r>
          </w:p>
        </w:tc>
      </w:tr>
      <w:tr>
        <w:tc>
          <w:tcPr>
            <w:tcW w:type="dxa" w:w="2200"/>
          </w:tcPr>
          <w:p>
            <w:r>
              <w:rPr>
                <w:b w:val="false"/>
                <w:bCs w:val="false"/>
                <w:sz w:val="18"/>
                <w:szCs w:val="18"/>
              </w:rPr>
              <w:t xml:space="preserve">Facility rating differences</w:t>
            </w:r>
          </w:p>
        </w:tc>
        <w:tc>
          <w:tcPr>
            <w:tcW w:type="dxa" w:w="3400"/>
          </w:tcPr>
          <w:p>
            <w:r>
              <w:rPr>
                <w:b w:val="false"/>
                <w:bCs w:val="false"/>
                <w:sz w:val="18"/>
                <w:szCs w:val="18"/>
              </w:rPr>
              <w:t xml:space="preserve">ANOVA and Kruskal-Wallis across facilities</w:t>
            </w:r>
          </w:p>
        </w:tc>
        <w:tc>
          <w:tcPr>
            <w:tcW w:type="dxa" w:w="3700"/>
          </w:tcPr>
          <w:p>
            <w:r>
              <w:rPr>
                <w:b w:val="false"/>
                <w:bCs w:val="false"/>
                <w:sz w:val="18"/>
                <w:szCs w:val="18"/>
              </w:rPr>
              <w:t xml:space="preserve">p = 0.79 (ANOVA), p = 0.80 (Kruskal-Wallis)</w:t>
            </w:r>
          </w:p>
        </w:tc>
        <w:tc>
          <w:tcPr>
            <w:tcW w:type="dxa" w:w="1840"/>
          </w:tcPr>
          <w:p>
            <w:r>
              <w:rPr>
                <w:b w:val="false"/>
                <w:bCs w:val="false"/>
                <w:sz w:val="18"/>
                <w:szCs w:val="18"/>
              </w:rPr>
              <w:t xml:space="preserve">Not significant</w:t>
            </w:r>
          </w:p>
        </w:tc>
      </w:tr>
      <w:tr>
        <w:tc>
          <w:tcPr>
            <w:tcW w:type="dxa" w:w="2200"/>
          </w:tcPr>
          <w:p>
            <w:r>
              <w:rPr>
                <w:b w:val="false"/>
                <w:bCs w:val="false"/>
                <w:sz w:val="18"/>
                <w:szCs w:val="18"/>
              </w:rPr>
              <w:t xml:space="preserve">Department rating differences</w:t>
            </w:r>
          </w:p>
        </w:tc>
        <w:tc>
          <w:tcPr>
            <w:tcW w:type="dxa" w:w="3400"/>
          </w:tcPr>
          <w:p>
            <w:r>
              <w:rPr>
                <w:b w:val="false"/>
                <w:bCs w:val="false"/>
                <w:sz w:val="18"/>
                <w:szCs w:val="18"/>
              </w:rPr>
              <w:t xml:space="preserve">ANOVA across departments</w:t>
            </w:r>
          </w:p>
        </w:tc>
        <w:tc>
          <w:tcPr>
            <w:tcW w:type="dxa" w:w="3700"/>
          </w:tcPr>
          <w:p>
            <w:r>
              <w:rPr>
                <w:b w:val="false"/>
                <w:bCs w:val="false"/>
                <w:sz w:val="18"/>
                <w:szCs w:val="18"/>
              </w:rPr>
              <w:t xml:space="preserve">p = 0.29</w:t>
            </w:r>
          </w:p>
        </w:tc>
        <w:tc>
          <w:tcPr>
            <w:tcW w:type="dxa" w:w="1840"/>
          </w:tcPr>
          <w:p>
            <w:r>
              <w:rPr>
                <w:b w:val="false"/>
                <w:bCs w:val="false"/>
                <w:sz w:val="18"/>
                <w:szCs w:val="18"/>
              </w:rPr>
              <w:t xml:space="preserve">Not significant</w:t>
            </w:r>
          </w:p>
        </w:tc>
      </w:tr>
      <w:tr>
        <w:tc>
          <w:tcPr>
            <w:tcW w:type="dxa" w:w="2200"/>
          </w:tcPr>
          <w:p>
            <w:r>
              <w:rPr>
                <w:b w:val="false"/>
                <w:bCs w:val="false"/>
                <w:sz w:val="18"/>
                <w:szCs w:val="18"/>
              </w:rPr>
              <w:t xml:space="preserve">Linked feedback representativeness</w:t>
            </w:r>
          </w:p>
        </w:tc>
        <w:tc>
          <w:tcPr>
            <w:tcW w:type="dxa" w:w="3400"/>
          </w:tcPr>
          <w:p>
            <w:r>
              <w:rPr>
                <w:b w:val="false"/>
                <w:bCs w:val="false"/>
                <w:sz w:val="18"/>
                <w:szCs w:val="18"/>
              </w:rPr>
              <w:t xml:space="preserve">Linked against unlinked feedback</w:t>
            </w:r>
          </w:p>
        </w:tc>
        <w:tc>
          <w:tcPr>
            <w:tcW w:type="dxa" w:w="3700"/>
          </w:tcPr>
          <w:p>
            <w:r>
              <w:rPr>
                <w:b w:val="false"/>
                <w:bCs w:val="false"/>
                <w:sz w:val="18"/>
                <w:szCs w:val="18"/>
              </w:rPr>
              <w:t xml:space="preserve">Mean 2.93 against 2.99 (p = 0.05); complaint rate 40.9% against 40.4%</w:t>
            </w:r>
          </w:p>
        </w:tc>
        <w:tc>
          <w:tcPr>
            <w:tcW w:type="dxa" w:w="1840"/>
          </w:tcPr>
          <w:p>
            <w:r>
              <w:rPr>
                <w:b w:val="false"/>
                <w:bCs w:val="false"/>
                <w:sz w:val="18"/>
                <w:szCs w:val="18"/>
              </w:rPr>
              <w:t xml:space="preserve">Pass, with caveat</w:t>
            </w:r>
          </w:p>
        </w:tc>
      </w:tr>
      <w:tr>
        <w:tc>
          <w:tcPr>
            <w:tcW w:type="dxa" w:w="2200"/>
          </w:tcPr>
          <w:p>
            <w:r>
              <w:rPr>
                <w:b w:val="false"/>
                <w:bCs w:val="false"/>
                <w:sz w:val="18"/>
                <w:szCs w:val="18"/>
              </w:rPr>
              <w:t xml:space="preserve">Revenue summary table</w:t>
            </w:r>
          </w:p>
        </w:tc>
        <w:tc>
          <w:tcPr>
            <w:tcW w:type="dxa" w:w="3400"/>
          </w:tcPr>
          <w:p>
            <w:r>
              <w:rPr>
                <w:b w:val="false"/>
                <w:bCs w:val="false"/>
                <w:sz w:val="18"/>
                <w:szCs w:val="18"/>
              </w:rPr>
              <w:t xml:space="preserve">Reconciliation to billing</w:t>
            </w:r>
          </w:p>
        </w:tc>
        <w:tc>
          <w:tcPr>
            <w:tcW w:type="dxa" w:w="3700"/>
          </w:tcPr>
          <w:p>
            <w:r>
              <w:rPr>
                <w:b w:val="false"/>
                <w:bCs w:val="false"/>
                <w:sz w:val="18"/>
                <w:szCs w:val="18"/>
              </w:rPr>
              <w:t xml:space="preserve">Totals 1.13bn against 9.31bn billed; appointment count 60,809 against 60,000 bills</w:t>
            </w:r>
          </w:p>
        </w:tc>
        <w:tc>
          <w:tcPr>
            <w:tcW w:type="dxa" w:w="1840"/>
          </w:tcPr>
          <w:p>
            <w:r>
              <w:rPr>
                <w:b w:val="false"/>
                <w:bCs w:val="false"/>
                <w:sz w:val="18"/>
                <w:szCs w:val="18"/>
              </w:rPr>
              <w:t xml:space="preserve">Fail, removed from dashboard</w:t>
            </w:r>
          </w:p>
        </w:tc>
      </w:tr>
      <w:tr>
        <w:tc>
          <w:tcPr>
            <w:tcW w:type="dxa" w:w="2200"/>
          </w:tcPr>
          <w:p>
            <w:r>
              <w:rPr>
                <w:b w:val="false"/>
                <w:bCs w:val="false"/>
                <w:sz w:val="18"/>
                <w:szCs w:val="18"/>
              </w:rPr>
              <w:t xml:space="preserve">Attendance and no-show</w:t>
            </w:r>
          </w:p>
        </w:tc>
        <w:tc>
          <w:tcPr>
            <w:tcW w:type="dxa" w:w="3400"/>
          </w:tcPr>
          <w:p>
            <w:r>
              <w:rPr>
                <w:b w:val="false"/>
                <w:bCs w:val="false"/>
                <w:sz w:val="18"/>
                <w:szCs w:val="18"/>
              </w:rPr>
              <w:t xml:space="preserve">Presence of an attendance or no-show field</w:t>
            </w:r>
          </w:p>
        </w:tc>
        <w:tc>
          <w:tcPr>
            <w:tcW w:type="dxa" w:w="3700"/>
          </w:tcPr>
          <w:p>
            <w:r>
              <w:rPr>
                <w:b w:val="false"/>
                <w:bCs w:val="false"/>
                <w:sz w:val="18"/>
                <w:szCs w:val="18"/>
              </w:rPr>
              <w:t xml:space="preserve">None in the dataset</w:t>
            </w:r>
          </w:p>
        </w:tc>
        <w:tc>
          <w:tcPr>
            <w:tcW w:type="dxa" w:w="1840"/>
          </w:tcPr>
          <w:p>
            <w:r>
              <w:rPr>
                <w:b w:val="false"/>
                <w:bCs w:val="false"/>
                <w:sz w:val="18"/>
                <w:szCs w:val="18"/>
              </w:rPr>
              <w:t xml:space="preserve">Cannot be tested</w:t>
            </w:r>
          </w:p>
        </w:tc>
      </w:tr>
      <w:tr>
        <w:tc>
          <w:tcPr>
            <w:tcW w:type="dxa" w:w="2200"/>
          </w:tcPr>
          <w:p>
            <w:r>
              <w:rPr>
                <w:b w:val="false"/>
                <w:bCs w:val="false"/>
                <w:sz w:val="18"/>
                <w:szCs w:val="18"/>
              </w:rPr>
              <w:t xml:space="preserve">Admission target</w:t>
            </w:r>
          </w:p>
        </w:tc>
        <w:tc>
          <w:tcPr>
            <w:tcW w:type="dxa" w:w="3400"/>
          </w:tcPr>
          <w:p>
            <w:r>
              <w:rPr>
                <w:b w:val="false"/>
                <w:bCs w:val="false"/>
                <w:sz w:val="18"/>
                <w:szCs w:val="18"/>
              </w:rPr>
              <w:t xml:space="preserve">Presence of admission records for the target</w:t>
            </w:r>
          </w:p>
        </w:tc>
        <w:tc>
          <w:tcPr>
            <w:tcW w:type="dxa" w:w="3700"/>
          </w:tcPr>
          <w:p>
            <w:r>
              <w:rPr>
                <w:b w:val="false"/>
                <w:bCs w:val="false"/>
                <w:sz w:val="18"/>
                <w:szCs w:val="18"/>
              </w:rPr>
              <w:t xml:space="preserve">None in the 27 source tables</w:t>
            </w:r>
          </w:p>
        </w:tc>
        <w:tc>
          <w:tcPr>
            <w:tcW w:type="dxa" w:w="1840"/>
          </w:tcPr>
          <w:p>
            <w:r>
              <w:rPr>
                <w:b w:val="false"/>
                <w:bCs w:val="false"/>
                <w:sz w:val="18"/>
                <w:szCs w:val="18"/>
              </w:rPr>
              <w:t xml:space="preserve">Blocked pending data owner</w:t>
            </w:r>
          </w:p>
        </w:tc>
      </w:tr>
    </w:tbl>
    <w:p>
      <w:pPr>
        <w:spacing w:after="140" w:line="300"/>
      </w:pPr>
      <w:r>
        <w:rPr>
          <w:sz w:val="21"/>
          <w:szCs w:val="21"/>
        </w:rPr>
        <w:t xml:space="preserve"/>
      </w:r>
    </w:p>
    <w:p>
      <w:pPr>
        <w:pStyle w:val="Heading1"/>
        <w:spacing w:after="120" w:before="280"/>
      </w:pPr>
      <w:r>
        <w:t xml:space="preserve">3. Billing</w:t>
      </w:r>
    </w:p>
    <w:p>
      <w:pPr>
        <w:spacing w:after="140" w:line="300"/>
      </w:pPr>
      <w:r>
        <w:rPr>
          <w:sz w:val="21"/>
          <w:szCs w:val="21"/>
        </w:rPr>
        <w:t xml:space="preserve">The database holds 60,000 bills totalling 9.31 billion. Each bill links to an appointment through the appointment ID. Of these, 5,000 bills link to an appointment with facility and department detail, and these total 771,133,439.</w:t>
      </w:r>
    </w:p>
    <w:p>
      <w:pPr>
        <w:spacing w:after="140" w:line="300"/>
      </w:pPr>
      <w:r>
        <w:rPr>
          <w:sz w:val="21"/>
          <w:szCs w:val="21"/>
        </w:rPr>
        <w:t xml:space="preserve">Representativeness test. Bill amounts for matched and unmatched bills were compared using a Kolmogorov-Smirnov test (p = 0.66), so there is no evidence the two groups differ in amount. Payment status and diagnosis severity shares differ by under one percentage point. The billing findings can therefore be generalised beyond the matched subset, with that caveat stated.</w:t>
      </w:r>
    </w:p>
    <w:p>
      <w:pPr>
        <w:spacing w:after="140" w:line="300"/>
      </w:pPr>
      <w:r>
        <w:rPr>
          <w:sz w:val="21"/>
          <w:szCs w:val="21"/>
        </w:rPr>
        <w:t xml:space="preserve">Outstanding balance. The outstanding balance is the billed amount less payments received, for bills not yet fully paid. It totals 919,947,405 across 11,887 bills, about 10% of total billed.</w:t>
      </w:r>
    </w:p>
    <w:p>
      <w:pPr>
        <w:pStyle w:val="Heading1"/>
        <w:spacing w:after="120" w:before="280"/>
      </w:pPr>
      <w:r>
        <w:t xml:space="preserve">4. Monthly revenue trend</w:t>
      </w:r>
    </w:p>
    <w:p>
      <w:pPr>
        <w:spacing w:after="140" w:line="300"/>
      </w:pPr>
      <w:r>
        <w:rPr>
          <w:sz w:val="21"/>
          <w:szCs w:val="21"/>
        </w:rPr>
        <w:t xml:space="preserve">Billing has no dates, so the monthly trend uses the 5,000 matched bills, dated through their appointments. Monthly totals range from 57.2 million in September to 70.2 million in June.</w:t>
      </w:r>
    </w:p>
    <w:p>
      <w:pPr>
        <w:spacing w:after="140" w:line="300"/>
      </w:pPr>
      <w:r>
        <w:rPr>
          <w:sz w:val="21"/>
          <w:szCs w:val="21"/>
        </w:rPr>
        <w:t xml:space="preserve">A linear trend was fitted to the twelve monthly totals. The slope is -0.3 million per month (p = 0.37), which is not statistically significant. Monthly variation is 5.9% of the mean. The data therefore shows no sustained growth or decline. The series covers the full calendar year, so this finding is not explained by a partial month.</w:t>
      </w:r>
    </w:p>
    <w:p>
      <w:pPr>
        <w:spacing w:after="140" w:line="300"/>
      </w:pPr>
      <w:r>
        <w:rPr>
          <w:sz w:val="21"/>
          <w:szCs w:val="21"/>
        </w:rPr>
        <w:t xml:space="preserve">Limitation: the trend covers the matched subset only. It should not be read as the trend for all 9.31 billion billed.</w:t>
      </w:r>
    </w:p>
    <w:p>
      <w:pPr>
        <w:pStyle w:val="Heading1"/>
        <w:spacing w:after="120" w:before="280"/>
      </w:pPr>
      <w:r>
        <w:t xml:space="preserve">5. Payments and claims</w:t>
      </w:r>
    </w:p>
    <w:p>
      <w:pPr>
        <w:spacing w:after="140" w:line="300"/>
      </w:pPr>
      <w:r>
        <w:rPr>
          <w:sz w:val="21"/>
          <w:szCs w:val="21"/>
        </w:rPr>
        <w:t xml:space="preserve">Payments total 8.39 billion, split across card (2.12bn), mobile money (2.10bn), insurance (2.09bn) and cash (2.07bn). No single method accounts for a dominant share. Insurance claims total 4.88 billion across four providers, each between 1.21 and 1.24 billion.</w:t>
      </w:r>
    </w:p>
    <w:p>
      <w:pPr>
        <w:pStyle w:val="Heading1"/>
        <w:spacing w:after="120" w:before="280"/>
      </w:pPr>
      <w:r>
        <w:t xml:space="preserve">6. Patient feedback</w:t>
      </w:r>
    </w:p>
    <w:p>
      <w:pPr>
        <w:spacing w:after="140" w:line="300"/>
      </w:pPr>
      <w:r>
        <w:rPr>
          <w:sz w:val="21"/>
          <w:szCs w:val="21"/>
        </w:rPr>
        <w:t xml:space="preserve">There are 21,064 feedback responses. Ratings of 1 or 2 total 8,518, a complaint rate of 40.4%. Feedback is linked to a facility only through its appointment, which applies to 1,756 responses (8%).</w:t>
      </w:r>
    </w:p>
    <w:p>
      <w:pPr>
        <w:spacing w:after="140" w:line="300"/>
      </w:pPr>
      <w:r>
        <w:rPr>
          <w:sz w:val="21"/>
          <w:szCs w:val="21"/>
        </w:rPr>
        <w:t xml:space="preserve">Linked against unlinked feedback. The linked mean rating is 2.93 and the unlinked mean is 2.99 (Welch test p = 0.05). The complaint rate is 40.9% for linked responses and 40.4% for unlinked. The linked subset is therefore a reasonable sample for complaint analysis, with the mean rating difference noted.</w:t>
      </w:r>
    </w:p>
    <w:p>
      <w:pPr>
        <w:pStyle w:val="Heading1"/>
        <w:spacing w:after="120" w:before="280"/>
      </w:pPr>
      <w:r>
        <w:t xml:space="preserve">7. Rating differences across facilities and departments</w:t>
      </w:r>
    </w:p>
    <w:p>
      <w:pPr>
        <w:spacing w:after="140" w:line="300"/>
      </w:pPr>
      <w:r>
        <w:rPr>
          <w:sz w:val="21"/>
          <w:szCs w:val="21"/>
        </w:rPr>
        <w:t xml:space="preserve">Ratings were tested for differences across the 20 facilities using one-way ANOVA (p = 0.79) and the Kruskal-Wallis test (p = 0.80). Across departments, the ANOVA gives p = 0.29.</w:t>
      </w:r>
    </w:p>
    <w:p>
      <w:pPr>
        <w:spacing w:after="140" w:line="300"/>
      </w:pPr>
      <w:r>
        <w:rPr>
          <w:sz w:val="21"/>
          <w:szCs w:val="21"/>
        </w:rPr>
        <w:t xml:space="preserve">Neither grouping shows a statistically meaningful difference in ratings. The apparent ranking of facilities and departments, including the lowest department, reflects sampling variation within a narrow range. Facility and department ratings are therefore not used as features or findings, and the report recommends system-wide action on complaints rather than action aimed at specific sites.</w:t>
      </w:r>
    </w:p>
    <w:p>
      <w:pPr>
        <w:pStyle w:val="Heading1"/>
        <w:spacing w:after="120" w:before="280"/>
      </w:pPr>
      <w:r>
        <w:t xml:space="preserve">8. Revenue summary table</w:t>
      </w:r>
    </w:p>
    <w:p>
      <w:pPr>
        <w:spacing w:after="140" w:line="300"/>
      </w:pPr>
      <w:r>
        <w:rPr>
          <w:sz w:val="21"/>
          <w:szCs w:val="21"/>
        </w:rPr>
        <w:t xml:space="preserve">The pre-aggregated revenue summary table totals 1.13 billion and 60,809 appointments. The billing table totals 9.31 billion across 60,000 bills. The two sources do not reconcile, so the summary table was removed from the dashboard and is not used in any finding.</w:t>
      </w:r>
    </w:p>
    <w:p>
      <w:pPr>
        <w:pStyle w:val="Heading1"/>
        <w:spacing w:after="120" w:before="280"/>
      </w:pPr>
      <w:r>
        <w:t xml:space="preserve">9. Data limitations</w:t>
      </w:r>
    </w:p>
    <w:p>
      <w:pPr>
        <w:pStyle w:val="ListParagraph"/>
        <w:numPr>
          <w:ilvl w:val="0"/>
          <w:numId w:val="1"/>
        </w:numPr>
        <w:spacing w:after="80" w:line="290"/>
      </w:pPr>
      <w:r>
        <w:rPr>
          <w:sz w:val="21"/>
          <w:szCs w:val="21"/>
        </w:rPr>
        <w:t xml:space="preserve">Only 5,000 of 60,000 appointments link to a facility and department.</w:t>
      </w:r>
    </w:p>
    <w:p>
      <w:pPr>
        <w:pStyle w:val="ListParagraph"/>
        <w:numPr>
          <w:ilvl w:val="0"/>
          <w:numId w:val="1"/>
        </w:numPr>
        <w:spacing w:after="80" w:line="290"/>
      </w:pPr>
      <w:r>
        <w:rPr>
          <w:sz w:val="21"/>
          <w:szCs w:val="21"/>
        </w:rPr>
        <w:t xml:space="preserve">Bills have no dates. The monthly trend uses the matched subset.</w:t>
      </w:r>
    </w:p>
    <w:p>
      <w:pPr>
        <w:pStyle w:val="ListParagraph"/>
        <w:numPr>
          <w:ilvl w:val="0"/>
          <w:numId w:val="1"/>
        </w:numPr>
        <w:spacing w:after="80" w:line="290"/>
      </w:pPr>
      <w:r>
        <w:rPr>
          <w:sz w:val="21"/>
          <w:szCs w:val="21"/>
        </w:rPr>
        <w:t xml:space="preserve">The dataset has no attendance or no-show field. Attendance findings cannot be tested or reported.</w:t>
      </w:r>
    </w:p>
    <w:p>
      <w:pPr>
        <w:pStyle w:val="ListParagraph"/>
        <w:numPr>
          <w:ilvl w:val="0"/>
          <w:numId w:val="1"/>
        </w:numPr>
        <w:spacing w:after="80" w:line="290"/>
      </w:pPr>
      <w:r>
        <w:rPr>
          <w:sz w:val="21"/>
          <w:szCs w:val="21"/>
        </w:rPr>
        <w:t xml:space="preserve">No admission, discharge or ward records exist in the 27 source tables. The admission target cannot be derived from this data until the data owner supplies the source.</w:t>
      </w:r>
    </w:p>
    <w:p>
      <w:pPr>
        <w:pStyle w:val="ListParagraph"/>
        <w:numPr>
          <w:ilvl w:val="0"/>
          <w:numId w:val="1"/>
        </w:numPr>
        <w:spacing w:after="80" w:line="290"/>
      </w:pPr>
      <w:r>
        <w:rPr>
          <w:sz w:val="21"/>
          <w:szCs w:val="21"/>
        </w:rPr>
        <w:t xml:space="preserve">Facilities are identified by ID only. Facility names are not available.</w:t>
      </w:r>
    </w:p>
    <w:p>
      <w:pPr>
        <w:pStyle w:val="ListParagraph"/>
        <w:numPr>
          <w:ilvl w:val="0"/>
          <w:numId w:val="1"/>
        </w:numPr>
        <w:spacing w:after="80" w:line="290"/>
      </w:pPr>
      <w:r>
        <w:rPr>
          <w:sz w:val="21"/>
          <w:szCs w:val="21"/>
        </w:rPr>
        <w:t xml:space="preserve">The source data does not state a currency. Amounts are shown without a currency code.</w:t>
      </w:r>
    </w:p>
    <w:p>
      <w:pPr>
        <w:pStyle w:val="Heading1"/>
        <w:spacing w:after="120" w:before="280"/>
      </w:pPr>
      <w:r>
        <w:t xml:space="preserve">10. Implications for modelling</w:t>
      </w:r>
    </w:p>
    <w:p>
      <w:pPr>
        <w:spacing w:after="140" w:line="300"/>
      </w:pPr>
      <w:r>
        <w:rPr>
          <w:sz w:val="21"/>
          <w:szCs w:val="21"/>
        </w:rPr>
        <w:t xml:space="preserve">The following points were shared with the data science partner for the admission model.</w:t>
      </w:r>
    </w:p>
    <w:p>
      <w:pPr>
        <w:pStyle w:val="ListParagraph"/>
        <w:numPr>
          <w:ilvl w:val="0"/>
          <w:numId w:val="1"/>
        </w:numPr>
        <w:spacing w:after="80" w:line="290"/>
      </w:pPr>
      <w:r>
        <w:rPr>
          <w:sz w:val="21"/>
          <w:szCs w:val="21"/>
        </w:rPr>
        <w:t xml:space="preserve">Usable: gender and chronic condition.</w:t>
      </w:r>
    </w:p>
    <w:p>
      <w:pPr>
        <w:pStyle w:val="ListParagraph"/>
        <w:numPr>
          <w:ilvl w:val="0"/>
          <w:numId w:val="1"/>
        </w:numPr>
        <w:spacing w:after="80" w:line="290"/>
      </w:pPr>
      <w:r>
        <w:rPr>
          <w:sz w:val="21"/>
          <w:szCs w:val="21"/>
        </w:rPr>
        <w:t xml:space="preserve">Usable with caveats: age, previous appointment count, visit type, department, appointment month and day of week.</w:t>
      </w:r>
    </w:p>
    <w:p>
      <w:pPr>
        <w:pStyle w:val="ListParagraph"/>
        <w:numPr>
          <w:ilvl w:val="0"/>
          <w:numId w:val="1"/>
        </w:numPr>
        <w:spacing w:after="80" w:line="290"/>
      </w:pPr>
      <w:r>
        <w:rPr>
          <w:sz w:val="21"/>
          <w:szCs w:val="21"/>
        </w:rPr>
        <w:t xml:space="preserve">On hold until timing is confirmed: disease severity and diagnosis, which are recorded at the same visit as any outcome.</w:t>
      </w:r>
    </w:p>
    <w:p>
      <w:pPr>
        <w:pStyle w:val="ListParagraph"/>
        <w:numPr>
          <w:ilvl w:val="0"/>
          <w:numId w:val="1"/>
        </w:numPr>
        <w:spacing w:after="80" w:line="290"/>
      </w:pPr>
      <w:r>
        <w:rPr>
          <w:sz w:val="21"/>
          <w:szCs w:val="21"/>
        </w:rPr>
        <w:t xml:space="preserve">Not usable: previous admission count and rate, because no admission records exist.</w:t>
      </w:r>
    </w:p>
    <w:p>
      <w:pPr>
        <w:pStyle w:val="ListParagraph"/>
        <w:numPr>
          <w:ilvl w:val="0"/>
          <w:numId w:val="1"/>
        </w:numPr>
        <w:spacing w:after="80" w:line="290"/>
      </w:pPr>
      <w:r>
        <w:rPr>
          <w:sz w:val="21"/>
          <w:szCs w:val="21"/>
        </w:rPr>
        <w:t xml:space="preserve">Excluded: facility and department ratings, because their differences are not statistically significant.</w:t>
      </w:r>
    </w:p>
    <w:p>
      <w:pPr>
        <w:spacing w:after="140" w:line="300"/>
      </w:pPr>
      <w:r>
        <w:rPr>
          <w:sz w:val="21"/>
          <w:szCs w:val="21"/>
        </w:rPr>
        <w:t xml:space="preserve">The admission target cannot be used until its source is confirmed.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2026-11-01T08:29:52.452Z</dcterms:created>
  <dcterms:modified xsi:type="dcterms:W3CDTF">2026-11-01T08:29:52.461Z</dcterms:modified>
</cp:coreProperties>
</file>

<file path=docProps/custom.xml><?xml version="1.0" encoding="utf-8"?>
<Properties xmlns="http://schemas.openxmlformats.org/officeDocument/2006/custom-properties" xmlns:vt="http://schemas.openxmlformats.org/officeDocument/2006/docPropsVTypes"/>
</file>