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HealthConnect Model Testing &amp; Refinement Report</w:t>
      </w:r>
    </w:p>
    <w:p>
      <w:pPr>
        <w:jc w:val="center"/>
      </w:pPr>
      <w:r>
        <w:rPr>
          <w:i/>
        </w:rPr>
        <w:t>Testing, Error Analysis, Evidence-Based Refinement and Week 8 Readiness</w:t>
      </w:r>
    </w:p>
    <w:p>
      <w:pPr>
        <w:jc w:val="center"/>
      </w:pPr>
      <w:r>
        <w:t>AnalystLab Africa Experience Lab - Week 7 | Data Science Track</w:t>
      </w:r>
    </w:p>
    <w:p>
      <w:r>
        <w:rPr>
          <w:b/>
        </w:rPr>
        <w:t xml:space="preserve">Scope statement. </w:t>
      </w:r>
      <w:r>
        <w:t>This report continues the exact Week 6 HealthConnect Rwanda Data Science work. AnalystLab Africa clarified that Week 7 must use the same Week 6 dataset. No attendance/no-show outcome exists in that data, so the report does not fabricate one. The genuine Week 6 hospital-admission classification component is tested and refined instead.</w:t>
      </w:r>
    </w:p>
    <w:p>
      <w:pPr>
        <w:pStyle w:val="Heading1"/>
      </w:pPr>
      <w:r>
        <w:t>1. Week 6 to Week 7 Transition</w:t>
      </w:r>
    </w:p>
    <w:p>
      <w:pPr>
        <w:pStyle w:val="ListBullet"/>
      </w:pPr>
      <w:r>
        <w:t>Main Week 6 output: an integrated HealthConnect Rwanda Data Science project covering data quality, EDA, statistical testing, forecasting, admission prediction, satisfaction prediction and clustering.</w:t>
      </w:r>
    </w:p>
    <w:p>
      <w:pPr>
        <w:pStyle w:val="ListBullet"/>
      </w:pPr>
      <w:r>
        <w:t>Most important Week 6 classification result: Gradient Boosting ranked first by ROC-AUC, but ROC-AUC was only 0.4967, indicating near-random discrimination.</w:t>
      </w:r>
    </w:p>
    <w:p>
      <w:pPr>
        <w:pStyle w:val="ListBullet"/>
      </w:pPr>
      <w:r>
        <w:t>Main dependency/limitation: the supplied appointment data has no attendance/no-show/cancellation outcome; therefore the overall missed-appointment objective cannot be directly modelled from the supplied Week 6 Rwanda data.</w:t>
      </w:r>
    </w:p>
    <w:p>
      <w:pPr>
        <w:pStyle w:val="ListBullet"/>
      </w:pPr>
      <w:r>
        <w:t>Week 7 component tested: hospital-admission prediction, because it is the genuine classification model already developed in Week 6.</w:t>
      </w:r>
    </w:p>
    <w:p>
      <w:pPr>
        <w:pStyle w:val="ListBullet"/>
      </w:pPr>
      <w:r>
        <w:t>Week 7 objective: reproduce the candidate, test generalisation and errors, refine only where evidence supports it, re-test, and decide suitability for the intended HealthConnect use case.</w:t>
      </w:r>
    </w:p>
    <w:p>
      <w:pPr>
        <w:pStyle w:val="Heading1"/>
      </w:pPr>
      <w:r>
        <w:t>2. Assignment Alignment</w:t>
      </w:r>
    </w:p>
    <w:p>
      <w:r>
        <w:rPr>
          <w:rFonts w:ascii="Aptos" w:hAnsi="Aptos"/>
        </w:rPr>
        <w:t>The Week 7 Data Science track requires candidate-model review, appropriate validation data, classification metrics, error analysis, false-positive/false-negative analysis, segment performance, feature review, overfitting/generalisation checks, baseline comparison, refinement, retesting, suitability assessment, cross-track evidence, limitations/risks and Week 8 recommendations. This report and the executed notebook cover those elements, including a completed Data Analytics -&gt; Data Science HC-POD validation with Agu Precious.</w:t>
      </w:r>
    </w:p>
    <w:p>
      <w:pPr>
        <w:pStyle w:val="Heading1"/>
      </w:pPr>
      <w:r>
        <w:t>3. Data and Target Audit</w:t>
      </w:r>
    </w:p>
    <w:p>
      <w:r>
        <w:t>The integrated Week 6 detailed sample contains 5,000 records and 51 fields. Hospital admission prevalence is 11.72%. No attendance/no-show-like field was found. This is treated as a documented data limitation, not replaced with a proxy target.</w:t>
      </w:r>
    </w:p>
    <w:p>
      <w:pPr>
        <w:pStyle w:val="Heading1"/>
      </w:pPr>
      <w:r>
        <w:t>4. Week 6 Candidate Reproduction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fill="D9EAF7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022"/>
            <w:shd w:fill="D9EAF7"/>
            <w:vAlign w:val="center"/>
          </w:tcPr>
          <w:p>
            <w:r>
              <w:rPr>
                <w:b/>
                <w:sz w:val="16"/>
              </w:rPr>
              <w:t>ROC AUC</w:t>
            </w:r>
          </w:p>
        </w:tc>
        <w:tc>
          <w:tcPr>
            <w:tcW w:type="dxa" w:w="1022"/>
            <w:shd w:fill="D9EAF7"/>
            <w:vAlign w:val="center"/>
          </w:tcPr>
          <w:p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1022"/>
            <w:shd w:fill="D9EAF7"/>
            <w:vAlign w:val="center"/>
          </w:tcPr>
          <w:p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1022"/>
            <w:shd w:fill="D9EAF7"/>
            <w:vAlign w:val="center"/>
          </w:tcPr>
          <w:p>
            <w:r>
              <w:rPr>
                <w:b/>
                <w:sz w:val="16"/>
              </w:rPr>
              <w:t>Recall</w:t>
            </w:r>
          </w:p>
        </w:tc>
        <w:tc>
          <w:tcPr>
            <w:tcW w:type="dxa" w:w="1022"/>
            <w:shd w:fill="D9EAF7"/>
            <w:vAlign w:val="center"/>
          </w:tcPr>
          <w:p>
            <w:r>
              <w:rPr>
                <w:b/>
                <w:sz w:val="16"/>
              </w:rPr>
              <w:t>F1</w:t>
            </w:r>
          </w:p>
        </w:tc>
        <w:tc>
          <w:tcPr>
            <w:tcW w:type="dxa" w:w="1022"/>
            <w:shd w:fill="D9EAF7"/>
            <w:vAlign w:val="center"/>
          </w:tcPr>
          <w:p>
            <w:r>
              <w:rPr>
                <w:b/>
                <w:sz w:val="16"/>
              </w:rPr>
              <w:t>TN</w:t>
            </w:r>
          </w:p>
        </w:tc>
        <w:tc>
          <w:tcPr>
            <w:tcW w:type="dxa" w:w="1022"/>
            <w:shd w:fill="D9EAF7"/>
            <w:vAlign w:val="center"/>
          </w:tcPr>
          <w:p>
            <w:r>
              <w:rPr>
                <w:b/>
                <w:sz w:val="16"/>
              </w:rPr>
              <w:t>FP</w:t>
            </w:r>
          </w:p>
        </w:tc>
        <w:tc>
          <w:tcPr>
            <w:tcW w:type="dxa" w:w="1022"/>
            <w:shd w:fill="D9EAF7"/>
            <w:vAlign w:val="center"/>
          </w:tcPr>
          <w:p>
            <w:r>
              <w:rPr>
                <w:b/>
                <w:sz w:val="16"/>
              </w:rPr>
              <w:t>FN</w:t>
            </w:r>
          </w:p>
        </w:tc>
        <w:tc>
          <w:tcPr>
            <w:tcW w:type="dxa" w:w="1022"/>
            <w:shd w:fill="D9EAF7"/>
            <w:vAlign w:val="center"/>
          </w:tcPr>
          <w:p>
            <w:r>
              <w:rPr>
                <w:b/>
                <w:sz w:val="16"/>
              </w:rPr>
              <w:t>TP</w:t>
            </w:r>
          </w:p>
        </w:tc>
      </w:tr>
      <w:tr>
        <w:tc>
          <w:tcPr>
            <w:tcW w:type="dxa" w:w="1022"/>
          </w:tcPr>
          <w:p>
            <w:r>
              <w:rPr>
                <w:sz w:val="16"/>
              </w:rPr>
              <w:t>Gradient Boosting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0.4967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0.8810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881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022"/>
          </w:tcPr>
          <w:p>
            <w:r>
              <w:rPr>
                <w:sz w:val="16"/>
              </w:rPr>
              <w:t>Logistic Regression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0.4959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0.5320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0.1091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0.4188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0.1731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483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1022"/>
          </w:tcPr>
          <w:p>
            <w:r>
              <w:rPr>
                <w:sz w:val="16"/>
              </w:rPr>
              <w:t>Random Forest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0.4829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0.7280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0.1026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0.1709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0.1282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708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022"/>
          </w:tcPr>
          <w:p>
            <w:r>
              <w:rPr>
                <w:sz w:val="16"/>
              </w:rPr>
              <w:t>20</w:t>
            </w:r>
          </w:p>
        </w:tc>
      </w:tr>
    </w:tbl>
    <w:p>
      <w:r>
        <w:t>Reproduction confirms the historical Week 6 result: Gradient Boosting has the highest ROC-AUC of the tested models, but its ROC-AUC is approximately 0.497 and its default-threshold recall is 0. This establishes continuity without overstating model quality.</w:t>
      </w:r>
    </w:p>
    <w:p>
      <w:pPr>
        <w:pStyle w:val="Heading1"/>
      </w:pPr>
      <w:r>
        <w:t>5. Week 7 Testing Protocol</w:t>
      </w:r>
    </w:p>
    <w:p>
      <w:r>
        <w:t>The original 20% Week 6 test set is preserved as the final holdout. The original 80% development portion is split into 60% training and 20% validation. Refinement and threshold decisions are based on validation data only. Five-fold stratified cross-validation on the development data is used to assess stability.</w:t>
      </w:r>
    </w:p>
    <w:p>
      <w:pPr>
        <w:pStyle w:val="Heading1"/>
      </w:pPr>
      <w:r>
        <w:t>6. Candidate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ROC AUC</w:t>
            </w:r>
          </w:p>
        </w:tc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PR AUC</w:t>
            </w:r>
          </w:p>
        </w:tc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Balanced Accuracy</w:t>
            </w:r>
          </w:p>
        </w:tc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Recall</w:t>
            </w:r>
          </w:p>
        </w:tc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F1</w:t>
            </w:r>
          </w:p>
        </w:tc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FP</w:t>
            </w:r>
          </w:p>
        </w:tc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FN</w:t>
            </w:r>
          </w:p>
        </w:tc>
        <w:tc>
          <w:tcPr>
            <w:tcW w:type="dxa" w:w="929"/>
            <w:shd w:fill="D9EAF7"/>
            <w:vAlign w:val="center"/>
          </w:tcPr>
          <w:p>
            <w:r>
              <w:rPr>
                <w:b/>
                <w:sz w:val="16"/>
              </w:rPr>
              <w:t>TP</w:t>
            </w:r>
          </w:p>
        </w:tc>
      </w:tr>
      <w:tr>
        <w:tc>
          <w:tcPr>
            <w:tcW w:type="dxa" w:w="929"/>
          </w:tcPr>
          <w:p>
            <w:r>
              <w:rPr>
                <w:sz w:val="16"/>
              </w:rPr>
              <w:t>Dummy Prior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0.5000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0.1170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0.8830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0.5000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29"/>
          </w:tcPr>
          <w:p>
            <w:r>
              <w:rPr>
                <w:sz w:val="16"/>
              </w:rPr>
              <w:t>Logistic Regression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0.5107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0.1207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0.5650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0.5053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0.1196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0.4274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0.1869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368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929"/>
          </w:tcPr>
          <w:p>
            <w:r>
              <w:rPr>
                <w:sz w:val="16"/>
              </w:rPr>
              <w:t>Random Forest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0.4952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0.1150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0.7710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0.4959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0.1111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0.1368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0.1226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128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29"/>
          </w:tcPr>
          <w:p>
            <w:r>
              <w:rPr>
                <w:sz w:val="16"/>
              </w:rPr>
              <w:t>Week 6 Candidate - Gradient Boosting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0.4917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0.1244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0.8830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0.5037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0.5000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0.0085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0.0168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  <w:t>1</w:t>
            </w:r>
          </w:p>
        </w:tc>
      </w:tr>
    </w:tbl>
    <w:p>
      <w:r>
        <w:t>On the final holdout, the Week 6 candidate ROC-AUC is 0.4917 and PR-AUC is 0.1244. Recall is only 0.0085. The model therefore provides no reliable discrimination and misses almost all positive admissions at threshold 0.50.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Test ROC curves; the candidate remains close to chance.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recall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Test precision-recall curves relative to positive-class prevalence.</w:t>
      </w:r>
    </w:p>
    <w:p>
      <w:pPr>
        <w:pStyle w:val="Heading1"/>
      </w:pPr>
      <w:r>
        <w:t>7. Error Analysis</w:t>
      </w:r>
    </w:p>
    <w:p>
      <w:r>
        <w:t>The final test confusion matrix contains TN=882, FP=1, FN=116 and TP=1. The dominant error is false negatives: the model classifies almost every admission as non-admission.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877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candi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7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Candidate confusion matrix on the untouched test set.</w:t>
      </w:r>
    </w:p>
    <w:p>
      <w:r>
        <w:t>Operational implication: nominal accuracy is misleading because the class is imbalanced. A model that predicts almost everyone as non-admitted can appear accurate while providing little clinical/administrative value. Balanced accuracy, recall, PR-AUC and the confusion matrix are therefore essential.</w:t>
      </w:r>
    </w:p>
    <w:p>
      <w:pPr>
        <w:pStyle w:val="Heading1"/>
      </w:pPr>
      <w:r>
        <w:t>8. Generalisation and Segment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Mean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6"/>
              </w:rPr>
              <w:t>Std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Logistic Regression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0.5054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0.0171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Week 6 Candidate - Gradient Boosting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0.4811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0.0205</w:t>
            </w:r>
          </w:p>
        </w:tc>
      </w:tr>
    </w:tbl>
    <w:p>
      <w:r>
        <w:t>Five-fold cross-validation confirms that the weakness is not just one unlucky split. Mean ROC-AUC remains around chance. Segment testing across gender, visit type, severity and age groups also does not identify a subgroup with sufficiently reliable performance for deployment.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validated_au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Cross-validated ROC-AUC; chance-level reference shown at 0.50.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au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Candidate ROC-AUC across selected test segments.</w:t>
      </w:r>
    </w:p>
    <w:p>
      <w:pPr>
        <w:pStyle w:val="Heading1"/>
      </w:pPr>
      <w:r>
        <w:t>9. Feature Review and Refinement</w:t>
      </w:r>
    </w:p>
    <w:p>
      <w:r>
        <w:rPr>
          <w:rFonts w:ascii="Aptos" w:hAnsi="Aptos"/>
        </w:rPr>
        <w:t>Permutation importance values are small and unstable, consistent with weak predictive signal. An initial refinement removed FacilityID and DepartmentID and tested a class-balanced Logistic Regression comparator. The later cross-track review with Data Analytics refined this interpretation: non-significant facility/department rating differences do not prove FacilityID or DepartmentID lack predictive value. They were therefore retained with caveats in the cross-track re-test, while Diagnosis and Severity were held back because their prediction-time availability could create leakage.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utation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Candidate permutation importance on validation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Split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ROC AUC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PR AUC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Balanced Accuracy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Recall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F1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FP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FN</w:t>
            </w:r>
          </w:p>
        </w:tc>
        <w:tc>
          <w:tcPr>
            <w:tcW w:type="dxa" w:w="852"/>
            <w:shd w:fill="D9EAF7"/>
            <w:vAlign w:val="center"/>
          </w:tcPr>
          <w:p>
            <w:r>
              <w:rPr>
                <w:b/>
                <w:sz w:val="16"/>
              </w:rPr>
              <w:t>TP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0.4150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0.4875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0.1119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0.2530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0.5288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0.1241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0.8889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0.2178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0.4150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0.5420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0.1303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0.2370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0.5086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0.1191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0.8632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0.2093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747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  <w:t>101</w:t>
            </w:r>
          </w:p>
        </w:tc>
      </w:tr>
    </w:tbl>
    <w:p>
      <w:pPr>
        <w:pStyle w:val="Heading1"/>
      </w:pPr>
      <w:r>
        <w:t>10. Refinement Retest and Decision</w:t>
      </w:r>
    </w:p>
    <w:p>
      <w:r>
        <w:t>The refined comparator reaches test ROC-AUC 0.5420, recall 0.8632 and precision 0.1191. However, its five-fold cross-validated ROC-AUC is only 0.4875 ± 0.0257. The holdout increase is therefore not a stable, validated improvement. The low precision also means a very large false-positive burden.</w:t>
      </w:r>
    </w:p>
    <w:p>
      <w:r>
        <w:t>Decision: reject the refinement as a validated operational model. Do not promote either candidate to deployment. The correct evidence-based result is that the current feature set does not support reliable individual admission prediction.</w:t>
      </w:r>
    </w:p>
    <w:p>
      <w:pPr>
        <w:pStyle w:val="Heading1"/>
      </w:pPr>
      <w:r>
        <w:t>11. Baseline Comparison and Week 5 Continuity Gap</w:t>
      </w:r>
    </w:p>
    <w:p>
      <w:r>
        <w:t>The official generic brief refers to a Week 5 HealthConnect baseline classification model. The preserved project history for this user does not contain a valid Week 5 HealthConnect attendance/admission classifier; Week 5 was a different SwiftLog project. This report therefore does not fabricate a Week 5 model. It uses a Dummy Prior classifier and the Week 6 Logistic Regression comparator as transparent technical baselines, while clearly labelling the continuity gap.</w:t>
      </w:r>
    </w:p>
    <w:p>
      <w:pPr>
        <w:pStyle w:val="Heading1"/>
      </w:pPr>
      <w:r>
        <w:t>12. Business Relevance and Model Suitability</w:t>
      </w:r>
    </w:p>
    <w:p>
      <w:r>
        <w:t>The current admission model is not suitable for operational HealthConnect use. It does not reliably rank admissions, its default threshold misses almost all positives, and the tested high-recall refinement generates too many false positives. Model outputs should not be used for clinical decisions, patient prioritisation or automated resource allocation.</w:t>
      </w:r>
    </w:p>
    <w:p>
      <w:r>
        <w:t>For the broader appointment-attendance objective, the supplied Week 6 Rwanda data does not contain an attendance/no-show target. Any attendance prediction claim would therefore be unsupported.</w:t>
      </w:r>
    </w:p>
    <w:p>
      <w:pPr>
        <w:pStyle w:val="Heading1"/>
      </w:pPr>
      <w:r>
        <w:t>13. HC-POD Cross-Track Testing</w:t>
      </w:r>
    </w:p>
    <w:p>
      <w:r>
        <w:rPr>
          <w:rFonts w:ascii="Aptos" w:hAnsi="Aptos"/>
        </w:rPr>
        <w:t>A genuine Data Analytics -&gt; Data Science validation was completed with Agu Precious. Her validation summary and feature review supported Gender, HasChronicCondition and VisitType; supported Age with appointment-date calculation; retained FacilityID and DepartmentID with caveats; identified MaritalStatus, Education, BloodGroup and BMI as requiring further validation; and flagged Diagnosis and Severity for prediction-time leakage review. She also recommended time-safe PriorVisits, appointment month and weekday. The Data Science prediction point was defined as patient arrival / before initial clinical assessment. The resulting pre-assessment feature set used AgeAtAppointment, Gender, HasChronicCondition, VisitType, FacilityID, DepartmentID, PriorVisits, AppointmentMonth and AppointmentWeekday. Re-testing produced Gradient Boosting holdout ROC-AUC 0.5189 and 5-fold CV ROC-AUC 0.5237 +/- 0.0246. Balanced Logistic Regression produced holdout ROC-AUC 0.5024 and CV ROC-AUC 0.4986 +/- 0.0322. The collaboration therefore improved feature governance and leakage control, but did not validate an operationally useful model.</w:t>
      </w:r>
    </w:p>
    <w:p>
      <w:pPr>
        <w:pStyle w:val="Heading1"/>
      </w:pPr>
      <w:r>
        <w:t>14. Limitations, Risks and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AF7"/>
            <w:vAlign w:val="center"/>
          </w:tcPr>
          <w:p>
            <w:r>
              <w:rPr>
                <w:b/>
                <w:sz w:val="16"/>
              </w:rPr>
              <w:t>Issue ID</w:t>
            </w:r>
          </w:p>
        </w:tc>
        <w:tc>
          <w:tcPr>
            <w:tcW w:type="dxa" w:w="1461"/>
            <w:shd w:fill="D9EAF7"/>
            <w:vAlign w:val="center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461"/>
            <w:shd w:fill="D9EAF7"/>
            <w:vAlign w:val="center"/>
          </w:tcPr>
          <w:p>
            <w:r>
              <w:rPr>
                <w:b/>
                <w:sz w:val="16"/>
              </w:rPr>
              <w:t>Issue</w:t>
            </w:r>
          </w:p>
        </w:tc>
        <w:tc>
          <w:tcPr>
            <w:tcW w:type="dxa" w:w="1461"/>
            <w:shd w:fill="D9EAF7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461"/>
            <w:shd w:fill="D9EAF7"/>
            <w:vAlign w:val="center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461"/>
            <w:shd w:fill="D9EAF7"/>
            <w:vAlign w:val="center"/>
          </w:tcPr>
          <w:p>
            <w:r>
              <w:rPr>
                <w:b/>
                <w:sz w:val="16"/>
              </w:rPr>
              <w:t>Impact</w:t>
            </w:r>
          </w:p>
        </w:tc>
        <w:tc>
          <w:tcPr>
            <w:tcW w:type="dxa" w:w="1461"/>
            <w:shd w:fill="D9EAF7"/>
            <w:vAlign w:val="center"/>
          </w:tcPr>
          <w:p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W7-01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Attendance/no-show target absent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Week 7 business scenario cannot be directly evaluated for attendance using supplied Rwanda data.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Do not invent target; document limitation; request attendance status field for future iteration.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W7-02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Modelling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Week 6 admission candidate ROC-AUC near 0.50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Model does not discriminate admitted vs non-admitted reliably.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Reject operational deployment; collect stronger pre-admission predictors and revisit target design.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W7-03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Threshold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Gradient Boosting default 0.50 yields almost no positive predictions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Tested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Recall collapses despite high nominal accuracy due to class imbalance.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Evaluate threshold on validation; do not use accuracy alone.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W7-04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Refinement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No-ID balanced logistic comparator improves one holdout AUC but not CV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Rejected refinement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Apparent holdout improvement is unstable and operational precision remains low.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Do not claim validated improvement; retain conclusion of model unsuitability.</w:t>
            </w:r>
          </w:p>
        </w:tc>
      </w:tr>
      <w:tr>
        <w:tc>
          <w:tcPr>
            <w:tcW w:type="dxa" w:w="1461"/>
          </w:tcPr>
          <w:p>
            <w:r>
              <w:rPr>
                <w:sz w:val="16"/>
              </w:rPr>
              <w:t>W7-05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Cross-track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Mandatory HC-POD testing evidence not yet supplied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Pending external evidence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Submission would be incomplete without genuine collaboration evidence.</w:t>
            </w:r>
          </w:p>
        </w:tc>
        <w:tc>
          <w:tcPr>
            <w:tcW w:type="dxa" w:w="1461"/>
          </w:tcPr>
          <w:p>
            <w:r>
              <w:rPr>
                <w:sz w:val="16"/>
              </w:rPr>
              <w:t>Complete one Data Science→ML Engineering or Data Analytics→Data Science test and attach evidence.</w:t>
            </w:r>
          </w:p>
        </w:tc>
      </w:tr>
    </w:tbl>
    <w:p>
      <w:pPr>
        <w:pStyle w:val="Heading1"/>
      </w:pPr>
      <w:r>
        <w:t>15. Week 8 Recommendations</w:t>
      </w:r>
    </w:p>
    <w:p>
      <w:pPr>
        <w:pStyle w:val="ListBullet"/>
      </w:pPr>
      <w:r>
        <w:rPr>
          <w:rFonts w:ascii="Aptos" w:hAnsi="Aptos"/>
        </w:rPr>
        <w:t>Preserve the completed Data Analytics -&gt; Data Science cross-track evidence and carry its prediction-time feature governance into Week 8.</w:t>
      </w:r>
    </w:p>
    <w:p>
      <w:pPr>
        <w:pStyle w:val="ListBullet"/>
      </w:pPr>
      <w:r>
        <w:t>If appointment attendance remains the intended business target, collect or request a true attendance/no-show/cancellation status field and define the prediction time point.</w:t>
      </w:r>
    </w:p>
    <w:p>
      <w:pPr>
        <w:pStyle w:val="ListBullet"/>
      </w:pPr>
      <w:r>
        <w:t>Collect stronger pre-admission predictors that are available before the prediction decision; then reassess admission modelling.</w:t>
      </w:r>
    </w:p>
    <w:p>
      <w:pPr>
        <w:pStyle w:val="ListBullet"/>
      </w:pPr>
      <w:r>
        <w:t>Retain ROC-AUC, PR-AUC, balanced accuracy, recall and error-cost analysis as primary validation measures; do not use raw accuracy alone.</w:t>
      </w:r>
    </w:p>
    <w:p>
      <w:pPr>
        <w:pStyle w:val="ListBullet"/>
      </w:pPr>
      <w:r>
        <w:t>Keep the current negative validation result in the project history rather than replacing it with a stronger-looking but unsupported model.</w:t>
      </w:r>
    </w:p>
    <w:p>
      <w:pPr>
        <w:pStyle w:val="ListBullet"/>
      </w:pPr>
      <w:r>
        <w:t>Prepare Week 8 integration around validated findings and documented limitations rather than deployment of the current model.</w:t>
      </w:r>
    </w:p>
    <w:p>
      <w:pPr>
        <w:pStyle w:val="Heading1"/>
      </w:pPr>
      <w:r>
        <w:t>16. Conclusion</w:t>
      </w:r>
    </w:p>
    <w:p>
      <w:r>
        <w:rPr>
          <w:rFonts w:ascii="Aptos" w:hAnsi="Aptos"/>
        </w:rPr>
        <w:t>Week 7 demonstrates genuine forward progress: the Week 6 candidate was reproduced, systematically tested, subjected to error and segment analysis, refined, re-tested and assessed for suitability. A genuine Data Analytics -&gt; Data Science validation also informed a leakage-safer pre-assessment feature set and an additional re-test. The evidence still does not validate an operational model. That negative result, together with the completed cross-track validation, provides a clear and defensible Week 8 direction.</w:t>
      </w:r>
    </w:p>
    <w:p>
      <w:pPr>
        <w:pStyle w:val="Heading1"/>
      </w:pPr>
      <w:r>
        <w:t>References</w:t>
      </w:r>
    </w:p>
    <w:p>
      <w:r>
        <w:t>AnalystLab Africa. Week 7: HealthConnect Testing, Refinement &amp; End-to-End Validation. Official Weekly Assignment.</w:t>
      </w:r>
    </w:p>
    <w:p>
      <w:r>
        <w:t>AnalystLab Africa 001. Slack clarification supplied by the user: use the same dataset as Week 6 for the Week 7 task.</w:t>
      </w:r>
    </w:p>
    <w:p>
      <w:r>
        <w:t>Week6_DataScience_HealthConnect_TakudzwaGumbo_FINAL.zip. SHA-256: 123ccd7e70aa5161a2e4848ed03b8bdf5eeb2cfb13f175ad5c110577ff3a7a94.</w:t>
      </w:r>
    </w:p>
    <w:p>
      <w:r>
        <w:t>Agu Precious. HealthConnect Rwanda Validation Summary and Week 7 Data Analytics feature-review response, 1 November 2026.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