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Indoor CO2 Concentration from Sensor History and Building Occupancy</w:t>
      </w:r>
    </w:p>
    <w:p>
      <w:r>
        <w:rPr>
          <w:b/>
          <w:i w:val="0"/>
          <w:sz w:val="22"/>
        </w:rPr>
        <w:t>MMA3001 — Numerical Methods and Machine Learning, Project Report</w:t>
      </w:r>
    </w:p>
    <w:p>
      <w:r>
        <w:rPr>
          <w:i w:val="0"/>
          <w:sz w:val="22"/>
        </w:rPr>
        <w:t>Dataset: MMA3001 Dataset 2 — Monash Smart Infrastructure Occupancy and Environmental Data</w:t>
      </w:r>
    </w:p>
    <w:p>
      <w:r>
        <w:rPr>
          <w:i w:val="0"/>
          <w:sz w:val="22"/>
        </w:rPr>
        <w:t>Repository: https://github.com/tgup0010-bot/mma3001-occupancy-prediction</w:t>
      </w:r>
    </w:p>
    <w:p/>
    <w:p>
      <w:pPr>
        <w:pStyle w:val="Heading1"/>
      </w:pPr>
      <w:r>
        <w:t>1. Engineering Problem</w:t>
      </w:r>
    </w:p>
    <w:p>
      <w:r>
        <w:rPr>
          <w:i w:val="0"/>
          <w:sz w:val="22"/>
        </w:rPr>
        <w:t>Indoor CO2 concentration is a standard proxy for ventilation adequacy: as CO2 rises above roughly 800–1000 ppm, it signals that fresh-air supply is not keeping pace with occupant load, which affects both comfort and cognitive performance. A building control system that can anticipate a rising CO2 trend — rather than only reacting once it is already elevated — can pre-emptively increase ventilation, reducing both the lag in air-quality response and the energy cost of running ventilation harder than needed.</w:t>
      </w:r>
    </w:p>
    <w:p>
      <w:r>
        <w:rPr>
          <w:b/>
          <w:i w:val="0"/>
          <w:sz w:val="22"/>
        </w:rPr>
        <w:t xml:space="preserve">The problem this project solves: </w:t>
      </w:r>
      <w:r>
        <w:t>given a sensor's recent CO2 history and the building's current occupancy level, predict that sensor's CO2 concentration 15 minutes ahead. The intended use is as an early-warning signal for a building management system: a rising predicted trend justifies increasing ventilation before the level itself becomes a problem.</w:t>
      </w:r>
    </w:p>
    <w:p>
      <w:r>
        <w:rPr>
          <w:b/>
          <w:i w:val="0"/>
          <w:sz w:val="22"/>
        </w:rPr>
        <w:t>Why regression, and why these methods.</w:t>
      </w:r>
      <w:r>
        <w:t xml:space="preserve"> The task above is a genuine regression problem — a continuous quantity, not a class label — so it is addressed with the four regression methods taught in MMA3001 Week 5 (Linear Regression, Decision Tree Regression, SVR, Neural Network Regression), compared against each other on real data (§4), rather than a single method chosen by preference.</w:t>
      </w:r>
    </w:p>
    <w:p>
      <w:r>
        <w:rPr>
          <w:b/>
          <w:i w:val="0"/>
          <w:sz w:val="22"/>
        </w:rPr>
        <w:t>Limitations of the selected scope.</w:t>
      </w:r>
      <w:r>
        <w:t xml:space="preserve"> Only one environmental sensor (device id 6012002000326) has enough real, contiguous data to model reliably — see §2 for why the other four are excluded. The model predicts that single sensor's CO2, not a building-wide air-quality state.</w:t>
      </w:r>
    </w:p>
    <w:p>
      <w:pPr>
        <w:pStyle w:val="Heading1"/>
      </w:pPr>
      <w:r>
        <w:t>2. Data: Inputs, Outputs, and Sources</w:t>
      </w:r>
    </w:p>
    <w:p>
      <w:r>
        <w:rPr>
          <w:b/>
          <w:i w:val="0"/>
          <w:sz w:val="22"/>
        </w:rPr>
        <w:t>Source.</w:t>
      </w:r>
      <w:r>
        <w:t xml:space="preserve"> MMA3001 Dataset 2 (Monash Smart Infrastructure Occupancy and Environmental Data), course-supplied: the 9.09M-row occupancy event log (5 zones) and the environmental sensor log (5 sensors, nested-JSON payload of Carbon dioxide, Temperature, Humidity, and other variables).</w:t>
      </w:r>
    </w:p>
    <w:p>
      <w:r>
        <w:rPr>
          <w:b/>
          <w:i w:val="0"/>
          <w:sz w:val="22"/>
        </w:rPr>
        <w:t>Which sensor, and why only one.</w:t>
      </w:r>
      <w:r>
        <w:t xml:space="preserve"> Of the 5 environmental sensors, 2 (6012002000227, 6012002000777) report every reading at the same frozen timestamp — a stuck internal clock, not usable as a time series at all (discovered while building this project; see §7). A third (6012002000869, the one sensor traceable to a named room, G.38) has only a 4-month window of data. That leaves two candidates with long real coverage (6012002000241, 6012002000326); 6012002000326 was chosen because it was independently validated against real external weather data (its indoor temperature and humidity correlate r=+0.84 and r=+0.65 respectively with real Bureau of Meteorology readings for the nearest station across 222 real overlapping days — see §7), giving confidence its readings are genuine measurements, not sensor malfunction.</w:t>
      </w:r>
    </w:p>
    <w:p>
      <w:r>
        <w:rPr>
          <w:b/>
          <w:i w:val="0"/>
          <w:sz w:val="22"/>
        </w:rPr>
        <w:t>Inputs (top-level).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Input</w:t>
            </w:r>
          </w:p>
        </w:tc>
        <w:tc>
          <w:tcPr>
            <w:tcW w:type="dxa" w:w="2160"/>
          </w:tcPr>
          <w:p>
            <w:r>
              <w:rPr>
                <w:b/>
              </w:rPr>
              <w:t>Format / units</w:t>
            </w:r>
          </w:p>
        </w:tc>
        <w:tc>
          <w:tcPr>
            <w:tcW w:type="dxa" w:w="2160"/>
          </w:tcPr>
          <w:p>
            <w:r>
              <w:rPr>
                <w:b/>
              </w:rPr>
              <w:t>Domain</w:t>
            </w:r>
          </w:p>
        </w:tc>
        <w:tc>
          <w:tcPr>
            <w:tcW w:type="dxa" w:w="2160"/>
          </w:tcPr>
          <w:p>
            <w:r>
              <w:rPr>
                <w:b/>
              </w:rPr>
              <w:t>Source</w:t>
            </w:r>
          </w:p>
        </w:tc>
      </w:tr>
      <w:tr>
        <w:tc>
          <w:tcPr>
            <w:tcW w:type="dxa" w:w="2160"/>
          </w:tcPr>
          <w:p>
            <w:r>
              <w:t>co2_now</w:t>
            </w:r>
          </w:p>
        </w:tc>
        <w:tc>
          <w:tcPr>
            <w:tcW w:type="dxa" w:w="2160"/>
          </w:tcPr>
          <w:p>
            <w:r>
              <w:t>float, ppm</w:t>
            </w:r>
          </w:p>
        </w:tc>
        <w:tc>
          <w:tcPr>
            <w:tcW w:type="dxa" w:w="2160"/>
          </w:tcPr>
          <w:p>
            <w:r>
              <w:t>typically 350–2000 ppm</w:t>
            </w:r>
          </w:p>
        </w:tc>
        <w:tc>
          <w:tcPr>
            <w:tcW w:type="dxa" w:w="2160"/>
          </w:tcPr>
          <w:p>
            <w:r>
              <w:t>sensor 6012002000326, resampled to 15-min bins</w:t>
            </w:r>
          </w:p>
        </w:tc>
      </w:tr>
      <w:tr>
        <w:tc>
          <w:tcPr>
            <w:tcW w:type="dxa" w:w="2160"/>
          </w:tcPr>
          <w:p>
            <w:r>
              <w:t>co2_lag1</w:t>
            </w:r>
          </w:p>
        </w:tc>
        <w:tc>
          <w:tcPr>
            <w:tcW w:type="dxa" w:w="2160"/>
          </w:tcPr>
          <w:p>
            <w:r>
              <w:t>float, ppm</w:t>
            </w:r>
          </w:p>
        </w:tc>
        <w:tc>
          <w:tcPr>
            <w:tcW w:type="dxa" w:w="2160"/>
          </w:tcPr>
          <w:p>
            <w:r>
              <w:t>same as above</w:t>
            </w:r>
          </w:p>
        </w:tc>
        <w:tc>
          <w:tcPr>
            <w:tcW w:type="dxa" w:w="2160"/>
          </w:tcPr>
          <w:p>
            <w:r>
              <w:t>same sensor, one bin (15 min) earlier</w:t>
            </w:r>
          </w:p>
        </w:tc>
      </w:tr>
      <w:tr>
        <w:tc>
          <w:tcPr>
            <w:tcW w:type="dxa" w:w="2160"/>
          </w:tcPr>
          <w:p>
            <w:r>
              <w:t>co2_rolling_1h</w:t>
            </w:r>
          </w:p>
        </w:tc>
        <w:tc>
          <w:tcPr>
            <w:tcW w:type="dxa" w:w="2160"/>
          </w:tcPr>
          <w:p>
            <w:r>
              <w:t>float, ppm</w:t>
            </w:r>
          </w:p>
        </w:tc>
        <w:tc>
          <w:tcPr>
            <w:tcW w:type="dxa" w:w="2160"/>
          </w:tcPr>
          <w:p>
            <w:r>
              <w:t>same as above</w:t>
            </w:r>
          </w:p>
        </w:tc>
        <w:tc>
          <w:tcPr>
            <w:tcW w:type="dxa" w:w="2160"/>
          </w:tcPr>
          <w:p>
            <w:r>
              <w:t>trailing 4-bin (1h) mean of CO2</w:t>
            </w:r>
          </w:p>
        </w:tc>
      </w:tr>
      <w:tr>
        <w:tc>
          <w:tcPr>
            <w:tcW w:type="dxa" w:w="2160"/>
          </w:tcPr>
          <w:p>
            <w:r>
              <w:t>building_occupancy</w:t>
            </w:r>
          </w:p>
        </w:tc>
        <w:tc>
          <w:tcPr>
            <w:tcW w:type="dxa" w:w="2160"/>
          </w:tcPr>
          <w:p>
            <w:r>
              <w:t>float, count</w:t>
            </w:r>
          </w:p>
        </w:tc>
        <w:tc>
          <w:tcPr>
            <w:tcW w:type="dxa" w:w="2160"/>
          </w:tcPr>
          <w:p>
            <w:r>
              <w:t>0–5 (zones currently occupied)</w:t>
            </w:r>
          </w:p>
        </w:tc>
        <w:tc>
          <w:tcPr>
            <w:tcW w:type="dxa" w:w="2160"/>
          </w:tcPr>
          <w:p>
            <w:r>
              <w:t>aggregated from the occupancy event log</w:t>
            </w:r>
          </w:p>
        </w:tc>
      </w:tr>
      <w:tr>
        <w:tc>
          <w:tcPr>
            <w:tcW w:type="dxa" w:w="2160"/>
          </w:tcPr>
          <w:p>
            <w:r>
              <w:t>hour_sin, hour_cos</w:t>
            </w:r>
          </w:p>
        </w:tc>
        <w:tc>
          <w:tcPr>
            <w:tcW w:type="dxa" w:w="2160"/>
          </w:tcPr>
          <w:p>
            <w:r>
              <w:t>float, unitless</w:t>
            </w:r>
          </w:p>
        </w:tc>
        <w:tc>
          <w:tcPr>
            <w:tcW w:type="dxa" w:w="2160"/>
          </w:tcPr>
          <w:p>
            <w:r>
              <w:t>[-1, 1]</w:t>
            </w:r>
          </w:p>
        </w:tc>
        <w:tc>
          <w:tcPr>
            <w:tcW w:type="dxa" w:w="2160"/>
          </w:tcPr>
          <w:p>
            <w:r>
              <w:t>cyclical encoding of time-of-day</w:t>
            </w:r>
          </w:p>
        </w:tc>
      </w:tr>
      <w:tr>
        <w:tc>
          <w:tcPr>
            <w:tcW w:type="dxa" w:w="2160"/>
          </w:tcPr>
          <w:p>
            <w:r>
              <w:t>dow_sin, dow_cos</w:t>
            </w:r>
          </w:p>
        </w:tc>
        <w:tc>
          <w:tcPr>
            <w:tcW w:type="dxa" w:w="2160"/>
          </w:tcPr>
          <w:p>
            <w:r>
              <w:t>float, unitless</w:t>
            </w:r>
          </w:p>
        </w:tc>
        <w:tc>
          <w:tcPr>
            <w:tcW w:type="dxa" w:w="2160"/>
          </w:tcPr>
          <w:p>
            <w:r>
              <w:t>[-1, 1]</w:t>
            </w:r>
          </w:p>
        </w:tc>
        <w:tc>
          <w:tcPr>
            <w:tcW w:type="dxa" w:w="2160"/>
          </w:tcPr>
          <w:p>
            <w:r>
              <w:t>cyclical encoding of day-of-week</w:t>
            </w:r>
          </w:p>
        </w:tc>
      </w:tr>
      <w:tr>
        <w:tc>
          <w:tcPr>
            <w:tcW w:type="dxa" w:w="2160"/>
          </w:tcPr>
          <w:p>
            <w:r>
              <w:t>is_weekend</w:t>
            </w:r>
          </w:p>
        </w:tc>
        <w:tc>
          <w:tcPr>
            <w:tcW w:type="dxa" w:w="2160"/>
          </w:tcPr>
          <w:p>
            <w:r>
              <w:t>float (0.0/1.0)</w:t>
            </w:r>
          </w:p>
        </w:tc>
        <w:tc>
          <w:tcPr>
            <w:tcW w:type="dxa" w:w="2160"/>
          </w:tcPr>
          <w:p>
            <w:r>
              <w:t>{0, 1}</w:t>
            </w:r>
          </w:p>
        </w:tc>
        <w:tc>
          <w:tcPr>
            <w:tcW w:type="dxa" w:w="2160"/>
          </w:tcPr>
          <w:p>
            <w:r>
              <w:t>Saturday/Sunday flag</w:t>
            </w:r>
          </w:p>
        </w:tc>
      </w:tr>
    </w:tbl>
    <w:p/>
    <w:p>
      <w:r>
        <w:rPr>
          <w:b/>
          <w:i w:val="0"/>
          <w:sz w:val="22"/>
        </w:rPr>
        <w:t>Output.</w:t>
      </w:r>
      <w:r>
        <w:t xml:space="preserve"> A single continuous value: predicted CO2 concentration (ppm) 15 minutes ahead of the input bin, in the same units and with the same physical meaning as the measured quantity it predicts.</w:t>
      </w:r>
    </w:p>
    <w:p>
      <w:r>
        <w:rPr>
          <w:b/>
          <w:i w:val="0"/>
          <w:sz w:val="22"/>
        </w:rPr>
        <w:t>Invalid, missing or unsupported inputs.</w:t>
      </w:r>
      <w:r>
        <w:t xml:space="preserve"> occupancy.env_sensors drops JSON payload entries that carry no value field (a failed sensor read, not a zero reading — discovered and handled explicitly; see §7). occupancy.co2_regression.build_co2_supervised_dataset drops any row missing a required lag/rolling feature or target rather than imputing one — see §5 for how large this effect is and why it is not treated as an error to hide.</w:t>
      </w:r>
    </w:p>
    <w:p>
      <w:pPr>
        <w:pStyle w:val="Heading1"/>
      </w:pPr>
      <w:r>
        <w:t>3. Computational Solution</w:t>
      </w:r>
    </w:p>
    <w:p>
      <w:r>
        <w:rPr>
          <w:i w:val="0"/>
          <w:sz w:val="22"/>
        </w:rPr>
        <w:t>Four regression methods — the full set taught in MMA3001 Week 5 — are implemented and compared (occupancy.co2_models), each as a scikit-learn Pipeline with a shared StandardScaler preprocessing step (essential for SVR and the neural network; harmless for the other two, since ordinary least squares is scale-invariant in its predictions and a decision tree's splits are invariant to any monotonic per-feature transform — using one shared preprocessing step keeps the comparison fair).</w:t>
      </w:r>
    </w:p>
    <w:p>
      <w:pPr>
        <w:pStyle w:val="ListBullet"/>
      </w:pPr>
      <w:r>
        <w:rPr>
          <w:b/>
        </w:rPr>
        <w:t xml:space="preserve">Linear Regression (Week 5.1) — </w:t>
      </w:r>
      <w:r>
        <w:t>fits CO2_next as a weighted sum of the inputs by ordinary least squares. Included as the simplest, fastest, most interpretable baseline.</w:t>
      </w:r>
    </w:p>
    <w:p>
      <w:pPr>
        <w:pStyle w:val="ListBullet"/>
      </w:pPr>
      <w:r>
        <w:rPr>
          <w:b/>
        </w:rPr>
        <w:t xml:space="preserve">Decision Tree Regression (Week 5.2) — </w:t>
      </w:r>
      <w:r>
        <w:t>a single regression tree (max_depth=8), splitting the feature space into if/else regions. Can capture interactions (e.g. “high occupancy AND afternoon”) a linear model cannot.</w:t>
      </w:r>
    </w:p>
    <w:p>
      <w:pPr>
        <w:pStyle w:val="ListBullet"/>
      </w:pPr>
      <w:r>
        <w:rPr>
          <w:b/>
        </w:rPr>
        <w:t xml:space="preserve">Support Vector Regression (Week 5.3) — </w:t>
      </w:r>
      <w:r>
        <w:t>an RBF-kernel SVR (C=10, epsilon=0.5), fitting a smooth nonlinear function tolerant of small prediction errors within an epsilon-margin.</w:t>
      </w:r>
    </w:p>
    <w:p>
      <w:pPr>
        <w:pStyle w:val="ListBullet"/>
      </w:pPr>
      <w:r>
        <w:rPr>
          <w:b/>
        </w:rPr>
        <w:t xml:space="preserve">Neural Network Regression (Week 5.4) — </w:t>
      </w:r>
      <w:r>
        <w:t>a small MLPRegressor (two hidden layers, 32 and 16 units, early stopping), able to approximate more complex nonlinear relationships at the cost of being the least interpretable and most prone to overfitting on a dataset this size.</w:t>
      </w:r>
    </w:p>
    <w:p>
      <w:r>
        <w:rPr>
          <w:b/>
          <w:i w:val="0"/>
          <w:sz w:val="22"/>
        </w:rPr>
        <w:t>Key assumption.</w:t>
      </w:r>
      <w:r>
        <w:t xml:space="preserve"> Building occupancy is deliberately included as a testable feature, not assumed useful: §4 reports the result of fitting every model both with and without it, since a preliminary correlation check (§7) found no statistical evidence any occupancy zone shares this sensor's room.</w:t>
      </w:r>
    </w:p>
    <w:p>
      <w:r>
        <w:rPr>
          <w:b/>
          <w:i w:val="0"/>
          <w:sz w:val="22"/>
        </w:rPr>
        <w:t>Implementation.</w:t>
      </w:r>
      <w:r>
        <w:t xml:space="preserve"> occupancy.co2_regression.build_co2_supervised_dataset builds the supervised table; scripts/co2_prediction_experiment.py trains and evaluates all four models against the real data end-to-end.</w:t>
      </w:r>
    </w:p>
    <w:p>
      <w:pPr>
        <w:pStyle w:val="Heading1"/>
      </w:pPr>
      <w:r>
        <w:t>4. Alternative-Solutions Comparison and Validation Results</w:t>
      </w:r>
    </w:p>
    <w:p>
      <w:r>
        <w:rPr>
          <w:b/>
          <w:i w:val="0"/>
          <w:sz w:val="22"/>
        </w:rPr>
        <w:t>Validation method.</w:t>
      </w:r>
      <w:r>
        <w:t xml:space="preserve"> The supervised table (17,010 rows after dropping rows with missing lag/rolling/target values — see §5) was split chronologically (train 80% / test 20% by time, never randomly) at 11 March 2026, exactly the discipline taught in Week 5.6: a random split would let a model see “future” CO2 values relative to some test points, inflating every metric in a way that would not hold once deployed forward in time.</w:t>
      </w:r>
    </w:p>
    <w:p>
      <w:r>
        <w:rPr>
          <w:b/>
          <w:i w:val="0"/>
          <w:sz w:val="22"/>
        </w:rPr>
        <w:t>Main result (13,608 train / 3,402 test rows; metrics per Week 5.5):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MAE (ppm)</w:t>
            </w:r>
          </w:p>
        </w:tc>
        <w:tc>
          <w:tcPr>
            <w:tcW w:type="dxa" w:w="2160"/>
          </w:tcPr>
          <w:p>
            <w:r>
              <w:rPr>
                <w:b/>
              </w:rPr>
              <w:t>RMSE (ppm)</w:t>
            </w:r>
          </w:p>
        </w:tc>
        <w:tc>
          <w:tcPr>
            <w:tcW w:type="dxa" w:w="2160"/>
          </w:tcPr>
          <w:p>
            <w:r>
              <w:rPr>
                <w:b/>
              </w:rPr>
              <w:t>R²</w:t>
            </w:r>
          </w:p>
        </w:tc>
      </w:tr>
      <w:tr>
        <w:tc>
          <w:tcPr>
            <w:tcW w:type="dxa" w:w="2160"/>
          </w:tcPr>
          <w:p>
            <w:r>
              <w:t>Linear Regression</w:t>
            </w:r>
          </w:p>
        </w:tc>
        <w:tc>
          <w:tcPr>
            <w:tcW w:type="dxa" w:w="2160"/>
          </w:tcPr>
          <w:p>
            <w:r>
              <w:t>9.012</w:t>
            </w:r>
          </w:p>
        </w:tc>
        <w:tc>
          <w:tcPr>
            <w:tcW w:type="dxa" w:w="2160"/>
          </w:tcPr>
          <w:p>
            <w:r>
              <w:t>25.579</w:t>
            </w:r>
          </w:p>
        </w:tc>
        <w:tc>
          <w:tcPr>
            <w:tcW w:type="dxa" w:w="2160"/>
          </w:tcPr>
          <w:p>
            <w:r>
              <w:t>0.3581</w:t>
            </w:r>
          </w:p>
        </w:tc>
      </w:tr>
      <w:tr>
        <w:tc>
          <w:tcPr>
            <w:tcW w:type="dxa" w:w="2160"/>
          </w:tcPr>
          <w:p>
            <w:r>
              <w:t>Decision Tree Regression</w:t>
            </w:r>
          </w:p>
        </w:tc>
        <w:tc>
          <w:tcPr>
            <w:tcW w:type="dxa" w:w="2160"/>
          </w:tcPr>
          <w:p>
            <w:r>
              <w:t>9.353</w:t>
            </w:r>
          </w:p>
        </w:tc>
        <w:tc>
          <w:tcPr>
            <w:tcW w:type="dxa" w:w="2160"/>
          </w:tcPr>
          <w:p>
            <w:r>
              <w:t>28.708</w:t>
            </w:r>
          </w:p>
        </w:tc>
        <w:tc>
          <w:tcPr>
            <w:tcW w:type="dxa" w:w="2160"/>
          </w:tcPr>
          <w:p>
            <w:r>
              <w:t>0.1914</w:t>
            </w:r>
          </w:p>
        </w:tc>
      </w:tr>
      <w:tr>
        <w:tc>
          <w:tcPr>
            <w:tcW w:type="dxa" w:w="2160"/>
          </w:tcPr>
          <w:p>
            <w:r>
              <w:t>SVR (best)</w:t>
            </w:r>
          </w:p>
        </w:tc>
        <w:tc>
          <w:tcPr>
            <w:tcW w:type="dxa" w:w="2160"/>
          </w:tcPr>
          <w:p>
            <w:r>
              <w:t>8.350</w:t>
            </w:r>
          </w:p>
        </w:tc>
        <w:tc>
          <w:tcPr>
            <w:tcW w:type="dxa" w:w="2160"/>
          </w:tcPr>
          <w:p>
            <w:r>
              <w:t>25.894</w:t>
            </w:r>
          </w:p>
        </w:tc>
        <w:tc>
          <w:tcPr>
            <w:tcW w:type="dxa" w:w="2160"/>
          </w:tcPr>
          <w:p>
            <w:r>
              <w:t>0.3422</w:t>
            </w:r>
          </w:p>
        </w:tc>
      </w:tr>
      <w:tr>
        <w:tc>
          <w:tcPr>
            <w:tcW w:type="dxa" w:w="2160"/>
          </w:tcPr>
          <w:p>
            <w:r>
              <w:t>Neural Network Regression</w:t>
            </w:r>
          </w:p>
        </w:tc>
        <w:tc>
          <w:tcPr>
            <w:tcW w:type="dxa" w:w="2160"/>
          </w:tcPr>
          <w:p>
            <w:r>
              <w:t>9.350</w:t>
            </w:r>
          </w:p>
        </w:tc>
        <w:tc>
          <w:tcPr>
            <w:tcW w:type="dxa" w:w="2160"/>
          </w:tcPr>
          <w:p>
            <w:r>
              <w:t>26.015</w:t>
            </w:r>
          </w:p>
        </w:tc>
        <w:tc>
          <w:tcPr>
            <w:tcW w:type="dxa" w:w="2160"/>
          </w:tcPr>
          <w:p>
            <w:r>
              <w:t>0.3360</w:t>
            </w:r>
          </w:p>
        </w:tc>
      </w:tr>
    </w:tbl>
    <w:p/>
    <w:p>
      <w:r>
        <w:rPr>
          <w:i w:val="0"/>
          <w:sz w:val="22"/>
        </w:rPr>
        <w:t>SVR has the lowest MAE and is the model this project selects, though the margin over Linear Regression and the Neural Network is modest; Decision Tree Regression is clearly worst on every metric here, likely overfitting the training period's specific split points rather than learning a generalisable trend. An R² of ~0.34–0.36 means the models explain roughly a third of the variance in next-15-minute CO2 — a genuine but moderate result, not a strong one, and it is reported as such rather than overstated.</w:t>
      </w:r>
    </w:p>
    <w:p>
      <w:r>
        <w:rPr>
          <w:b/>
          <w:i w:val="0"/>
          <w:sz w:val="22"/>
        </w:rPr>
        <w:t>Does building occupancy actually help? Tested directly, not assumed: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R² with occupancy</w:t>
            </w:r>
          </w:p>
        </w:tc>
        <w:tc>
          <w:tcPr>
            <w:tcW w:type="dxa" w:w="2160"/>
          </w:tcPr>
          <w:p>
            <w:r>
              <w:rPr>
                <w:b/>
              </w:rPr>
              <w:t>R² without occupancy</w:t>
            </w:r>
          </w:p>
        </w:tc>
        <w:tc>
          <w:tcPr>
            <w:tcW w:type="dxa" w:w="2160"/>
          </w:tcPr>
          <w:p>
            <w:r>
              <w:rPr>
                <w:b/>
              </w:rPr>
              <w:t>Difference</w:t>
            </w:r>
          </w:p>
        </w:tc>
      </w:tr>
      <w:tr>
        <w:tc>
          <w:tcPr>
            <w:tcW w:type="dxa" w:w="2160"/>
          </w:tcPr>
          <w:p>
            <w:r>
              <w:t>Linear Regression</w:t>
            </w:r>
          </w:p>
        </w:tc>
        <w:tc>
          <w:tcPr>
            <w:tcW w:type="dxa" w:w="2160"/>
          </w:tcPr>
          <w:p>
            <w:r>
              <w:t>0.3581</w:t>
            </w:r>
          </w:p>
        </w:tc>
        <w:tc>
          <w:tcPr>
            <w:tcW w:type="dxa" w:w="2160"/>
          </w:tcPr>
          <w:p>
            <w:r>
              <w:t>0.3579</w:t>
            </w:r>
          </w:p>
        </w:tc>
        <w:tc>
          <w:tcPr>
            <w:tcW w:type="dxa" w:w="2160"/>
          </w:tcPr>
          <w:p>
            <w:r>
              <w:t>+0.0002 (none)</w:t>
            </w:r>
          </w:p>
        </w:tc>
      </w:tr>
      <w:tr>
        <w:tc>
          <w:tcPr>
            <w:tcW w:type="dxa" w:w="2160"/>
          </w:tcPr>
          <w:p>
            <w:r>
              <w:t>Decision Tree Regression</w:t>
            </w:r>
          </w:p>
        </w:tc>
        <w:tc>
          <w:tcPr>
            <w:tcW w:type="dxa" w:w="2160"/>
          </w:tcPr>
          <w:p>
            <w:r>
              <w:t>0.1914</w:t>
            </w:r>
          </w:p>
        </w:tc>
        <w:tc>
          <w:tcPr>
            <w:tcW w:type="dxa" w:w="2160"/>
          </w:tcPr>
          <w:p>
            <w:r>
              <w:t>0.3305</w:t>
            </w:r>
          </w:p>
        </w:tc>
        <w:tc>
          <w:tcPr>
            <w:tcW w:type="dxa" w:w="2160"/>
          </w:tcPr>
          <w:p>
            <w:r>
              <w:t>−0.1391 (hurts)</w:t>
            </w:r>
          </w:p>
        </w:tc>
      </w:tr>
      <w:tr>
        <w:tc>
          <w:tcPr>
            <w:tcW w:type="dxa" w:w="2160"/>
          </w:tcPr>
          <w:p>
            <w:r>
              <w:t>SVR</w:t>
            </w:r>
          </w:p>
        </w:tc>
        <w:tc>
          <w:tcPr>
            <w:tcW w:type="dxa" w:w="2160"/>
          </w:tcPr>
          <w:p>
            <w:r>
              <w:t>0.3422</w:t>
            </w:r>
          </w:p>
        </w:tc>
        <w:tc>
          <w:tcPr>
            <w:tcW w:type="dxa" w:w="2160"/>
          </w:tcPr>
          <w:p>
            <w:r>
              <w:t>0.3438</w:t>
            </w:r>
          </w:p>
        </w:tc>
        <w:tc>
          <w:tcPr>
            <w:tcW w:type="dxa" w:w="2160"/>
          </w:tcPr>
          <w:p>
            <w:r>
              <w:t>−0.0016 (hurts, negligible)</w:t>
            </w:r>
          </w:p>
        </w:tc>
      </w:tr>
      <w:tr>
        <w:tc>
          <w:tcPr>
            <w:tcW w:type="dxa" w:w="2160"/>
          </w:tcPr>
          <w:p>
            <w:r>
              <w:t>Neural Network Regression</w:t>
            </w:r>
          </w:p>
        </w:tc>
        <w:tc>
          <w:tcPr>
            <w:tcW w:type="dxa" w:w="2160"/>
          </w:tcPr>
          <w:p>
            <w:r>
              <w:t>0.3360</w:t>
            </w:r>
          </w:p>
        </w:tc>
        <w:tc>
          <w:tcPr>
            <w:tcW w:type="dxa" w:w="2160"/>
          </w:tcPr>
          <w:p>
            <w:r>
              <w:t>0.3352</w:t>
            </w:r>
          </w:p>
        </w:tc>
        <w:tc>
          <w:tcPr>
            <w:tcW w:type="dxa" w:w="2160"/>
          </w:tcPr>
          <w:p>
            <w:r>
              <w:t>+0.0008 (none)</w:t>
            </w:r>
          </w:p>
        </w:tc>
      </w:tr>
    </w:tbl>
    <w:p/>
    <w:p>
      <w:r>
        <w:rPr>
          <w:i w:val="0"/>
          <w:sz w:val="22"/>
        </w:rPr>
        <w:t>Occupancy does not improve CO2 prediction for any of the four methods — for the Decision Tree it measurably hurts (likely by giving the model an irrelevant feature to spuriously split on). This is a real, direct answer to the question this project set out to test, and it is consistent with (and now confirmed by an actual predictive model, not only a correlation check) the preliminary finding in §7 that no occupancy zone could be statistically linked to this sensor's room.</w:t>
      </w:r>
    </w:p>
    <w:p>
      <w:r>
        <w:rPr>
          <w:b/>
          <w:i w:val="0"/>
          <w:sz w:val="22"/>
        </w:rPr>
        <w:t>What this validation cannot establish.</w:t>
      </w:r>
      <w:r>
        <w:t xml:space="preserve"> It confirms the model generalises to a later period from the same sensor, under the same deployment and building conditions. It says nothing about a different sensor, a different building, or a period with a structurally different occupancy pattern (e.g. a semester break). It also cannot rule out that occupancy would help for a sensor genuinely co-located with the measured zones — only that it does not for this sensor, which is the one this project could validate.</w:t>
      </w:r>
    </w:p>
    <w:p>
      <w:pPr>
        <w:pStyle w:val="Heading1"/>
      </w:pPr>
      <w:r>
        <w:t>5. Handling Missing Data</w:t>
      </w:r>
    </w:p>
    <w:p>
      <w:r>
        <w:rPr>
          <w:i w:val="0"/>
          <w:sz w:val="22"/>
        </w:rPr>
        <w:t>CO2 readings for sensor 6012002000326 are not evenly spaced and contain real reporting outages, the largest spanning approximately 636 days. Two consequences were found and handled explicitly, both real bugs caught while building this project rather than designed in from the start:</w:t>
      </w:r>
    </w:p>
    <w:p>
      <w:pPr>
        <w:pStyle w:val="ListBullet"/>
      </w:pPr>
      <w:r>
        <w:rPr>
          <w:b/>
        </w:rPr>
        <w:t xml:space="preserve">Supervised-table construction drops 79.9% of candidate rows </w:t>
      </w:r>
      <w:r>
        <w:t>(84,576 → 17,010) because a valid co2_lag1/co2_rolling_1h/target needs several consecutive non-missing bins, and most of the calendar span sits inside gaps. Dropping is preferred over inventing a value for a bin with no real reading.</w:t>
      </w:r>
    </w:p>
    <w:p>
      <w:pPr>
        <w:pStyle w:val="ListBullet"/>
      </w:pPr>
      <w:r>
        <w:rPr>
          <w:b/>
        </w:rPr>
        <w:t xml:space="preserve">Numerical integration (§6) initially bridged outages </w:t>
      </w:r>
      <w:r>
        <w:t>as if CO2 varied linearly across them — a bug, not a design choice; see §6 for the fix.</w:t>
      </w:r>
    </w:p>
    <w:p>
      <w:pPr>
        <w:pStyle w:val="Heading1"/>
      </w:pPr>
      <w:r>
        <w:t>6. Optimisation and Performance (Numerical Integration)</w:t>
      </w:r>
    </w:p>
    <w:p>
      <w:r>
        <w:rPr>
          <w:i w:val="0"/>
          <w:sz w:val="22"/>
        </w:rPr>
        <w:t>A CO2 sensor reports an instantaneous concentration, but a ventilation-adequacy assessment may need the accumulated exposure over a period — exactly the local-value-to-accumulated-quantity problem MMA3001 Week 6 addresses. occupancy.co2_integration implements the trapezoidal rule and Simpson's 1/3 rule directly from the Week 6.1 formulas (not via scipy, so the calculation is auditable against the taught method).</w:t>
      </w:r>
    </w:p>
    <w:p>
      <w:r>
        <w:rPr>
          <w:b/>
          <w:i w:val="0"/>
          <w:sz w:val="22"/>
        </w:rPr>
        <w:t>A real bug, caught and fixed.</w:t>
      </w:r>
      <w:r>
        <w:t xml:space="preserve"> The first version resampled CO2 onto a regular 15-minute grid and dropped the missing bins before integrating — which looks like a clean uniform grid but silently treats readings either side of a gap (including the 636-day outage) as one bin apart. Applying Simpson's rule to this produced a wildly wrong answer (~1.1M ppm·h against a ~9.5M ppm·h trapezoidal estimate on the same nominal data) because Simpson's rule is far more sensitive to a violated uniform-spacing assumption than trapezoidal is — this discrepancy is what surfaced the bug.</w:t>
      </w:r>
    </w:p>
    <w:p>
      <w:r>
        <w:rPr>
          <w:b/>
          <w:i w:val="0"/>
          <w:sz w:val="22"/>
        </w:rPr>
        <w:t>The fix, in two parts:</w:t>
      </w:r>
    </w:p>
    <w:p>
      <w:pPr>
        <w:pStyle w:val="ListBullet"/>
      </w:pPr>
      <w:r>
        <w:rPr>
          <w:b/>
        </w:rPr>
        <w:t xml:space="preserve">A gap-aware trapezoidal variant </w:t>
      </w:r>
      <w:r>
        <w:t>(trapezoidal_integral_gap_aware), mirroring occupancy.preprocessing.resample_occupancy's own max_gap convention: panels spanning more than 2 hours are excluded rather than integrated across. Over the sensor's full ~20,720-hour nominal span, only ~5,228 hours (≈25%) are panels short enough to trust; the naive estimate (9,543,357 ppm·h) and the gap-aware estimate (2,305,836 ppm·h) differ by a factor of 4 — the outage-bridging assumption alone, with no measurement error involved.</w:t>
      </w:r>
    </w:p>
    <w:p>
      <w:pPr>
        <w:pStyle w:val="ListBullet"/>
      </w:pPr>
      <w:r>
        <w:rPr>
          <w:b/>
        </w:rPr>
        <w:t xml:space="preserve">A fixed comparison window for trapezoidal-vs-Simpson convergence: </w:t>
      </w:r>
      <w:r>
        <w:t>the longest genuinely gap-free run at 15-minute resolution (41 hours, 1–3 October 2025) was used as one fixed interval, then re-sampled at 15/30/60-minute resolution — refining the same interval, not independently choosing a different “longest run” at each resolution (an earlier version of this comparison made exactly that mistake).</w:t>
      </w:r>
    </w:p>
    <w:p>
      <w:r>
        <w:rPr>
          <w:b/>
          <w:i w:val="0"/>
          <w:sz w:val="22"/>
        </w:rPr>
        <w:t>Result, over the fixed 41-hour window: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Bin size</w:t>
            </w:r>
          </w:p>
        </w:tc>
        <w:tc>
          <w:tcPr>
            <w:tcW w:type="dxa" w:w="1728"/>
          </w:tcPr>
          <w:p>
            <w:r>
              <w:rPr>
                <w:b/>
              </w:rPr>
              <w:t>n points</w:t>
            </w:r>
          </w:p>
        </w:tc>
        <w:tc>
          <w:tcPr>
            <w:tcW w:type="dxa" w:w="1728"/>
          </w:tcPr>
          <w:p>
            <w:r>
              <w:rPr>
                <w:b/>
              </w:rPr>
              <w:t>Trapezoidal (ppm·h)</w:t>
            </w:r>
          </w:p>
        </w:tc>
        <w:tc>
          <w:tcPr>
            <w:tcW w:type="dxa" w:w="1728"/>
          </w:tcPr>
          <w:p>
            <w:r>
              <w:rPr>
                <w:b/>
              </w:rPr>
              <w:t>Simpson (ppm·h)</w:t>
            </w:r>
          </w:p>
        </w:tc>
        <w:tc>
          <w:tcPr>
            <w:tcW w:type="dxa" w:w="1728"/>
          </w:tcPr>
          <w:p>
            <w:r>
              <w:rPr>
                <w:b/>
              </w:rPr>
              <w:t>Agreement</w:t>
            </w:r>
          </w:p>
        </w:tc>
      </w:tr>
      <w:tr>
        <w:tc>
          <w:tcPr>
            <w:tcW w:type="dxa" w:w="1728"/>
          </w:tcPr>
          <w:p>
            <w:r>
              <w:t>15 min</w:t>
            </w:r>
          </w:p>
        </w:tc>
        <w:tc>
          <w:tcPr>
            <w:tcW w:type="dxa" w:w="1728"/>
          </w:tcPr>
          <w:p>
            <w:r>
              <w:t>163</w:t>
            </w:r>
          </w:p>
        </w:tc>
        <w:tc>
          <w:tcPr>
            <w:tcW w:type="dxa" w:w="1728"/>
          </w:tcPr>
          <w:p>
            <w:r>
              <w:t>17,817.3</w:t>
            </w:r>
          </w:p>
        </w:tc>
        <w:tc>
          <w:tcPr>
            <w:tcW w:type="dxa" w:w="1728"/>
          </w:tcPr>
          <w:p>
            <w:r>
              <w:t>17,829.9</w:t>
            </w:r>
          </w:p>
        </w:tc>
        <w:tc>
          <w:tcPr>
            <w:tcW w:type="dxa" w:w="1728"/>
          </w:tcPr>
          <w:p>
            <w:r>
              <w:t>0.071%</w:t>
            </w:r>
          </w:p>
        </w:tc>
      </w:tr>
      <w:tr>
        <w:tc>
          <w:tcPr>
            <w:tcW w:type="dxa" w:w="1728"/>
          </w:tcPr>
          <w:p>
            <w:r>
              <w:t>30 min</w:t>
            </w:r>
          </w:p>
        </w:tc>
        <w:tc>
          <w:tcPr>
            <w:tcW w:type="dxa" w:w="1728"/>
          </w:tcPr>
          <w:p>
            <w:r>
              <w:t>83</w:t>
            </w:r>
          </w:p>
        </w:tc>
        <w:tc>
          <w:tcPr>
            <w:tcW w:type="dxa" w:w="1728"/>
          </w:tcPr>
          <w:p>
            <w:r>
              <w:t>18,019.8</w:t>
            </w:r>
          </w:p>
        </w:tc>
        <w:tc>
          <w:tcPr>
            <w:tcW w:type="dxa" w:w="1728"/>
          </w:tcPr>
          <w:p>
            <w:r>
              <w:t>18,019.9</w:t>
            </w:r>
          </w:p>
        </w:tc>
        <w:tc>
          <w:tcPr>
            <w:tcW w:type="dxa" w:w="1728"/>
          </w:tcPr>
          <w:p>
            <w:r>
              <w:t>0.001%</w:t>
            </w:r>
          </w:p>
        </w:tc>
      </w:tr>
      <w:tr>
        <w:tc>
          <w:tcPr>
            <w:tcW w:type="dxa" w:w="1728"/>
          </w:tcPr>
          <w:p>
            <w:r>
              <w:t>60 min</w:t>
            </w:r>
          </w:p>
        </w:tc>
        <w:tc>
          <w:tcPr>
            <w:tcW w:type="dxa" w:w="1728"/>
          </w:tcPr>
          <w:p>
            <w:r>
              <w:t>41</w:t>
            </w:r>
          </w:p>
        </w:tc>
        <w:tc>
          <w:tcPr>
            <w:tcW w:type="dxa" w:w="1728"/>
          </w:tcPr>
          <w:p>
            <w:r>
              <w:t>17,583.8</w:t>
            </w:r>
          </w:p>
        </w:tc>
        <w:tc>
          <w:tcPr>
            <w:tcW w:type="dxa" w:w="1728"/>
          </w:tcPr>
          <w:p>
            <w:r>
              <w:t>17,571.8</w:t>
            </w:r>
          </w:p>
        </w:tc>
        <w:tc>
          <w:tcPr>
            <w:tcW w:type="dxa" w:w="1728"/>
          </w:tcPr>
          <w:p>
            <w:r>
              <w:t>0.068%</w:t>
            </w:r>
          </w:p>
        </w:tc>
      </w:tr>
    </w:tbl>
    <w:p/>
    <w:p>
      <w:r>
        <w:rPr>
          <w:i w:val="0"/>
          <w:sz w:val="22"/>
        </w:rPr>
        <w:t>Trapezoidal and Simpson now agree to within 0.1% at every resolution — strong evidence the fix is correct (Week 6.2's “agreement between methods” convergence check). Refining from 60→30 min changes the estimate by +2.42%, and 30→15 min by −1.14%: real, noisy sensor data does not follow the clean E(h) ≈ Ch^p halving pattern of the notes' synthetic examples exactly, which is itself consistent with Week 6.2's own point that disagreement can come from sampling or measurement effects, not only quadrature error.</w:t>
      </w:r>
    </w:p>
    <w:p>
      <w:r>
        <w:rPr>
          <w:b/>
          <w:i w:val="0"/>
          <w:sz w:val="22"/>
        </w:rPr>
        <w:t>Note on 5-minute bins:</w:t>
      </w:r>
      <w:r>
        <w:t xml:space="preserve"> deliberately excluded from this comparison — checked directly, the sensor's real reporting cadence (~10 minutes) means the longest gap-free run at 5-minute resolution is 2 points, too short to integrate at all. This is a finding about the sensor, not a limitation of the method.</w:t>
      </w:r>
    </w:p>
    <w:p>
      <w:pPr>
        <w:pStyle w:val="Heading1"/>
      </w:pPr>
      <w:r>
        <w:t>7. Limitations and Lessons Learned</w:t>
      </w:r>
    </w:p>
    <w:p>
      <w:pPr>
        <w:pStyle w:val="ListBullet"/>
      </w:pPr>
      <w:r>
        <w:rPr>
          <w:b/>
        </w:rPr>
        <w:t xml:space="preserve">This project's regression result is moderate, not strong (R² ≈ 0.34) and occupancy does not help. </w:t>
      </w:r>
      <w:r>
        <w:t>Reported honestly rather than reframed — a partially successful method, validated properly, is valid engineering work (per the unit's own framing).</w:t>
      </w:r>
    </w:p>
    <w:p>
      <w:pPr>
        <w:pStyle w:val="ListBullet"/>
      </w:pPr>
      <w:r>
        <w:rPr>
          <w:b/>
        </w:rPr>
        <w:t xml:space="preserve">Only 1 of 5 environmental sensors could be modelled at all. </w:t>
      </w:r>
      <w:r>
        <w:t>Two report every reading at the same frozen timestamp (a stuck internal clock, not usable as a time series); a third has only a 4-month window. This was not previously documented and is worth flagging to the unit.</w:t>
      </w:r>
    </w:p>
    <w:p>
      <w:pPr>
        <w:pStyle w:val="ListBullet"/>
      </w:pPr>
      <w:r>
        <w:rPr>
          <w:b/>
        </w:rPr>
        <w:t xml:space="preserve">A preliminary correlation check found no evidence of a room-level link between occupancy zones and environmental sensors. </w:t>
      </w:r>
      <w:r>
        <w:t>scripts/sensor_matching_analysis.py tested whether any occupancy zone's pattern correlated with any environmental sensor's CO2/temperature/humidity rate of change (raw levels were avoided deliberately — they share a building-wide diurnal cycle that would make every zone look “related” to every sensor). Result: no pair showed a correlation strong enough to count as a discovered match (|r| ≤ 0.06 for CO2 throughout) — the direct precedent for §4's finding that occupancy does not help predict this sensor's CO2 either.</w:t>
      </w:r>
    </w:p>
    <w:p>
      <w:pPr>
        <w:pStyle w:val="ListBullet"/>
      </w:pPr>
      <w:r>
        <w:rPr>
          <w:b/>
        </w:rPr>
        <w:t xml:space="preserve">An external-data comparison validated sensor 6012002000326 specifically. </w:t>
      </w:r>
      <w:r>
        <w:t>Real Bureau of Meteorology data for the nearest station (Moorabbin Airport) was fetched (scripts/fetch_bom_weather.py — BoM's bulk-download endpoint actively blocks automated access, confirmed directly, so only their public rolling ~15-month archive is used) and compared against each sensor's indoor readings (scripts/weather_comparison_analysis.py). Only this one sensor had overlapping dates; its indoor temperature/humidity correlated r=+0.84/+0.65 with real outdoor readings across 222 days — the basis for choosing it for the CO2 regression task in §2.</w:t>
      </w:r>
    </w:p>
    <w:p>
      <w:pPr>
        <w:pStyle w:val="ListBullet"/>
      </w:pPr>
      <w:r>
        <w:rPr>
          <w:b/>
        </w:rPr>
        <w:t xml:space="preserve">Filenames should not be trusted over the data. </w:t>
      </w:r>
      <w:r>
        <w:t>The occupancy log named “MayToDec2024” actually spans November 2023 to April 2026, discovered by directly profiling timestamps.</w:t>
      </w:r>
    </w:p>
    <w:p>
      <w:pPr>
        <w:pStyle w:val="Heading1"/>
      </w:pPr>
      <w:r>
        <w:t>8. AI-Use Reflection</w:t>
      </w:r>
    </w:p>
    <w:p>
      <w:r>
        <w:rPr>
          <w:i/>
          <w:sz w:val="20"/>
        </w:rPr>
        <w:t>(Note to reader: this section is a first draft describing how AI was actually used while building this repository. It should be reviewed and, where necessary, corrected by the student before submission, since an accurate account of one's own understanding and verification process cannot be fully authored by the tool that assisted with the work.)</w:t>
      </w:r>
    </w:p>
    <w:p>
      <w:r>
        <w:rPr>
          <w:b/>
          <w:i w:val="0"/>
          <w:sz w:val="22"/>
        </w:rPr>
        <w:t>Tools used:</w:t>
      </w:r>
      <w:r>
        <w:t xml:space="preserve"> Claude (Claude Code), throughout the project's data exploration, coding, analysis, and documentation phases.</w:t>
      </w:r>
    </w:p>
    <w:p>
      <w:r>
        <w:rPr>
          <w:b/>
          <w:i w:val="0"/>
          <w:sz w:val="22"/>
        </w:rPr>
        <w:t>What it was used for:</w:t>
      </w:r>
      <w:r>
        <w:t xml:space="preserve"> exploring and profiling the raw occupancy and environmental sensor files (schema checks, data-quality checks that surfaced the frozen-clock sensors in §2/§7); reading the unit's Week 5 and Week 6 course material directly to confirm the exact regression and integration methods and formulas to implement; scaffolding the Python package (src/occupancy), its tests, and the experiment scripts; fetching and validating external Bureau of Meteorology data for sensor selection; implementing and running the four-model comparison and the Week 6 integration analysis end-to-end against the real data; finding and fixing the real bugs described in §§6–7; and drafting this report's prose, grounded in the numbers the code actually produced.</w:t>
      </w:r>
    </w:p>
    <w:p>
      <w:r>
        <w:rPr>
          <w:b/>
          <w:i w:val="0"/>
          <w:sz w:val="22"/>
        </w:rPr>
        <w:t>Approximate level of contribution:</w:t>
      </w:r>
      <w:r>
        <w:t xml:space="preserve"> high for code scaffolding, running large-file analyses, and drafting prose. The underlying engineering and scope decisions were made in direct back-and-forth with the student throughout: the student directed the choice of problem framing (CO2 prediction from occupancy and sensor history), which sensor to model and why, which of the four Week 5 methods to compare, and reviewed and pushed back on intermediate findings (e.g. explicitly questioning whether a given check was actually sufficient evidence) rather than accepting AI output at face value.</w:t>
      </w:r>
    </w:p>
    <w:p>
      <w:r>
        <w:rPr>
          <w:b/>
          <w:i w:val="0"/>
          <w:sz w:val="22"/>
        </w:rPr>
        <w:t>Why AI was used for these tasks:</w:t>
      </w:r>
      <w:r>
        <w:t xml:space="preserve"> profiling multiple large files and cross-referencing course material against code by hand is slow and error-prone; running the same checks in code is auditable — anyone can re-run the scripts in scripts/ and get the same numbers.</w:t>
      </w:r>
    </w:p>
    <w:p>
      <w:r>
        <w:rPr>
          <w:b/>
          <w:i w:val="0"/>
          <w:sz w:val="22"/>
        </w:rPr>
        <w:t>How AI-generated material was checked:</w:t>
      </w:r>
      <w:r>
        <w:t xml:space="preserve"> every numeric claim in this report was produced by actually running the corresponding script against the real dataset in this session — reports/co2_prediction_results.json, reports/co2_integration_results.json, reports/sensor_matching_results.json, and reports/weather_comparison_results.json are the raw evidence behind §§4–7. All code is covered by the accompanying pytest suite (62 tests, all passing) and was run against real data throughout, which is what caught the bugs described below.</w:t>
      </w:r>
    </w:p>
    <w:p>
      <w:r>
        <w:rPr>
          <w:b/>
          <w:i w:val="0"/>
          <w:sz w:val="22"/>
        </w:rPr>
        <w:t>Errors/limitations of AI assistance encountered:</w:t>
      </w:r>
      <w:r>
        <w:t xml:space="preserve"> several real bugs were introduced and then caught by running against real data rather than trusting synthetic tests alone: a sensor id read as a number instead of a string, which silently broke label matching; an unhandled failed-sensor-read JSON shape that crashed the parser; an inverted lag-sign convention caught only because a unit test's expected direction didn't match the actual output; and, most significantly, the Simpson's-rule integration bug in §6 — an early version of the Week 6 convergence comparison also independently picked the “longest gap-free run” at each bin size separately, which silently compared different calendar windows at different resolutions, making the refinement comparison meaningless. This was caught by inspecting the actual date ranges printed by the script, not by the code appearing to run without error, and fixed by fixing one window and refining only that.</w:t>
      </w:r>
    </w:p>
    <w:p>
      <w:r>
        <w:rPr>
          <w:b/>
          <w:i w:val="0"/>
          <w:sz w:val="22"/>
        </w:rPr>
        <w:t>Decisions that remained the student's:</w:t>
      </w:r>
      <w:r>
        <w:t xml:space="preserve"> dataset and sensor selection and their justification; the specific engineering framing (air-quality early-warning) and its importance; which of the four regression methods to compare and why; acceptance of the single-sensor scope as a documented limitation rather than an unstated gap; and final review of all numeric results before they were written into this report.</w:t>
      </w:r>
    </w:p>
    <w:p>
      <w:pPr>
        <w:pStyle w:val="Heading1"/>
      </w:pPr>
      <w:r>
        <w:t>References</w:t>
      </w:r>
    </w:p>
    <w:p>
      <w:pPr>
        <w:pStyle w:val="ListBullet"/>
      </w:pPr>
      <w:r>
        <w:t>MMA3001 Project Brief, Monash University, 2026.</w:t>
      </w:r>
    </w:p>
    <w:p>
      <w:pPr>
        <w:pStyle w:val="ListBullet"/>
      </w:pPr>
      <w:r>
        <w:t>MMA3001 Project Datasets document, Monash University, 2026 (Dataset 2: Monash Smart Infrastructure Occupancy and Environmental Data).</w:t>
      </w:r>
    </w:p>
    <w:p>
      <w:pPr>
        <w:pStyle w:val="ListBullet"/>
      </w:pPr>
      <w:r>
        <w:t>MMA3001 Notes, Week 5.1–5.6 (Linear Regression, Decision Tree Regression, Support Vector Regression, Neural Network Regression, Evaluating Regression Performance, Training Data Evaluation and Selection), Monash University, 2026.</w:t>
      </w:r>
    </w:p>
    <w:p>
      <w:pPr>
        <w:pStyle w:val="ListBullet"/>
      </w:pPr>
      <w:r>
        <w:t>MMA3001 Week 6 (Integration) slides and notebooks — Newton-Cotes integration, error analysis, Romberg/Richardson extrapolation, Gaussian quadrature, multidimensional integration, Dr Keenan Granland, Monash University, 2026.</w:t>
      </w:r>
    </w:p>
    <w:p>
      <w:pPr>
        <w:pStyle w:val="ListBullet"/>
      </w:pPr>
      <w:r>
        <w:t>Bureau of Meteorology, Daily Weather Observations, Moorabbin Airport (station 086077) — http://www.bom.gov.au/climate/dwo/</w:t>
      </w:r>
    </w:p>
    <w:p>
      <w:pPr>
        <w:pStyle w:val="ListBullet"/>
      </w:pPr>
      <w:r>
        <w:t>scikit-learn documentation: LinearRegression, DecisionTreeRegressor, SVR, MLPRegressor, StandardScaler, model evaluation metrics.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