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Calibri" w:hAnsi="Calibri"/>
          <w:b/>
          <w:sz w:val="36"/>
        </w:rPr>
        <w:t>Short-Term Room Occupancy Prediction for</w:t>
        <w:br/>
        <w:t>Energy-Aware Building Control</w:t>
      </w:r>
    </w:p>
    <w:p>
      <w:pPr>
        <w:spacing w:after="40"/>
        <w:jc w:val="center"/>
      </w:pPr>
      <w:r>
        <w:rPr>
          <w:rFonts w:ascii="Calibri" w:hAnsi="Calibri"/>
          <w:sz w:val="22"/>
        </w:rPr>
        <w:t>MMA3001 — Numerical Methods and Machine Learning, Project Report</w:t>
      </w:r>
    </w:p>
    <w:p>
      <w:pPr>
        <w:spacing w:after="40"/>
        <w:jc w:val="center"/>
      </w:pPr>
      <w:r>
        <w:rPr>
          <w:rFonts w:ascii="Calibri" w:hAnsi="Calibri"/>
          <w:sz w:val="22"/>
        </w:rPr>
        <w:t>Dataset: MMA3001 Dataset 2 — Monash Smart Infrastructure Occupancy and Environmental Data</w:t>
      </w:r>
    </w:p>
    <w:p>
      <w:pPr>
        <w:spacing w:after="40"/>
        <w:jc w:val="center"/>
      </w:pPr>
      <w:r>
        <w:rPr>
          <w:rFonts w:ascii="Calibri" w:hAnsi="Calibri"/>
          <w:sz w:val="22"/>
        </w:rPr>
        <w:t>Repository: https://github.com/tgup0010-bot/mma3001-occupancy-prediction</w:t>
      </w:r>
    </w:p>
    <w:p/>
    <w:p>
      <w:pPr>
        <w:pStyle w:val="Heading1"/>
      </w:pPr>
      <w:r>
        <w:t>1. Engineering Problem</w:t>
      </w:r>
    </w:p>
    <w:p>
      <w:pPr>
        <w:spacing w:after="160"/>
      </w:pPr>
      <w:r>
        <w:rPr>
          <w:rFonts w:ascii="Calibri" w:hAnsi="Calibri"/>
          <w:sz w:val="22"/>
        </w:rPr>
        <w:t xml:space="preserve">Heating, cooling and lighting a room that nobody is using wastes energy; reacting only </w:t>
      </w:r>
      <w:r>
        <w:rPr>
          <w:rFonts w:ascii="Calibri" w:hAnsi="Calibri"/>
          <w:i/>
          <w:sz w:val="22"/>
        </w:rPr>
        <w:t>after</w:t>
      </w:r>
      <w:r>
        <w:rPr>
          <w:rFonts w:ascii="Calibri" w:hAnsi="Calibri"/>
          <w:sz w:val="22"/>
        </w:rPr>
        <w:t xml:space="preserve"> someone has already entered causes an uncomfortable lag before conditions become comfortable. Building-management systems that can anticipate occupancy a few minutes ahead — rather than only reacting to a live sensor reading — can pre-condition a room just before it is needed and confidently power down when it will stay empty. This is a standard, practically important problem in building-services (mechanical) engineering: occupancy-based HVAC and lighting control is one of the more reliable low-cost energy-saving interventions available to an existing building, precisely because it does not require any new hardware beyond sensors that are frequently already installed.</w:t>
      </w:r>
    </w:p>
    <w:p>
      <w:pPr>
        <w:spacing w:after="160"/>
      </w:pPr>
      <w:r>
        <w:rPr>
          <w:rFonts w:ascii="Calibri" w:hAnsi="Calibri"/>
          <w:b/>
          <w:sz w:val="22"/>
        </w:rPr>
        <w:t>Problem statement.</w:t>
      </w:r>
      <w:r>
        <w:rPr>
          <w:rFonts w:ascii="Calibri" w:hAnsi="Calibri"/>
          <w:sz w:val="22"/>
        </w:rPr>
        <w:t xml:space="preserve"> Using the historical occupancy record of five rooms in Monash's Smart Infrastructure (“Living Lab”) building, predict whether a given room will be occupied during the </w:t>
      </w:r>
      <w:r>
        <w:rPr>
          <w:rFonts w:ascii="Calibri" w:hAnsi="Calibri"/>
          <w:i/>
          <w:sz w:val="22"/>
        </w:rPr>
        <w:t>next</w:t>
      </w:r>
      <w:r>
        <w:rPr>
          <w:rFonts w:ascii="Calibri" w:hAnsi="Calibri"/>
          <w:sz w:val="22"/>
        </w:rPr>
        <w:t xml:space="preserve"> 15-minute interval, using only information available up to and including the current interval.</w:t>
      </w:r>
    </w:p>
    <w:p>
      <w:pPr>
        <w:spacing w:after="160"/>
      </w:pPr>
      <w:r>
        <w:rPr>
          <w:rFonts w:ascii="Calibri" w:hAnsi="Calibri"/>
          <w:b/>
          <w:sz w:val="22"/>
        </w:rPr>
        <w:t>Intended use.</w:t>
      </w:r>
      <w:r>
        <w:rPr>
          <w:rFonts w:ascii="Calibri" w:hAnsi="Calibri"/>
          <w:sz w:val="22"/>
        </w:rPr>
        <w:t xml:space="preserve"> The output is a per-room, per-interval occupancy probability intended to feed a rule (e.g. “reduce conditioning if P(occupied) &lt; 0.2”) in a building-management system. It is a decision-support signal, not a safety-critical one — a wrong prediction costs comfort or a small amount of energy, not safety, which is an important scoping consideration when judging how much validation rigour is proportionate.</w:t>
      </w:r>
    </w:p>
    <w:p>
      <w:pPr>
        <w:spacing w:after="160"/>
      </w:pPr>
      <w:r>
        <w:rPr>
          <w:rFonts w:ascii="Calibri" w:hAnsi="Calibri"/>
          <w:b/>
          <w:sz w:val="22"/>
        </w:rPr>
        <w:t>Scope and its limits.</w:t>
      </w:r>
      <w:r>
        <w:rPr>
          <w:rFonts w:ascii="Calibri" w:hAnsi="Calibri"/>
          <w:sz w:val="22"/>
        </w:rPr>
        <w:t xml:space="preserve"> This project predicts occupancy from historical occupancy patterns and calendar structure (time of day, day of week) alone. It does </w:t>
      </w:r>
      <w:r>
        <w:rPr>
          <w:rFonts w:ascii="Calibri" w:hAnsi="Calibri"/>
          <w:b/>
          <w:sz w:val="22"/>
        </w:rPr>
        <w:t>not</w:t>
      </w:r>
      <w:r>
        <w:rPr>
          <w:rFonts w:ascii="Calibri" w:hAnsi="Calibri"/>
          <w:sz w:val="22"/>
        </w:rPr>
        <w:t xml:space="preserve"> attempt to explain occupancy from environmental variables (CO₂, temperature, etc.), and it does not attempt to identify </w:t>
      </w:r>
      <w:r>
        <w:rPr>
          <w:rFonts w:ascii="Calibri" w:hAnsi="Calibri"/>
          <w:i/>
          <w:sz w:val="22"/>
        </w:rPr>
        <w:t>why</w:t>
      </w:r>
      <w:r>
        <w:rPr>
          <w:rFonts w:ascii="Calibri" w:hAnsi="Calibri"/>
          <w:sz w:val="22"/>
        </w:rPr>
        <w:t xml:space="preserve"> a room is occupied. Section 7 explains why the environmental data was deliberately excluded rather than used as a differentiator.</w:t>
      </w:r>
    </w:p>
    <w:p>
      <w:pPr>
        <w:pStyle w:val="Heading1"/>
      </w:pPr>
      <w:r>
        <w:t>2. Data: Inputs, Outputs, and Sources</w:t>
      </w:r>
    </w:p>
    <w:p>
      <w:pPr>
        <w:pStyle w:val="Heading2"/>
      </w:pPr>
      <w:r>
        <w:t>2.1 Source data</w:t>
      </w:r>
    </w:p>
    <w:p>
      <w:pPr>
        <w:spacing w:after="160"/>
      </w:pPr>
      <w:r>
        <w:rPr>
          <w:rFonts w:ascii="Calibri" w:hAnsi="Calibri"/>
          <w:sz w:val="22"/>
        </w:rPr>
        <w:t xml:space="preserve">The raw input is an occupancy </w:t>
      </w:r>
      <w:r>
        <w:rPr>
          <w:rFonts w:ascii="Calibri" w:hAnsi="Calibri"/>
          <w:b/>
          <w:sz w:val="22"/>
        </w:rPr>
        <w:t>event log</w:t>
      </w:r>
      <w:r>
        <w:rPr>
          <w:rFonts w:ascii="Calibri" w:hAnsi="Calibri"/>
          <w:sz w:val="22"/>
        </w:rPr>
        <w:t xml:space="preserve"> (</w:t>
      </w:r>
      <w:r>
        <w:rPr>
          <w:rFonts w:ascii="Calibri" w:hAnsi="Calibri"/>
          <w:sz w:val="20"/>
        </w:rPr>
        <w:t>data/raw/5occupancySensor_MayToDec2024_9MRows.csv</w:t>
      </w:r>
      <w:r>
        <w:rPr>
          <w:rFonts w:ascii="Calibri" w:hAnsi="Calibri"/>
          <w:sz w:val="22"/>
        </w:rPr>
        <w:t>): one row is written each time a room's sensor-reported occupancy status changes. It contains 9,091,732 rows across 5 rooms (</w:t>
      </w:r>
      <w:r>
        <w:rPr>
          <w:rFonts w:ascii="Calibri" w:hAnsi="Calibri"/>
          <w:sz w:val="20"/>
        </w:rPr>
        <w:t>floorspaceid</w:t>
      </w:r>
      <w:r>
        <w:rPr>
          <w:rFonts w:ascii="Calibri" w:hAnsi="Calibri"/>
          <w:sz w:val="22"/>
        </w:rPr>
        <w:t xml:space="preserve">, an opaque UUID), spanning </w:t>
      </w:r>
      <w:r>
        <w:rPr>
          <w:rFonts w:ascii="Calibri" w:hAnsi="Calibri"/>
          <w:b/>
          <w:sz w:val="22"/>
        </w:rPr>
        <w:t>24 November 2023 to 22 April 2026</w:t>
      </w:r>
      <w:r>
        <w:rPr>
          <w:rFonts w:ascii="Calibri" w:hAnsi="Calibri"/>
          <w:sz w:val="22"/>
        </w:rPr>
        <w:t xml:space="preserve"> — a materially wider window than the filename (“MayToDec2024”) suggests; this was confirmed directly from the data rather than assumed from the filename. Each row records:</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D9E2F3"/>
          </w:tcPr>
          <w:p>
            <w:r>
              <w:rPr>
                <w:rFonts w:ascii="Calibri" w:hAnsi="Calibri"/>
                <w:b/>
                <w:sz w:val="20"/>
              </w:rPr>
            </w:r>
            <w:r>
              <w:rPr>
                <w:rFonts w:ascii="Calibri" w:hAnsi="Calibri"/>
                <w:b/>
                <w:sz w:val="20"/>
              </w:rPr>
              <w:t>Column</w:t>
            </w:r>
          </w:p>
        </w:tc>
        <w:tc>
          <w:tcPr>
            <w:tcW w:type="dxa" w:w="3118"/>
            <w:shd w:val="clear" w:color="auto" w:fill="D9E2F3"/>
          </w:tcPr>
          <w:p>
            <w:r>
              <w:rPr>
                <w:rFonts w:ascii="Calibri" w:hAnsi="Calibri"/>
                <w:b/>
                <w:sz w:val="20"/>
              </w:rPr>
            </w:r>
            <w:r>
              <w:rPr>
                <w:rFonts w:ascii="Calibri" w:hAnsi="Calibri"/>
                <w:b/>
                <w:sz w:val="20"/>
              </w:rPr>
              <w:t>Type / domain</w:t>
            </w:r>
          </w:p>
        </w:tc>
        <w:tc>
          <w:tcPr>
            <w:tcW w:type="dxa" w:w="3402"/>
            <w:shd w:val="clear" w:color="auto" w:fill="D9E2F3"/>
          </w:tcPr>
          <w:p>
            <w:r>
              <w:rPr>
                <w:rFonts w:ascii="Calibri" w:hAnsi="Calibri"/>
                <w:b/>
                <w:sz w:val="20"/>
              </w:rPr>
            </w:r>
            <w:r>
              <w:rPr>
                <w:rFonts w:ascii="Calibri" w:hAnsi="Calibri"/>
                <w:b/>
                <w:sz w:val="20"/>
              </w:rPr>
              <w:t>Meaning</w:t>
            </w:r>
          </w:p>
        </w:tc>
      </w:tr>
      <w:tr>
        <w:tc>
          <w:tcPr>
            <w:tcW w:type="dxa" w:w="1814"/>
          </w:tcPr>
          <w:p>
            <w:r>
              <w:rPr>
                <w:rFonts w:ascii="Calibri" w:hAnsi="Calibri"/>
                <w:sz w:val="20"/>
              </w:rPr>
            </w:r>
            <w:r>
              <w:rPr>
                <w:rFonts w:ascii="Calibri" w:hAnsi="Calibri"/>
                <w:sz w:val="20"/>
              </w:rPr>
              <w:t>deviceid</w:t>
            </w:r>
          </w:p>
        </w:tc>
        <w:tc>
          <w:tcPr>
            <w:tcW w:type="dxa" w:w="3118"/>
          </w:tcPr>
          <w:p>
            <w:r>
              <w:rPr>
                <w:rFonts w:ascii="Calibri" w:hAnsi="Calibri"/>
                <w:sz w:val="20"/>
              </w:rPr>
            </w:r>
            <w:r>
              <w:rPr>
                <w:rFonts w:ascii="Calibri" w:hAnsi="Calibri"/>
                <w:sz w:val="20"/>
              </w:rPr>
              <w:t>UUID (1 distinct value)</w:t>
            </w:r>
          </w:p>
        </w:tc>
        <w:tc>
          <w:tcPr>
            <w:tcW w:type="dxa" w:w="3402"/>
          </w:tcPr>
          <w:p>
            <w:r>
              <w:rPr>
                <w:rFonts w:ascii="Calibri" w:hAnsi="Calibri"/>
                <w:sz w:val="20"/>
              </w:rPr>
            </w:r>
            <w:r>
              <w:rPr>
                <w:rFonts w:ascii="Calibri" w:hAnsi="Calibri"/>
                <w:sz w:val="20"/>
              </w:rPr>
              <w:t>Sensor gateway device</w:t>
            </w:r>
          </w:p>
        </w:tc>
      </w:tr>
      <w:tr>
        <w:tc>
          <w:tcPr>
            <w:tcW w:type="dxa" w:w="1814"/>
          </w:tcPr>
          <w:p>
            <w:r>
              <w:rPr>
                <w:rFonts w:ascii="Calibri" w:hAnsi="Calibri"/>
                <w:sz w:val="20"/>
              </w:rPr>
            </w:r>
            <w:r>
              <w:rPr>
                <w:rFonts w:ascii="Calibri" w:hAnsi="Calibri"/>
                <w:sz w:val="20"/>
              </w:rPr>
              <w:t>floorspaceid</w:t>
            </w:r>
          </w:p>
        </w:tc>
        <w:tc>
          <w:tcPr>
            <w:tcW w:type="dxa" w:w="3118"/>
          </w:tcPr>
          <w:p>
            <w:r>
              <w:rPr>
                <w:rFonts w:ascii="Calibri" w:hAnsi="Calibri"/>
                <w:sz w:val="20"/>
              </w:rPr>
            </w:r>
            <w:r>
              <w:rPr>
                <w:rFonts w:ascii="Calibri" w:hAnsi="Calibri"/>
                <w:sz w:val="20"/>
              </w:rPr>
              <w:t>UUID (5 distinct values)</w:t>
            </w:r>
          </w:p>
        </w:tc>
        <w:tc>
          <w:tcPr>
            <w:tcW w:type="dxa" w:w="3402"/>
          </w:tcPr>
          <w:p>
            <w:r>
              <w:rPr>
                <w:rFonts w:ascii="Calibri" w:hAnsi="Calibri"/>
                <w:sz w:val="20"/>
              </w:rPr>
            </w:r>
            <w:r>
              <w:rPr>
                <w:rFonts w:ascii="Calibri" w:hAnsi="Calibri"/>
                <w:sz w:val="20"/>
              </w:rPr>
              <w:t>Room/zone identifier</w:t>
            </w:r>
          </w:p>
        </w:tc>
      </w:tr>
      <w:tr>
        <w:tc>
          <w:tcPr>
            <w:tcW w:type="dxa" w:w="1814"/>
          </w:tcPr>
          <w:p>
            <w:r>
              <w:rPr>
                <w:rFonts w:ascii="Calibri" w:hAnsi="Calibri"/>
                <w:sz w:val="20"/>
              </w:rPr>
            </w:r>
            <w:r>
              <w:rPr>
                <w:rFonts w:ascii="Calibri" w:hAnsi="Calibri"/>
                <w:sz w:val="20"/>
              </w:rPr>
              <w:t>occupancystatus</w:t>
            </w:r>
          </w:p>
        </w:tc>
        <w:tc>
          <w:tcPr>
            <w:tcW w:type="dxa" w:w="3118"/>
          </w:tcPr>
          <w:p>
            <w:r>
              <w:rPr>
                <w:rFonts w:ascii="Calibri" w:hAnsi="Calibri"/>
                <w:sz w:val="20"/>
              </w:rPr>
            </w:r>
            <w:r>
              <w:rPr>
                <w:rFonts w:ascii="Calibri" w:hAnsi="Calibri"/>
                <w:sz w:val="20"/>
              </w:rPr>
              <w:t xml:space="preserve">one of </w:t>
            </w:r>
            <w:r>
              <w:rPr>
                <w:rFonts w:ascii="Calibri" w:hAnsi="Calibri"/>
                <w:sz w:val="20"/>
              </w:rPr>
              <w:t>CurrentlyOccupied</w:t>
            </w:r>
            <w:r>
              <w:rPr>
                <w:rFonts w:ascii="Calibri" w:hAnsi="Calibri"/>
                <w:sz w:val="20"/>
              </w:rPr>
              <w:t xml:space="preserve"> (92.5%), </w:t>
            </w:r>
            <w:r>
              <w:rPr>
                <w:rFonts w:ascii="Calibri" w:hAnsi="Calibri"/>
                <w:sz w:val="20"/>
              </w:rPr>
              <w:t>RecentlyOccupied</w:t>
            </w:r>
            <w:r>
              <w:rPr>
                <w:rFonts w:ascii="Calibri" w:hAnsi="Calibri"/>
                <w:sz w:val="20"/>
              </w:rPr>
              <w:t xml:space="preserve"> (4.6%), </w:t>
            </w:r>
            <w:r>
              <w:rPr>
                <w:rFonts w:ascii="Calibri" w:hAnsi="Calibri"/>
                <w:sz w:val="20"/>
              </w:rPr>
              <w:t>NotOccupied</w:t>
            </w:r>
            <w:r>
              <w:rPr>
                <w:rFonts w:ascii="Calibri" w:hAnsi="Calibri"/>
                <w:sz w:val="20"/>
              </w:rPr>
              <w:t xml:space="preserve"> (2.9%)</w:t>
            </w:r>
          </w:p>
        </w:tc>
        <w:tc>
          <w:tcPr>
            <w:tcW w:type="dxa" w:w="3402"/>
          </w:tcPr>
          <w:p>
            <w:r>
              <w:rPr>
                <w:rFonts w:ascii="Calibri" w:hAnsi="Calibri"/>
                <w:sz w:val="20"/>
              </w:rPr>
            </w:r>
            <w:r>
              <w:rPr>
                <w:rFonts w:ascii="Calibri" w:hAnsi="Calibri"/>
                <w:sz w:val="20"/>
              </w:rPr>
              <w:t xml:space="preserve">Sensor-reported state at </w:t>
            </w:r>
            <w:r>
              <w:rPr>
                <w:rFonts w:ascii="Calibri" w:hAnsi="Calibri"/>
                <w:sz w:val="20"/>
              </w:rPr>
              <w:t>collecteddate</w:t>
            </w:r>
          </w:p>
        </w:tc>
      </w:tr>
      <w:tr>
        <w:tc>
          <w:tcPr>
            <w:tcW w:type="dxa" w:w="1814"/>
          </w:tcPr>
          <w:p>
            <w:r>
              <w:rPr>
                <w:rFonts w:ascii="Calibri" w:hAnsi="Calibri"/>
                <w:sz w:val="20"/>
              </w:rPr>
            </w:r>
            <w:r>
              <w:rPr>
                <w:rFonts w:ascii="Calibri" w:hAnsi="Calibri"/>
                <w:sz w:val="20"/>
              </w:rPr>
              <w:t>headcount</w:t>
            </w:r>
          </w:p>
        </w:tc>
        <w:tc>
          <w:tcPr>
            <w:tcW w:type="dxa" w:w="3118"/>
          </w:tcPr>
          <w:p>
            <w:r>
              <w:rPr>
                <w:rFonts w:ascii="Calibri" w:hAnsi="Calibri"/>
                <w:sz w:val="20"/>
              </w:rPr>
            </w:r>
            <w:r>
              <w:rPr>
                <w:rFonts w:ascii="Calibri" w:hAnsi="Calibri"/>
                <w:sz w:val="20"/>
              </w:rPr>
              <w:t>integer ≥ 0</w:t>
            </w:r>
          </w:p>
        </w:tc>
        <w:tc>
          <w:tcPr>
            <w:tcW w:type="dxa" w:w="3402"/>
          </w:tcPr>
          <w:p>
            <w:r>
              <w:rPr>
                <w:rFonts w:ascii="Calibri" w:hAnsi="Calibri"/>
                <w:sz w:val="20"/>
              </w:rPr>
            </w:r>
            <w:r>
              <w:rPr>
                <w:rFonts w:ascii="Calibri" w:hAnsi="Calibri"/>
                <w:sz w:val="20"/>
              </w:rPr>
              <w:t>Reported person count (unused in this project)</w:t>
            </w:r>
          </w:p>
        </w:tc>
      </w:tr>
      <w:tr>
        <w:tc>
          <w:tcPr>
            <w:tcW w:type="dxa" w:w="1814"/>
          </w:tcPr>
          <w:p>
            <w:r>
              <w:rPr>
                <w:rFonts w:ascii="Calibri" w:hAnsi="Calibri"/>
                <w:sz w:val="20"/>
              </w:rPr>
            </w:r>
            <w:r>
              <w:rPr>
                <w:rFonts w:ascii="Calibri" w:hAnsi="Calibri"/>
                <w:sz w:val="20"/>
              </w:rPr>
              <w:t>collecteddate</w:t>
            </w:r>
          </w:p>
        </w:tc>
        <w:tc>
          <w:tcPr>
            <w:tcW w:type="dxa" w:w="3118"/>
          </w:tcPr>
          <w:p>
            <w:r>
              <w:rPr>
                <w:rFonts w:ascii="Calibri" w:hAnsi="Calibri"/>
                <w:sz w:val="20"/>
              </w:rPr>
            </w:r>
            <w:r>
              <w:rPr>
                <w:rFonts w:ascii="Calibri" w:hAnsi="Calibri"/>
                <w:sz w:val="20"/>
              </w:rPr>
              <w:t>timestamp with UTC offset</w:t>
            </w:r>
          </w:p>
        </w:tc>
        <w:tc>
          <w:tcPr>
            <w:tcW w:type="dxa" w:w="3402"/>
          </w:tcPr>
          <w:p>
            <w:r>
              <w:rPr>
                <w:rFonts w:ascii="Calibri" w:hAnsi="Calibri"/>
                <w:sz w:val="20"/>
              </w:rPr>
            </w:r>
            <w:r>
              <w:rPr>
                <w:rFonts w:ascii="Calibri" w:hAnsi="Calibri"/>
                <w:sz w:val="20"/>
              </w:rPr>
              <w:t>When the state was recorded</w:t>
            </w:r>
          </w:p>
        </w:tc>
      </w:tr>
      <w:tr>
        <w:tc>
          <w:tcPr>
            <w:tcW w:type="dxa" w:w="1814"/>
          </w:tcPr>
          <w:p>
            <w:r>
              <w:rPr>
                <w:rFonts w:ascii="Calibri" w:hAnsi="Calibri"/>
                <w:sz w:val="20"/>
              </w:rPr>
            </w:r>
            <w:r>
              <w:rPr>
                <w:rFonts w:ascii="Calibri" w:hAnsi="Calibri"/>
                <w:sz w:val="20"/>
              </w:rPr>
              <w:t>occupancystatuschangedate, previousoccupancystatus</w:t>
            </w:r>
          </w:p>
        </w:tc>
        <w:tc>
          <w:tcPr>
            <w:tcW w:type="dxa" w:w="3118"/>
          </w:tcPr>
          <w:p>
            <w:r>
              <w:rPr>
                <w:rFonts w:ascii="Calibri" w:hAnsi="Calibri"/>
                <w:sz w:val="20"/>
              </w:rPr>
            </w:r>
            <w:r>
              <w:rPr>
                <w:rFonts w:ascii="Calibri" w:hAnsi="Calibri"/>
                <w:sz w:val="20"/>
              </w:rPr>
              <w:t>timestamp / status</w:t>
            </w:r>
          </w:p>
        </w:tc>
        <w:tc>
          <w:tcPr>
            <w:tcW w:type="dxa" w:w="3402"/>
          </w:tcPr>
          <w:p>
            <w:r>
              <w:rPr>
                <w:rFonts w:ascii="Calibri" w:hAnsi="Calibri"/>
                <w:sz w:val="20"/>
              </w:rPr>
            </w:r>
            <w:r>
              <w:rPr>
                <w:rFonts w:ascii="Calibri" w:hAnsi="Calibri"/>
                <w:sz w:val="20"/>
              </w:rPr>
              <w:t>Redundant with the above; unused</w:t>
            </w:r>
          </w:p>
        </w:tc>
      </w:tr>
    </w:tbl>
    <w:p>
      <w:pPr>
        <w:spacing w:after="120"/>
      </w:pPr>
    </w:p>
    <w:p>
      <w:pPr>
        <w:spacing w:after="160"/>
      </w:pPr>
      <w:r>
        <w:rPr>
          <w:rFonts w:ascii="Calibri" w:hAnsi="Calibri"/>
          <w:sz w:val="22"/>
        </w:rPr>
        <w:t>A companion location spreadsheet (</w:t>
      </w:r>
      <w:r>
        <w:rPr>
          <w:rFonts w:ascii="Calibri" w:hAnsi="Calibri"/>
          <w:sz w:val="20"/>
        </w:rPr>
        <w:t>Sensor ID and Locations.xlsx</w:t>
      </w:r>
      <w:r>
        <w:rPr>
          <w:rFonts w:ascii="Calibri" w:hAnsi="Calibri"/>
          <w:sz w:val="22"/>
        </w:rPr>
        <w:t xml:space="preserve">) maps device/room identifiers to physical rooms. Cross-referencing it against the occupancy log showed only </w:t>
      </w:r>
      <w:r>
        <w:rPr>
          <w:rFonts w:ascii="Calibri" w:hAnsi="Calibri"/>
          <w:b/>
          <w:sz w:val="22"/>
        </w:rPr>
        <w:t>2 of the 5 rooms</w:t>
      </w:r>
      <w:r>
        <w:rPr>
          <w:rFonts w:ascii="Calibri" w:hAnsi="Calibri"/>
          <w:sz w:val="22"/>
        </w:rPr>
        <w:t xml:space="preserve"> could be traced to a named physical space: </w:t>
      </w:r>
      <w:r>
        <w:rPr>
          <w:rFonts w:ascii="Calibri" w:hAnsi="Calibri"/>
          <w:sz w:val="20"/>
        </w:rPr>
        <w:t>G.20</w:t>
      </w:r>
      <w:r>
        <w:rPr>
          <w:rFonts w:ascii="Calibri" w:hAnsi="Calibri"/>
          <w:sz w:val="22"/>
        </w:rPr>
        <w:t xml:space="preserve"> and </w:t>
      </w:r>
      <w:r>
        <w:rPr>
          <w:rFonts w:ascii="Calibri" w:hAnsi="Calibri"/>
          <w:sz w:val="20"/>
        </w:rPr>
        <w:t>G.25</w:t>
      </w:r>
      <w:r>
        <w:rPr>
          <w:rFonts w:ascii="Calibri" w:hAnsi="Calibri"/>
          <w:sz w:val="22"/>
        </w:rPr>
        <w:t xml:space="preserve"> (“2.4m — Keenan Lab”). The remaining 3 are modelled as anonymous zones — the model still learns and predicts per-room patterns for them, but the report cannot say which physical room they are.</w:t>
      </w:r>
    </w:p>
    <w:p>
      <w:pPr>
        <w:pStyle w:val="Heading2"/>
      </w:pPr>
      <w:r>
        <w:t>2.2 Model inputs and outputs</w:t>
      </w:r>
    </w:p>
    <w:p>
      <w:pPr>
        <w:pStyle w:val="ListBullet"/>
        <w:spacing w:after="80"/>
      </w:pPr>
      <w:r>
        <w:rPr>
          <w:rFonts w:ascii="Calibri" w:hAnsi="Calibri"/>
          <w:b/>
          <w:sz w:val="22"/>
        </w:rPr>
        <w:t>Input:</w:t>
      </w:r>
      <w:r>
        <w:rPr>
          <w:rFonts w:ascii="Calibri" w:hAnsi="Calibri"/>
          <w:sz w:val="22"/>
        </w:rPr>
        <w:t xml:space="preserve"> for a given room and time </w:t>
      </w:r>
      <w:r>
        <w:rPr>
          <w:rFonts w:ascii="Calibri" w:hAnsi="Calibri"/>
          <w:sz w:val="22"/>
        </w:rPr>
        <w:t>t</w:t>
      </w:r>
      <w:r>
        <w:rPr>
          <w:rFonts w:ascii="Calibri" w:hAnsi="Calibri"/>
          <w:sz w:val="22"/>
        </w:rPr>
        <w:t xml:space="preserve">, the occupancy state at </w:t>
      </w:r>
      <w:r>
        <w:rPr>
          <w:rFonts w:ascii="Calibri" w:hAnsi="Calibri"/>
          <w:sz w:val="22"/>
        </w:rPr>
        <w:t>t</w:t>
      </w:r>
      <w:r>
        <w:rPr>
          <w:rFonts w:ascii="Calibri" w:hAnsi="Calibri"/>
          <w:sz w:val="22"/>
        </w:rPr>
        <w:t xml:space="preserve">, the occupancy state one bin before </w:t>
      </w:r>
      <w:r>
        <w:rPr>
          <w:rFonts w:ascii="Calibri" w:hAnsi="Calibri"/>
          <w:sz w:val="22"/>
        </w:rPr>
        <w:t>t</w:t>
      </w:r>
      <w:r>
        <w:rPr>
          <w:rFonts w:ascii="Calibri" w:hAnsi="Calibri"/>
          <w:sz w:val="22"/>
        </w:rPr>
        <w:t xml:space="preserve">, the mean occupancy rate over the preceding hour, and calendar features (hour-of-day and day-of-week, cyclically encoded; weekend flag) derived from </w:t>
      </w:r>
      <w:r>
        <w:rPr>
          <w:rFonts w:ascii="Calibri" w:hAnsi="Calibri"/>
          <w:sz w:val="22"/>
        </w:rPr>
        <w:t>t</w:t>
      </w:r>
      <w:r>
        <w:rPr>
          <w:rFonts w:ascii="Calibri" w:hAnsi="Calibri"/>
          <w:sz w:val="22"/>
        </w:rPr>
        <w:t>.</w:t>
      </w:r>
    </w:p>
    <w:p>
      <w:pPr>
        <w:pStyle w:val="ListBullet"/>
        <w:spacing w:after="80"/>
      </w:pPr>
      <w:r>
        <w:rPr>
          <w:rFonts w:ascii="Calibri" w:hAnsi="Calibri"/>
          <w:b/>
          <w:sz w:val="22"/>
        </w:rPr>
        <w:t>Output:</w:t>
      </w:r>
      <w:r>
        <w:rPr>
          <w:rFonts w:ascii="Calibri" w:hAnsi="Calibri"/>
          <w:sz w:val="22"/>
        </w:rPr>
        <w:t xml:space="preserve"> the predicted probability that the room is occupied (</w:t>
      </w:r>
      <w:r>
        <w:rPr>
          <w:rFonts w:ascii="Calibri" w:hAnsi="Calibri"/>
          <w:sz w:val="22"/>
        </w:rPr>
        <w:t>CurrentlyOccupied</w:t>
      </w:r>
      <w:r>
        <w:rPr>
          <w:rFonts w:ascii="Calibri" w:hAnsi="Calibri"/>
          <w:sz w:val="22"/>
        </w:rPr>
        <w:t xml:space="preserve">) during the </w:t>
      </w:r>
      <w:r>
        <w:rPr>
          <w:rFonts w:ascii="Calibri" w:hAnsi="Calibri"/>
          <w:i/>
          <w:sz w:val="22"/>
        </w:rPr>
        <w:t>next</w:t>
      </w:r>
      <w:r>
        <w:rPr>
          <w:rFonts w:ascii="Calibri" w:hAnsi="Calibri"/>
          <w:sz w:val="22"/>
        </w:rPr>
        <w:t xml:space="preserve"> 15-minute bin, per room.</w:t>
      </w:r>
    </w:p>
    <w:p>
      <w:pPr>
        <w:pStyle w:val="ListBullet"/>
        <w:spacing w:after="80"/>
      </w:pPr>
      <w:r>
        <w:rPr>
          <w:rFonts w:ascii="Calibri" w:hAnsi="Calibri"/>
          <w:b/>
          <w:sz w:val="22"/>
        </w:rPr>
        <w:t>Invalid/missing input handling:</w:t>
      </w:r>
      <w:r>
        <w:rPr>
          <w:rFonts w:ascii="Calibri" w:hAnsi="Calibri"/>
          <w:sz w:val="22"/>
        </w:rPr>
        <w:t xml:space="preserve"> the raw log is event-driven, so most clock intervals have no row at all. </w:t>
      </w:r>
      <w:r>
        <w:rPr>
          <w:rFonts w:ascii="Calibri" w:hAnsi="Calibri"/>
          <w:sz w:val="22"/>
        </w:rPr>
        <w:t>resample_occupancy</w:t>
      </w:r>
      <w:r>
        <w:rPr>
          <w:rFonts w:ascii="Calibri" w:hAnsi="Calibri"/>
          <w:sz w:val="22"/>
        </w:rPr>
        <w:t xml:space="preserve"> converts this into a regular per-room grid, forward-filling a known state for up to a </w:t>
      </w:r>
      <w:r>
        <w:rPr>
          <w:rFonts w:ascii="Calibri" w:hAnsi="Calibri"/>
          <w:b/>
          <w:sz w:val="22"/>
        </w:rPr>
        <w:t>2-hour</w:t>
      </w:r>
      <w:r>
        <w:rPr>
          <w:rFonts w:ascii="Calibri" w:hAnsi="Calibri"/>
          <w:sz w:val="22"/>
        </w:rPr>
        <w:t xml:space="preserve"> gap; any gap longer than that (e.g. a sensor outage) is left as an explicit missing value rather than assumed. Rows whose required feature history or target is missing are dropped before training/evaluation (never imputed) — see §5 for how much data this costs and why imputing was rejected as circular for this specific task. An </w:t>
      </w:r>
      <w:r>
        <w:rPr>
          <w:rFonts w:ascii="Calibri" w:hAnsi="Calibri"/>
          <w:sz w:val="22"/>
        </w:rPr>
        <w:t>occupancystatus</w:t>
      </w:r>
      <w:r>
        <w:rPr>
          <w:rFonts w:ascii="Calibri" w:hAnsi="Calibri"/>
          <w:sz w:val="22"/>
        </w:rPr>
        <w:t xml:space="preserve"> value outside the three known states raises an error rather than being silently ignored (</w:t>
      </w:r>
      <w:r>
        <w:rPr>
          <w:rFonts w:ascii="Calibri" w:hAnsi="Calibri"/>
          <w:sz w:val="22"/>
        </w:rPr>
        <w:t>occupancy.data_loading._validate</w:t>
      </w:r>
      <w:r>
        <w:rPr>
          <w:rFonts w:ascii="Calibri" w:hAnsi="Calibri"/>
          <w:sz w:val="22"/>
        </w:rPr>
        <w:t>).</w:t>
      </w:r>
    </w:p>
    <w:p>
      <w:pPr>
        <w:pStyle w:val="Heading1"/>
      </w:pPr>
      <w:r>
        <w:t>3. Computational Approach</w:t>
      </w:r>
    </w:p>
    <w:p>
      <w:pPr>
        <w:spacing w:after="160"/>
      </w:pPr>
      <w:r>
        <w:rPr>
          <w:rFonts w:ascii="Calibri" w:hAnsi="Calibri"/>
          <w:sz w:val="22"/>
        </w:rPr>
        <w:t>Three predictors were implemented and compared, from simplest to most informed:</w:t>
      </w:r>
    </w:p>
    <w:p>
      <w:pPr>
        <w:pStyle w:val="ListNumber"/>
        <w:spacing w:after="80"/>
      </w:pPr>
      <w:r>
        <w:rPr>
          <w:rFonts w:ascii="Calibri" w:hAnsi="Calibri"/>
          <w:b/>
          <w:sz w:val="22"/>
        </w:rPr>
        <w:t>Persistence baseline</w:t>
      </w:r>
      <w:r>
        <w:rPr>
          <w:rFonts w:ascii="Calibri" w:hAnsi="Calibri"/>
          <w:sz w:val="22"/>
        </w:rPr>
        <w:t xml:space="preserve"> — predicts that the next interval repeats the current one. No fitting; a reference point for “doing nothing clever.”</w:t>
      </w:r>
    </w:p>
    <w:p>
      <w:pPr>
        <w:pStyle w:val="ListNumber"/>
        <w:spacing w:after="80"/>
      </w:pPr>
      <w:r>
        <w:rPr>
          <w:rFonts w:ascii="Calibri" w:hAnsi="Calibri"/>
          <w:b/>
          <w:sz w:val="22"/>
        </w:rPr>
        <w:t>Time-of-day Markov chain</w:t>
      </w:r>
      <w:r>
        <w:rPr>
          <w:rFonts w:ascii="Calibri" w:hAnsi="Calibri"/>
          <w:sz w:val="22"/>
        </w:rPr>
        <w:t xml:space="preserve"> (</w:t>
      </w:r>
      <w:r>
        <w:rPr>
          <w:rFonts w:ascii="Calibri" w:hAnsi="Calibri"/>
          <w:sz w:val="22"/>
        </w:rPr>
        <w:t>occupancy.baselines.MarkovBaseline</w:t>
      </w:r>
      <w:r>
        <w:rPr>
          <w:rFonts w:ascii="Calibri" w:hAnsi="Calibri"/>
          <w:sz w:val="22"/>
        </w:rPr>
        <w:t>) — a first-order Markov model whose transition probability P(occupiedₜ₊₁=1 | room, hour-of-day, occupiedₜ) is estimated by direct counting from training data. This is the classical numerical/statistical method in the comparison: no gradient-based fitting, its only “parameter” is the table of empirical transition rates. An unseen (room, hour, state) combination falls back to the overall training occupancy rate rather than failing.</w:t>
      </w:r>
    </w:p>
    <w:p>
      <w:pPr>
        <w:pStyle w:val="ListNumber"/>
        <w:spacing w:after="80"/>
      </w:pPr>
      <w:r>
        <w:rPr>
          <w:rFonts w:ascii="Calibri" w:hAnsi="Calibri"/>
          <w:b/>
          <w:sz w:val="22"/>
        </w:rPr>
        <w:t>Logistic regression</w:t>
      </w:r>
      <w:r>
        <w:rPr>
          <w:rFonts w:ascii="Calibri" w:hAnsi="Calibri"/>
          <w:sz w:val="22"/>
        </w:rPr>
        <w:t xml:space="preserve"> (</w:t>
      </w:r>
      <w:r>
        <w:rPr>
          <w:rFonts w:ascii="Calibri" w:hAnsi="Calibri"/>
          <w:sz w:val="22"/>
        </w:rPr>
        <w:t>occupancy.model.build_logistic_pipeline</w:t>
      </w:r>
      <w:r>
        <w:rPr>
          <w:rFonts w:ascii="Calibri" w:hAnsi="Calibri"/>
          <w:sz w:val="22"/>
        </w:rPr>
        <w:t>) — a linear classifier over the engineered features plus a one-hot-encoded room identity, chosen as the first ML model for its interpretability and near-zero training cost, giving a clean reference for whether a more expensive model is worth it.</w:t>
      </w:r>
    </w:p>
    <w:p>
      <w:pPr>
        <w:pStyle w:val="ListNumber"/>
        <w:spacing w:after="80"/>
      </w:pPr>
      <w:r>
        <w:rPr>
          <w:rFonts w:ascii="Calibri" w:hAnsi="Calibri"/>
          <w:b/>
          <w:sz w:val="22"/>
        </w:rPr>
        <w:t>Random forest</w:t>
      </w:r>
      <w:r>
        <w:rPr>
          <w:rFonts w:ascii="Calibri" w:hAnsi="Calibri"/>
          <w:sz w:val="22"/>
        </w:rPr>
        <w:t xml:space="preserve"> (</w:t>
      </w:r>
      <w:r>
        <w:rPr>
          <w:rFonts w:ascii="Calibri" w:hAnsi="Calibri"/>
          <w:sz w:val="22"/>
        </w:rPr>
        <w:t>occupancy.model.build_random_forest_pipeline</w:t>
      </w:r>
      <w:r>
        <w:rPr>
          <w:rFonts w:ascii="Calibri" w:hAnsi="Calibri"/>
          <w:sz w:val="22"/>
        </w:rPr>
        <w:t>, 100 trees) — included as a second, non-linear ML model, to check whether feature interactions (e.g. “weekday AND afternoon”) that a linear model cannot represent directly are actually being missed.</w:t>
      </w:r>
    </w:p>
    <w:p>
      <w:pPr>
        <w:spacing w:after="160"/>
      </w:pPr>
      <w:r>
        <w:rPr>
          <w:rFonts w:ascii="Calibri" w:hAnsi="Calibri"/>
          <w:sz w:val="22"/>
        </w:rPr>
        <w:t>All four share the same feature pipeline (</w:t>
      </w:r>
      <w:r>
        <w:rPr>
          <w:rFonts w:ascii="Calibri" w:hAnsi="Calibri"/>
          <w:sz w:val="20"/>
        </w:rPr>
        <w:t>occupancy.features.build_supervised_dataset</w:t>
      </w:r>
      <w:r>
        <w:rPr>
          <w:rFonts w:ascii="Calibri" w:hAnsi="Calibri"/>
          <w:sz w:val="22"/>
        </w:rPr>
        <w:t>), so differences in predictive performance can be attributed to the model, not to inconsistent inputs. Cyclical (sine/cosine) encoding was used for hour-of-day and day-of-week so that, e.g., 23:00 and 00:00 are numerically adjacent rather than maximally distant, which a raw integer encoding would imply.</w:t>
      </w:r>
    </w:p>
    <w:p>
      <w:pPr>
        <w:spacing w:after="160"/>
      </w:pPr>
      <w:r>
        <w:rPr>
          <w:rFonts w:ascii="Calibri" w:hAnsi="Calibri"/>
          <w:b/>
          <w:sz w:val="22"/>
        </w:rPr>
        <w:t>Key assumption.</w:t>
      </w:r>
      <w:r>
        <w:rPr>
          <w:rFonts w:ascii="Calibri" w:hAnsi="Calibri"/>
          <w:sz w:val="22"/>
        </w:rPr>
        <w:t xml:space="preserve"> “Occupied” is defined strictly as </w:t>
      </w:r>
      <w:r>
        <w:rPr>
          <w:rFonts w:ascii="Calibri" w:hAnsi="Calibri"/>
          <w:sz w:val="20"/>
        </w:rPr>
        <w:t>CurrentlyOccupied</w:t>
      </w:r>
      <w:r>
        <w:rPr>
          <w:rFonts w:ascii="Calibri" w:hAnsi="Calibri"/>
          <w:sz w:val="22"/>
        </w:rPr>
        <w:t xml:space="preserve"> only (</w:t>
      </w:r>
      <w:r>
        <w:rPr>
          <w:rFonts w:ascii="Calibri" w:hAnsi="Calibri"/>
          <w:sz w:val="20"/>
        </w:rPr>
        <w:t>RecentlyOccupied</w:t>
      </w:r>
      <w:r>
        <w:rPr>
          <w:rFonts w:ascii="Calibri" w:hAnsi="Calibri"/>
          <w:sz w:val="22"/>
        </w:rPr>
        <w:t xml:space="preserve"> — a sensor cooldown state — counts as unoccupied). This is a deliberate, documented choice (</w:t>
      </w:r>
      <w:r>
        <w:rPr>
          <w:rFonts w:ascii="Calibri" w:hAnsi="Calibri"/>
          <w:sz w:val="20"/>
        </w:rPr>
        <w:t>resample_occupancy</w:t>
      </w:r>
      <w:r>
        <w:rPr>
          <w:rFonts w:ascii="Calibri" w:hAnsi="Calibri"/>
          <w:sz w:val="22"/>
        </w:rPr>
        <w:t xml:space="preserve">'s </w:t>
      </w:r>
      <w:r>
        <w:rPr>
          <w:rFonts w:ascii="Calibri" w:hAnsi="Calibri"/>
          <w:sz w:val="20"/>
        </w:rPr>
        <w:t>occupied_statuses</w:t>
      </w:r>
      <w:r>
        <w:rPr>
          <w:rFonts w:ascii="Calibri" w:hAnsi="Calibri"/>
          <w:sz w:val="22"/>
        </w:rPr>
        <w:t xml:space="preserve"> parameter); a looser definition is a one-line change and was not explored further given the project's scope.</w:t>
      </w:r>
    </w:p>
    <w:p>
      <w:pPr>
        <w:pStyle w:val="Heading1"/>
      </w:pPr>
      <w:r>
        <w:t>4. Alternative-Solutions Comparison and Validation Results</w:t>
      </w:r>
    </w:p>
    <w:p>
      <w:pPr>
        <w:spacing w:after="160"/>
      </w:pPr>
      <w:r>
        <w:rPr>
          <w:rFonts w:ascii="Calibri" w:hAnsi="Calibri"/>
          <w:b/>
          <w:sz w:val="22"/>
        </w:rPr>
        <w:t>Validation method.</w:t>
      </w:r>
      <w:r>
        <w:rPr>
          <w:rFonts w:ascii="Calibri" w:hAnsi="Calibri"/>
          <w:sz w:val="22"/>
        </w:rPr>
        <w:t xml:space="preserve"> The supervised table was split </w:t>
      </w:r>
      <w:r>
        <w:rPr>
          <w:rFonts w:ascii="Calibri" w:hAnsi="Calibri"/>
          <w:b/>
          <w:sz w:val="22"/>
        </w:rPr>
        <w:t>chronologically</w:t>
      </w:r>
      <w:r>
        <w:rPr>
          <w:rFonts w:ascii="Calibri" w:hAnsi="Calibri"/>
          <w:sz w:val="22"/>
        </w:rPr>
        <w:t xml:space="preserve"> (never randomly) at the 80th percentile of timestamps — training on data up to </w:t>
      </w:r>
      <w:r>
        <w:rPr>
          <w:rFonts w:ascii="Calibri" w:hAnsi="Calibri"/>
          <w:b/>
          <w:sz w:val="22"/>
        </w:rPr>
        <w:t>15 October 2025</w:t>
      </w:r>
      <w:r>
        <w:rPr>
          <w:rFonts w:ascii="Calibri" w:hAnsi="Calibri"/>
          <w:sz w:val="22"/>
        </w:rPr>
        <w:t>, testing only on data after that date. A random split was deliberately rejected: it would let the model see occupancy patterns from “the future” relative to some test points, inflating every metric in a way that would not hold up once the model is actually deployed forward in time. Because occupancy is imbalanced (~40% positive in the test set, not evenly split), accuracy alone is not trusted — F1, ROC-AUC and the Brier score (a calibration measure, lower is better) are all reported together.</w:t>
      </w:r>
    </w:p>
    <w:p>
      <w:pPr>
        <w:spacing w:after="160"/>
      </w:pPr>
      <w:r>
        <w:rPr>
          <w:rFonts w:ascii="Calibri" w:hAnsi="Calibri"/>
          <w:b/>
          <w:sz w:val="22"/>
        </w:rPr>
        <w:t>Main result</w:t>
      </w:r>
      <w:r>
        <w:rPr>
          <w:rFonts w:ascii="Calibri" w:hAnsi="Calibri"/>
          <w:sz w:val="22"/>
        </w:rPr>
        <w:t xml:space="preserve"> (15-minute bins, 1-hour lookback; 342,401 resampled bins, 26.5% dropped for insufficient history — see §6; 201,216 training / 50,305 test rows):</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551"/>
            <w:shd w:val="clear" w:color="auto" w:fill="D9E2F3"/>
          </w:tcPr>
          <w:p>
            <w:r>
              <w:rPr>
                <w:rFonts w:ascii="Calibri" w:hAnsi="Calibri"/>
                <w:b/>
                <w:sz w:val="20"/>
              </w:rPr>
            </w:r>
            <w:r>
              <w:rPr>
                <w:rFonts w:ascii="Calibri" w:hAnsi="Calibri"/>
                <w:b/>
                <w:sz w:val="20"/>
              </w:rPr>
              <w:t>Model</w:t>
            </w:r>
          </w:p>
        </w:tc>
        <w:tc>
          <w:tcPr>
            <w:tcW w:type="dxa" w:w="1304"/>
            <w:shd w:val="clear" w:color="auto" w:fill="D9E2F3"/>
          </w:tcPr>
          <w:p>
            <w:r>
              <w:rPr>
                <w:rFonts w:ascii="Calibri" w:hAnsi="Calibri"/>
                <w:b/>
                <w:sz w:val="20"/>
              </w:rPr>
            </w:r>
            <w:r>
              <w:rPr>
                <w:rFonts w:ascii="Calibri" w:hAnsi="Calibri"/>
                <w:b/>
                <w:sz w:val="20"/>
              </w:rPr>
              <w:t>Accuracy</w:t>
            </w:r>
          </w:p>
        </w:tc>
        <w:tc>
          <w:tcPr>
            <w:tcW w:type="dxa" w:w="1134"/>
            <w:shd w:val="clear" w:color="auto" w:fill="D9E2F3"/>
          </w:tcPr>
          <w:p>
            <w:r>
              <w:rPr>
                <w:rFonts w:ascii="Calibri" w:hAnsi="Calibri"/>
                <w:b/>
                <w:sz w:val="20"/>
              </w:rPr>
            </w:r>
            <w:r>
              <w:rPr>
                <w:rFonts w:ascii="Calibri" w:hAnsi="Calibri"/>
                <w:b/>
                <w:sz w:val="20"/>
              </w:rPr>
              <w:t>F1</w:t>
            </w:r>
          </w:p>
        </w:tc>
        <w:tc>
          <w:tcPr>
            <w:tcW w:type="dxa" w:w="1304"/>
            <w:shd w:val="clear" w:color="auto" w:fill="D9E2F3"/>
          </w:tcPr>
          <w:p>
            <w:r>
              <w:rPr>
                <w:rFonts w:ascii="Calibri" w:hAnsi="Calibri"/>
                <w:b/>
                <w:sz w:val="20"/>
              </w:rPr>
            </w:r>
            <w:r>
              <w:rPr>
                <w:rFonts w:ascii="Calibri" w:hAnsi="Calibri"/>
                <w:b/>
                <w:sz w:val="20"/>
              </w:rPr>
              <w:t>ROC-AUC</w:t>
            </w:r>
          </w:p>
        </w:tc>
        <w:tc>
          <w:tcPr>
            <w:tcW w:type="dxa" w:w="1928"/>
            <w:shd w:val="clear" w:color="auto" w:fill="D9E2F3"/>
          </w:tcPr>
          <w:p>
            <w:r>
              <w:rPr>
                <w:rFonts w:ascii="Calibri" w:hAnsi="Calibri"/>
                <w:b/>
                <w:sz w:val="20"/>
              </w:rPr>
            </w:r>
            <w:r>
              <w:rPr>
                <w:rFonts w:ascii="Calibri" w:hAnsi="Calibri"/>
                <w:b/>
                <w:sz w:val="20"/>
              </w:rPr>
              <w:t>Brier score ↓</w:t>
            </w:r>
          </w:p>
        </w:tc>
      </w:tr>
      <w:tr>
        <w:tc>
          <w:tcPr>
            <w:tcW w:type="dxa" w:w="2551"/>
          </w:tcPr>
          <w:p>
            <w:r>
              <w:rPr>
                <w:rFonts w:ascii="Calibri" w:hAnsi="Calibri"/>
                <w:sz w:val="20"/>
              </w:rPr>
            </w:r>
            <w:r>
              <w:rPr>
                <w:rFonts w:ascii="Calibri" w:hAnsi="Calibri"/>
                <w:sz w:val="20"/>
              </w:rPr>
              <w:t>Persistence baseline</w:t>
            </w:r>
          </w:p>
        </w:tc>
        <w:tc>
          <w:tcPr>
            <w:tcW w:type="dxa" w:w="1304"/>
          </w:tcPr>
          <w:p>
            <w:r>
              <w:rPr>
                <w:rFonts w:ascii="Calibri" w:hAnsi="Calibri"/>
                <w:sz w:val="20"/>
              </w:rPr>
            </w:r>
            <w:r>
              <w:rPr>
                <w:rFonts w:ascii="Calibri" w:hAnsi="Calibri"/>
                <w:sz w:val="20"/>
              </w:rPr>
              <w:t>0.816</w:t>
            </w:r>
          </w:p>
        </w:tc>
        <w:tc>
          <w:tcPr>
            <w:tcW w:type="dxa" w:w="1134"/>
          </w:tcPr>
          <w:p>
            <w:r>
              <w:rPr>
                <w:rFonts w:ascii="Calibri" w:hAnsi="Calibri"/>
                <w:sz w:val="20"/>
              </w:rPr>
            </w:r>
            <w:r>
              <w:rPr>
                <w:rFonts w:ascii="Calibri" w:hAnsi="Calibri"/>
                <w:sz w:val="20"/>
              </w:rPr>
              <w:t>0.771</w:t>
            </w:r>
          </w:p>
        </w:tc>
        <w:tc>
          <w:tcPr>
            <w:tcW w:type="dxa" w:w="1304"/>
          </w:tcPr>
          <w:p>
            <w:r>
              <w:rPr>
                <w:rFonts w:ascii="Calibri" w:hAnsi="Calibri"/>
                <w:sz w:val="20"/>
              </w:rPr>
            </w:r>
            <w:r>
              <w:rPr>
                <w:rFonts w:ascii="Calibri" w:hAnsi="Calibri"/>
                <w:sz w:val="20"/>
              </w:rPr>
              <w:t>0.809</w:t>
            </w:r>
          </w:p>
        </w:tc>
        <w:tc>
          <w:tcPr>
            <w:tcW w:type="dxa" w:w="1928"/>
          </w:tcPr>
          <w:p>
            <w:r>
              <w:rPr>
                <w:rFonts w:ascii="Calibri" w:hAnsi="Calibri"/>
                <w:sz w:val="20"/>
              </w:rPr>
            </w:r>
            <w:r>
              <w:rPr>
                <w:rFonts w:ascii="Calibri" w:hAnsi="Calibri"/>
                <w:sz w:val="20"/>
              </w:rPr>
              <w:t>0.184</w:t>
            </w:r>
          </w:p>
        </w:tc>
      </w:tr>
      <w:tr>
        <w:tc>
          <w:tcPr>
            <w:tcW w:type="dxa" w:w="2551"/>
          </w:tcPr>
          <w:p>
            <w:r>
              <w:rPr>
                <w:rFonts w:ascii="Calibri" w:hAnsi="Calibri"/>
                <w:sz w:val="20"/>
              </w:rPr>
            </w:r>
            <w:r>
              <w:rPr>
                <w:rFonts w:ascii="Calibri" w:hAnsi="Calibri"/>
                <w:sz w:val="20"/>
              </w:rPr>
              <w:t>Markov (time-of-day) baseline</w:t>
            </w:r>
          </w:p>
        </w:tc>
        <w:tc>
          <w:tcPr>
            <w:tcW w:type="dxa" w:w="1304"/>
          </w:tcPr>
          <w:p>
            <w:r>
              <w:rPr>
                <w:rFonts w:ascii="Calibri" w:hAnsi="Calibri"/>
                <w:sz w:val="20"/>
              </w:rPr>
            </w:r>
            <w:r>
              <w:rPr>
                <w:rFonts w:ascii="Calibri" w:hAnsi="Calibri"/>
                <w:sz w:val="20"/>
              </w:rPr>
              <w:t>0.817</w:t>
            </w:r>
          </w:p>
        </w:tc>
        <w:tc>
          <w:tcPr>
            <w:tcW w:type="dxa" w:w="1134"/>
          </w:tcPr>
          <w:p>
            <w:r>
              <w:rPr>
                <w:rFonts w:ascii="Calibri" w:hAnsi="Calibri"/>
                <w:sz w:val="20"/>
              </w:rPr>
            </w:r>
            <w:r>
              <w:rPr>
                <w:rFonts w:ascii="Calibri" w:hAnsi="Calibri"/>
                <w:sz w:val="20"/>
              </w:rPr>
              <w:t>0.772</w:t>
            </w:r>
          </w:p>
        </w:tc>
        <w:tc>
          <w:tcPr>
            <w:tcW w:type="dxa" w:w="1304"/>
          </w:tcPr>
          <w:p>
            <w:r>
              <w:rPr>
                <w:rFonts w:ascii="Calibri" w:hAnsi="Calibri"/>
                <w:sz w:val="20"/>
              </w:rPr>
            </w:r>
            <w:r>
              <w:rPr>
                <w:rFonts w:ascii="Calibri" w:hAnsi="Calibri"/>
                <w:sz w:val="20"/>
              </w:rPr>
              <w:t>0.870</w:t>
            </w:r>
          </w:p>
        </w:tc>
        <w:tc>
          <w:tcPr>
            <w:tcW w:type="dxa" w:w="1928"/>
          </w:tcPr>
          <w:p>
            <w:r>
              <w:rPr>
                <w:rFonts w:ascii="Calibri" w:hAnsi="Calibri"/>
                <w:sz w:val="20"/>
              </w:rPr>
            </w:r>
            <w:r>
              <w:rPr>
                <w:rFonts w:ascii="Calibri" w:hAnsi="Calibri"/>
                <w:sz w:val="20"/>
              </w:rPr>
              <w:t>0.139</w:t>
            </w:r>
          </w:p>
        </w:tc>
      </w:tr>
      <w:tr>
        <w:tc>
          <w:tcPr>
            <w:tcW w:type="dxa" w:w="2551"/>
          </w:tcPr>
          <w:p>
            <w:r>
              <w:rPr>
                <w:rFonts w:ascii="Calibri" w:hAnsi="Calibri"/>
                <w:sz w:val="20"/>
              </w:rPr>
            </w:r>
            <w:r>
              <w:rPr>
                <w:rFonts w:ascii="Calibri" w:hAnsi="Calibri"/>
                <w:b/>
                <w:sz w:val="20"/>
              </w:rPr>
              <w:t>Logistic regression</w:t>
            </w:r>
          </w:p>
        </w:tc>
        <w:tc>
          <w:tcPr>
            <w:tcW w:type="dxa" w:w="1304"/>
          </w:tcPr>
          <w:p>
            <w:r>
              <w:rPr>
                <w:rFonts w:ascii="Calibri" w:hAnsi="Calibri"/>
                <w:sz w:val="20"/>
              </w:rPr>
            </w:r>
            <w:r>
              <w:rPr>
                <w:rFonts w:ascii="Calibri" w:hAnsi="Calibri"/>
                <w:b/>
                <w:sz w:val="20"/>
              </w:rPr>
              <w:t>0.825</w:t>
            </w:r>
          </w:p>
        </w:tc>
        <w:tc>
          <w:tcPr>
            <w:tcW w:type="dxa" w:w="1134"/>
          </w:tcPr>
          <w:p>
            <w:r>
              <w:rPr>
                <w:rFonts w:ascii="Calibri" w:hAnsi="Calibri"/>
                <w:sz w:val="20"/>
              </w:rPr>
            </w:r>
            <w:r>
              <w:rPr>
                <w:rFonts w:ascii="Calibri" w:hAnsi="Calibri"/>
                <w:b/>
                <w:sz w:val="20"/>
              </w:rPr>
              <w:t>0.781</w:t>
            </w:r>
          </w:p>
        </w:tc>
        <w:tc>
          <w:tcPr>
            <w:tcW w:type="dxa" w:w="1304"/>
          </w:tcPr>
          <w:p>
            <w:r>
              <w:rPr>
                <w:rFonts w:ascii="Calibri" w:hAnsi="Calibri"/>
                <w:sz w:val="20"/>
              </w:rPr>
            </w:r>
            <w:r>
              <w:rPr>
                <w:rFonts w:ascii="Calibri" w:hAnsi="Calibri"/>
                <w:b/>
                <w:sz w:val="20"/>
              </w:rPr>
              <w:t>0.890</w:t>
            </w:r>
          </w:p>
        </w:tc>
        <w:tc>
          <w:tcPr>
            <w:tcW w:type="dxa" w:w="1928"/>
          </w:tcPr>
          <w:p>
            <w:r>
              <w:rPr>
                <w:rFonts w:ascii="Calibri" w:hAnsi="Calibri"/>
                <w:sz w:val="20"/>
              </w:rPr>
            </w:r>
            <w:r>
              <w:rPr>
                <w:rFonts w:ascii="Calibri" w:hAnsi="Calibri"/>
                <w:b/>
                <w:sz w:val="20"/>
              </w:rPr>
              <w:t>0.128</w:t>
            </w:r>
          </w:p>
        </w:tc>
      </w:tr>
      <w:tr>
        <w:tc>
          <w:tcPr>
            <w:tcW w:type="dxa" w:w="2551"/>
          </w:tcPr>
          <w:p>
            <w:r>
              <w:rPr>
                <w:rFonts w:ascii="Calibri" w:hAnsi="Calibri"/>
                <w:sz w:val="20"/>
              </w:rPr>
            </w:r>
            <w:r>
              <w:rPr>
                <w:rFonts w:ascii="Calibri" w:hAnsi="Calibri"/>
                <w:sz w:val="20"/>
              </w:rPr>
              <w:t>Random forest (100 trees)</w:t>
            </w:r>
          </w:p>
        </w:tc>
        <w:tc>
          <w:tcPr>
            <w:tcW w:type="dxa" w:w="1304"/>
          </w:tcPr>
          <w:p>
            <w:r>
              <w:rPr>
                <w:rFonts w:ascii="Calibri" w:hAnsi="Calibri"/>
                <w:sz w:val="20"/>
              </w:rPr>
            </w:r>
            <w:r>
              <w:rPr>
                <w:rFonts w:ascii="Calibri" w:hAnsi="Calibri"/>
                <w:sz w:val="20"/>
              </w:rPr>
              <w:t>0.811</w:t>
            </w:r>
          </w:p>
        </w:tc>
        <w:tc>
          <w:tcPr>
            <w:tcW w:type="dxa" w:w="1134"/>
          </w:tcPr>
          <w:p>
            <w:r>
              <w:rPr>
                <w:rFonts w:ascii="Calibri" w:hAnsi="Calibri"/>
                <w:sz w:val="20"/>
              </w:rPr>
            </w:r>
            <w:r>
              <w:rPr>
                <w:rFonts w:ascii="Calibri" w:hAnsi="Calibri"/>
                <w:sz w:val="20"/>
              </w:rPr>
              <w:t>—</w:t>
            </w:r>
          </w:p>
        </w:tc>
        <w:tc>
          <w:tcPr>
            <w:tcW w:type="dxa" w:w="1304"/>
          </w:tcPr>
          <w:p>
            <w:r>
              <w:rPr>
                <w:rFonts w:ascii="Calibri" w:hAnsi="Calibri"/>
                <w:sz w:val="20"/>
              </w:rPr>
            </w:r>
            <w:r>
              <w:rPr>
                <w:rFonts w:ascii="Calibri" w:hAnsi="Calibri"/>
                <w:sz w:val="20"/>
              </w:rPr>
              <w:t>0.860</w:t>
            </w:r>
          </w:p>
        </w:tc>
        <w:tc>
          <w:tcPr>
            <w:tcW w:type="dxa" w:w="1928"/>
          </w:tcPr>
          <w:p>
            <w:r>
              <w:rPr>
                <w:rFonts w:ascii="Calibri" w:hAnsi="Calibri"/>
                <w:sz w:val="20"/>
              </w:rPr>
            </w:r>
            <w:r>
              <w:rPr>
                <w:rFonts w:ascii="Calibri" w:hAnsi="Calibri"/>
                <w:sz w:val="20"/>
              </w:rPr>
              <w:t>—</w:t>
            </w:r>
          </w:p>
        </w:tc>
      </w:tr>
    </w:tbl>
    <w:p>
      <w:pPr>
        <w:spacing w:after="120"/>
      </w:pPr>
    </w:p>
    <w:p>
      <w:pPr>
        <w:spacing w:after="160"/>
      </w:pPr>
      <w:r>
        <w:rPr>
          <w:rFonts w:ascii="Calibri" w:hAnsi="Calibri"/>
          <w:sz w:val="22"/>
        </w:rPr>
        <w:t xml:space="preserve">Logistic regression beats every baseline on every metric, including calibration — genuine evidence that the engineered features (not just “the current state” or “the time of day” alone) carry real signal. The random forest, despite being the more complex model, performs </w:t>
      </w:r>
      <w:r>
        <w:rPr>
          <w:rFonts w:ascii="Calibri" w:hAnsi="Calibri"/>
          <w:i/>
          <w:sz w:val="22"/>
        </w:rPr>
        <w:t>worse</w:t>
      </w:r>
      <w:r>
        <w:rPr>
          <w:rFonts w:ascii="Calibri" w:hAnsi="Calibri"/>
          <w:sz w:val="22"/>
        </w:rPr>
        <w:t xml:space="preserve"> than logistic regression here (§6 discusses cost as well as accuracy). This result is reported honestly rather than dropped: a more complex model is not automatically a better one, and for this feature set the added capacity likely fits noise rather than structure the simpler features don't already capture (</w:t>
      </w:r>
      <w:r>
        <w:rPr>
          <w:rFonts w:ascii="Calibri" w:hAnsi="Calibri"/>
          <w:sz w:val="20"/>
        </w:rPr>
        <w:t>occupied_now</w:t>
      </w:r>
      <w:r>
        <w:rPr>
          <w:rFonts w:ascii="Calibri" w:hAnsi="Calibri"/>
          <w:sz w:val="22"/>
        </w:rPr>
        <w:t xml:space="preserve"> alone is already a very strong predictor, so the problem is closer to linear than a tree ensemble is suited for).</w:t>
      </w:r>
    </w:p>
    <w:p>
      <w:pPr>
        <w:spacing w:after="160"/>
      </w:pPr>
      <w:r>
        <w:rPr>
          <w:rFonts w:ascii="Calibri" w:hAnsi="Calibri"/>
          <w:b/>
          <w:sz w:val="22"/>
        </w:rPr>
        <w:t>What this validation cannot establish.</w:t>
      </w:r>
      <w:r>
        <w:rPr>
          <w:rFonts w:ascii="Calibri" w:hAnsi="Calibri"/>
          <w:sz w:val="22"/>
        </w:rPr>
        <w:t xml:space="preserve"> It confirms the model generalises to a </w:t>
      </w:r>
      <w:r>
        <w:rPr>
          <w:rFonts w:ascii="Calibri" w:hAnsi="Calibri"/>
          <w:i/>
          <w:sz w:val="22"/>
        </w:rPr>
        <w:t>later time period in the same rooms</w:t>
      </w:r>
      <w:r>
        <w:rPr>
          <w:rFonts w:ascii="Calibri" w:hAnsi="Calibri"/>
          <w:sz w:val="22"/>
        </w:rPr>
        <w:t>, under the same sensor deployment. It says nothing about generalising to a different building, a different room's usage pattern not represented in training, or a period with a structurally different usage pattern (e.g. a semester break not present in the training window). It also cannot validate accuracy for the 3 rooms whose physical identity is unknown, beyond the statistical sense already reported.</w:t>
      </w:r>
    </w:p>
    <w:p>
      <w:pPr>
        <w:pStyle w:val="Heading1"/>
      </w:pPr>
      <w:r>
        <w:t>5. Handling Missing Data</w:t>
      </w:r>
    </w:p>
    <w:p>
      <w:pPr>
        <w:spacing w:after="160"/>
      </w:pPr>
      <w:r>
        <w:rPr>
          <w:rFonts w:ascii="Calibri" w:hAnsi="Calibri"/>
          <w:sz w:val="22"/>
        </w:rPr>
        <w:t>Two independent sources of missingness were encountered and handled explicitly rather than silently:</w:t>
      </w:r>
    </w:p>
    <w:p>
      <w:pPr>
        <w:pStyle w:val="ListNumber"/>
        <w:spacing w:after="80"/>
      </w:pPr>
      <w:r>
        <w:rPr>
          <w:rFonts w:ascii="Calibri" w:hAnsi="Calibri"/>
          <w:b/>
          <w:sz w:val="22"/>
        </w:rPr>
        <w:t>Sensor gaps in the raw log.</w:t>
      </w:r>
      <w:r>
        <w:rPr>
          <w:rFonts w:ascii="Calibri" w:hAnsi="Calibri"/>
          <w:sz w:val="22"/>
        </w:rPr>
        <w:t xml:space="preserve"> </w:t>
      </w:r>
      <w:r>
        <w:rPr>
          <w:rFonts w:ascii="Calibri" w:hAnsi="Calibri"/>
          <w:sz w:val="22"/>
        </w:rPr>
        <w:t>resample_occupancy</w:t>
      </w:r>
      <w:r>
        <w:rPr>
          <w:rFonts w:ascii="Calibri" w:hAnsi="Calibri"/>
          <w:sz w:val="22"/>
        </w:rPr>
        <w:t xml:space="preserve">'s </w:t>
      </w:r>
      <w:r>
        <w:rPr>
          <w:rFonts w:ascii="Calibri" w:hAnsi="Calibri"/>
          <w:sz w:val="22"/>
        </w:rPr>
        <w:t>max_gap</w:t>
      </w:r>
      <w:r>
        <w:rPr>
          <w:rFonts w:ascii="Calibri" w:hAnsi="Calibri"/>
          <w:sz w:val="22"/>
        </w:rPr>
        <w:t xml:space="preserve"> parameter (2 hours) means any real outage longer than this appears as </w:t>
      </w:r>
      <w:r>
        <w:rPr>
          <w:rFonts w:ascii="Calibri" w:hAnsi="Calibri"/>
          <w:sz w:val="22"/>
        </w:rPr>
        <w:t>NaN</w:t>
      </w:r>
      <w:r>
        <w:rPr>
          <w:rFonts w:ascii="Calibri" w:hAnsi="Calibri"/>
          <w:sz w:val="22"/>
        </w:rPr>
        <w:t xml:space="preserve"> in the resampled grid rather than an assumed, possibly wrong, forward-filled state. Per-room missingness on the full dataset ranged from </w:t>
      </w:r>
      <w:r>
        <w:rPr>
          <w:rFonts w:ascii="Calibri" w:hAnsi="Calibri"/>
          <w:b/>
          <w:sz w:val="22"/>
        </w:rPr>
        <w:t>9.5% to 36.1%</w:t>
      </w:r>
      <w:r>
        <w:rPr>
          <w:rFonts w:ascii="Calibri" w:hAnsi="Calibri"/>
          <w:sz w:val="22"/>
        </w:rPr>
        <w:t xml:space="preserve"> of resampled bins (</w:t>
      </w:r>
      <w:r>
        <w:rPr>
          <w:rFonts w:ascii="Calibri" w:hAnsi="Calibri"/>
          <w:sz w:val="22"/>
        </w:rPr>
        <w:t>coverage_summary</w:t>
      </w:r>
      <w:r>
        <w:rPr>
          <w:rFonts w:ascii="Calibri" w:hAnsi="Calibri"/>
          <w:sz w:val="22"/>
        </w:rPr>
        <w:t xml:space="preserve">, </w:t>
      </w:r>
      <w:r>
        <w:rPr>
          <w:rFonts w:ascii="Calibri" w:hAnsi="Calibri"/>
          <w:sz w:val="22"/>
        </w:rPr>
        <w:t>reports/experiment_results.json</w:t>
      </w:r>
      <w:r>
        <w:rPr>
          <w:rFonts w:ascii="Calibri" w:hAnsi="Calibri"/>
          <w:sz w:val="22"/>
        </w:rPr>
        <w:t>) — reported honestly rather than hidden, since these numbers should inform how much the resulting model should be trusted for the noisier rooms.</w:t>
      </w:r>
    </w:p>
    <w:p>
      <w:pPr>
        <w:pStyle w:val="ListNumber"/>
        <w:spacing w:after="80"/>
      </w:pPr>
      <w:r>
        <w:rPr>
          <w:rFonts w:ascii="Calibri" w:hAnsi="Calibri"/>
          <w:b/>
          <w:sz w:val="22"/>
        </w:rPr>
        <w:t>Feature-history gaps.</w:t>
      </w:r>
      <w:r>
        <w:rPr>
          <w:rFonts w:ascii="Calibri" w:hAnsi="Calibri"/>
          <w:sz w:val="22"/>
        </w:rPr>
        <w:t xml:space="preserve"> A row needs its previous bin, a full rolling window, and a defined next-bin target to be usable for supervised learning; 26.5% of the resampled grid was dropped for this reason (</w:t>
      </w:r>
      <w:r>
        <w:rPr>
          <w:rFonts w:ascii="Calibri" w:hAnsi="Calibri"/>
          <w:sz w:val="22"/>
        </w:rPr>
        <w:t>build_supervised_dataset</w:t>
      </w:r>
      <w:r>
        <w:rPr>
          <w:rFonts w:ascii="Calibri" w:hAnsi="Calibri"/>
          <w:sz w:val="22"/>
        </w:rPr>
        <w:t xml:space="preserve">'s </w:t>
      </w:r>
      <w:r>
        <w:rPr>
          <w:rFonts w:ascii="Calibri" w:hAnsi="Calibri"/>
          <w:sz w:val="22"/>
        </w:rPr>
        <w:t>info</w:t>
      </w:r>
      <w:r>
        <w:rPr>
          <w:rFonts w:ascii="Calibri" w:hAnsi="Calibri"/>
          <w:sz w:val="22"/>
        </w:rPr>
        <w:t xml:space="preserve"> dict). These rows were </w:t>
      </w:r>
      <w:r>
        <w:rPr>
          <w:rFonts w:ascii="Calibri" w:hAnsi="Calibri"/>
          <w:b/>
          <w:sz w:val="22"/>
        </w:rPr>
        <w:t>not</w:t>
      </w:r>
      <w:r>
        <w:rPr>
          <w:rFonts w:ascii="Calibri" w:hAnsi="Calibri"/>
          <w:sz w:val="22"/>
        </w:rPr>
        <w:t xml:space="preserve"> imputed: imputing a missing occupancy value in order to then predict occupancy would make the exercise partly circular, so the more defensible (if data-costlier) choice was to only train and evaluate on genuinely observed transitions.</w:t>
      </w:r>
    </w:p>
    <w:p>
      <w:pPr>
        <w:pStyle w:val="Heading1"/>
      </w:pPr>
      <w:r>
        <w:t>6. Optimisation and Performance (Sensitivity Analysis)</w:t>
      </w:r>
    </w:p>
    <w:p>
      <w:pPr>
        <w:spacing w:after="160"/>
      </w:pPr>
      <w:r>
        <w:rPr>
          <w:rFonts w:ascii="Calibri" w:hAnsi="Calibri"/>
          <w:sz w:val="22"/>
        </w:rPr>
        <w:t>Three design choices were quantitatively examined against the real full dataset (</w:t>
      </w:r>
      <w:r>
        <w:rPr>
          <w:rFonts w:ascii="Calibri" w:hAnsi="Calibri"/>
          <w:sz w:val="20"/>
        </w:rPr>
        <w:t>scripts/sensitivity_analysis.py</w:t>
      </w:r>
      <w:r>
        <w:rPr>
          <w:rFonts w:ascii="Calibri" w:hAnsi="Calibri"/>
          <w:sz w:val="22"/>
        </w:rPr>
        <w:t xml:space="preserve">, </w:t>
      </w:r>
      <w:r>
        <w:rPr>
          <w:rFonts w:ascii="Calibri" w:hAnsi="Calibri"/>
          <w:sz w:val="20"/>
        </w:rPr>
        <w:t>reports/sensitivity_results.json</w:t>
      </w:r>
      <w:r>
        <w:rPr>
          <w:rFonts w:ascii="Calibri" w:hAnsi="Calibri"/>
          <w:sz w:val="22"/>
        </w:rPr>
        <w:t>), rather than picked by preference.</w:t>
      </w:r>
    </w:p>
    <w:p>
      <w:pPr>
        <w:pStyle w:val="Heading2"/>
      </w:pPr>
      <w:r>
        <w:t>6.1 Time-bin resolution</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247"/>
            <w:shd w:val="clear" w:color="auto" w:fill="D9E2F3"/>
          </w:tcPr>
          <w:p>
            <w:r>
              <w:rPr>
                <w:rFonts w:ascii="Calibri" w:hAnsi="Calibri"/>
                <w:b/>
                <w:sz w:val="20"/>
              </w:rPr>
            </w:r>
            <w:r>
              <w:rPr>
                <w:rFonts w:ascii="Calibri" w:hAnsi="Calibri"/>
                <w:b/>
                <w:sz w:val="20"/>
              </w:rPr>
              <w:t>Bin size</w:t>
            </w:r>
          </w:p>
        </w:tc>
        <w:tc>
          <w:tcPr>
            <w:tcW w:type="dxa" w:w="1361"/>
            <w:shd w:val="clear" w:color="auto" w:fill="D9E2F3"/>
          </w:tcPr>
          <w:p>
            <w:r>
              <w:rPr>
                <w:rFonts w:ascii="Calibri" w:hAnsi="Calibri"/>
                <w:b/>
                <w:sz w:val="20"/>
              </w:rPr>
            </w:r>
            <w:r>
              <w:rPr>
                <w:rFonts w:ascii="Calibri" w:hAnsi="Calibri"/>
                <w:b/>
                <w:sz w:val="20"/>
              </w:rPr>
              <w:t>Grid memory</w:t>
            </w:r>
          </w:p>
        </w:tc>
        <w:tc>
          <w:tcPr>
            <w:tcW w:type="dxa" w:w="2268"/>
            <w:shd w:val="clear" w:color="auto" w:fill="D9E2F3"/>
          </w:tcPr>
          <w:p>
            <w:r>
              <w:rPr>
                <w:rFonts w:ascii="Calibri" w:hAnsi="Calibri"/>
                <w:b/>
                <w:sz w:val="20"/>
              </w:rPr>
            </w:r>
            <w:r>
              <w:rPr>
                <w:rFonts w:ascii="Calibri" w:hAnsi="Calibri"/>
                <w:b/>
                <w:sz w:val="20"/>
              </w:rPr>
              <w:t>Logistic reg. accuracy / ROC-AUC</w:t>
            </w:r>
          </w:p>
        </w:tc>
        <w:tc>
          <w:tcPr>
            <w:tcW w:type="dxa" w:w="1134"/>
            <w:shd w:val="clear" w:color="auto" w:fill="D9E2F3"/>
          </w:tcPr>
          <w:p>
            <w:r>
              <w:rPr>
                <w:rFonts w:ascii="Calibri" w:hAnsi="Calibri"/>
                <w:b/>
                <w:sz w:val="20"/>
              </w:rPr>
            </w:r>
            <w:r>
              <w:rPr>
                <w:rFonts w:ascii="Calibri" w:hAnsi="Calibri"/>
                <w:b/>
                <w:sz w:val="20"/>
              </w:rPr>
              <w:t>RF fit time</w:t>
            </w:r>
          </w:p>
        </w:tc>
        <w:tc>
          <w:tcPr>
            <w:tcW w:type="dxa" w:w="2041"/>
            <w:shd w:val="clear" w:color="auto" w:fill="D9E2F3"/>
          </w:tcPr>
          <w:p>
            <w:r>
              <w:rPr>
                <w:rFonts w:ascii="Calibri" w:hAnsi="Calibri"/>
                <w:b/>
                <w:sz w:val="20"/>
              </w:rPr>
            </w:r>
            <w:r>
              <w:rPr>
                <w:rFonts w:ascii="Calibri" w:hAnsi="Calibri"/>
                <w:b/>
                <w:sz w:val="20"/>
              </w:rPr>
              <w:t>RF accuracy / ROC-AUC</w:t>
            </w:r>
          </w:p>
        </w:tc>
      </w:tr>
      <w:tr>
        <w:tc>
          <w:tcPr>
            <w:tcW w:type="dxa" w:w="1247"/>
          </w:tcPr>
          <w:p>
            <w:r>
              <w:rPr>
                <w:rFonts w:ascii="Calibri" w:hAnsi="Calibri"/>
                <w:sz w:val="20"/>
              </w:rPr>
            </w:r>
            <w:r>
              <w:rPr>
                <w:rFonts w:ascii="Calibri" w:hAnsi="Calibri"/>
                <w:sz w:val="20"/>
              </w:rPr>
              <w:t>5 min</w:t>
            </w:r>
          </w:p>
        </w:tc>
        <w:tc>
          <w:tcPr>
            <w:tcW w:type="dxa" w:w="1361"/>
          </w:tcPr>
          <w:p>
            <w:r>
              <w:rPr>
                <w:rFonts w:ascii="Calibri" w:hAnsi="Calibri"/>
                <w:sz w:val="20"/>
              </w:rPr>
            </w:r>
            <w:r>
              <w:rPr>
                <w:rFonts w:ascii="Calibri" w:hAnsi="Calibri"/>
                <w:sz w:val="20"/>
              </w:rPr>
              <w:t>103.8 MB</w:t>
            </w:r>
          </w:p>
        </w:tc>
        <w:tc>
          <w:tcPr>
            <w:tcW w:type="dxa" w:w="2268"/>
          </w:tcPr>
          <w:p>
            <w:r>
              <w:rPr>
                <w:rFonts w:ascii="Calibri" w:hAnsi="Calibri"/>
                <w:sz w:val="20"/>
              </w:rPr>
            </w:r>
            <w:r>
              <w:rPr>
                <w:rFonts w:ascii="Calibri" w:hAnsi="Calibri"/>
                <w:sz w:val="20"/>
              </w:rPr>
              <w:t>0.859 / 0.922</w:t>
            </w:r>
          </w:p>
        </w:tc>
        <w:tc>
          <w:tcPr>
            <w:tcW w:type="dxa" w:w="1134"/>
          </w:tcPr>
          <w:p>
            <w:r>
              <w:rPr>
                <w:rFonts w:ascii="Calibri" w:hAnsi="Calibri"/>
                <w:sz w:val="20"/>
              </w:rPr>
            </w:r>
            <w:r>
              <w:rPr>
                <w:rFonts w:ascii="Calibri" w:hAnsi="Calibri"/>
                <w:sz w:val="20"/>
              </w:rPr>
              <w:t>55.8 s</w:t>
            </w:r>
          </w:p>
        </w:tc>
        <w:tc>
          <w:tcPr>
            <w:tcW w:type="dxa" w:w="2041"/>
          </w:tcPr>
          <w:p>
            <w:r>
              <w:rPr>
                <w:rFonts w:ascii="Calibri" w:hAnsi="Calibri"/>
                <w:sz w:val="20"/>
              </w:rPr>
            </w:r>
            <w:r>
              <w:rPr>
                <w:rFonts w:ascii="Calibri" w:hAnsi="Calibri"/>
                <w:sz w:val="20"/>
              </w:rPr>
              <w:t>0.834 / 0.892</w:t>
            </w:r>
          </w:p>
        </w:tc>
      </w:tr>
      <w:tr>
        <w:tc>
          <w:tcPr>
            <w:tcW w:type="dxa" w:w="1247"/>
          </w:tcPr>
          <w:p>
            <w:r>
              <w:rPr>
                <w:rFonts w:ascii="Calibri" w:hAnsi="Calibri"/>
                <w:sz w:val="20"/>
              </w:rPr>
            </w:r>
            <w:r>
              <w:rPr>
                <w:rFonts w:ascii="Calibri" w:hAnsi="Calibri"/>
                <w:sz w:val="20"/>
              </w:rPr>
              <w:t>15 min</w:t>
            </w:r>
          </w:p>
        </w:tc>
        <w:tc>
          <w:tcPr>
            <w:tcW w:type="dxa" w:w="1361"/>
          </w:tcPr>
          <w:p>
            <w:r>
              <w:rPr>
                <w:rFonts w:ascii="Calibri" w:hAnsi="Calibri"/>
                <w:sz w:val="20"/>
              </w:rPr>
            </w:r>
            <w:r>
              <w:rPr>
                <w:rFonts w:ascii="Calibri" w:hAnsi="Calibri"/>
                <w:sz w:val="20"/>
              </w:rPr>
              <w:t>34.6 MB</w:t>
            </w:r>
          </w:p>
        </w:tc>
        <w:tc>
          <w:tcPr>
            <w:tcW w:type="dxa" w:w="2268"/>
          </w:tcPr>
          <w:p>
            <w:r>
              <w:rPr>
                <w:rFonts w:ascii="Calibri" w:hAnsi="Calibri"/>
                <w:sz w:val="20"/>
              </w:rPr>
            </w:r>
            <w:r>
              <w:rPr>
                <w:rFonts w:ascii="Calibri" w:hAnsi="Calibri"/>
                <w:sz w:val="20"/>
              </w:rPr>
              <w:t>0.825 / 0.890</w:t>
            </w:r>
          </w:p>
        </w:tc>
        <w:tc>
          <w:tcPr>
            <w:tcW w:type="dxa" w:w="1134"/>
          </w:tcPr>
          <w:p>
            <w:r>
              <w:rPr>
                <w:rFonts w:ascii="Calibri" w:hAnsi="Calibri"/>
                <w:sz w:val="20"/>
              </w:rPr>
            </w:r>
            <w:r>
              <w:rPr>
                <w:rFonts w:ascii="Calibri" w:hAnsi="Calibri"/>
                <w:sz w:val="20"/>
              </w:rPr>
              <w:t>11.9 s</w:t>
            </w:r>
          </w:p>
        </w:tc>
        <w:tc>
          <w:tcPr>
            <w:tcW w:type="dxa" w:w="2041"/>
          </w:tcPr>
          <w:p>
            <w:r>
              <w:rPr>
                <w:rFonts w:ascii="Calibri" w:hAnsi="Calibri"/>
                <w:sz w:val="20"/>
              </w:rPr>
            </w:r>
            <w:r>
              <w:rPr>
                <w:rFonts w:ascii="Calibri" w:hAnsi="Calibri"/>
                <w:sz w:val="20"/>
              </w:rPr>
              <w:t>0.811 / 0.860</w:t>
            </w:r>
          </w:p>
        </w:tc>
      </w:tr>
      <w:tr>
        <w:tc>
          <w:tcPr>
            <w:tcW w:type="dxa" w:w="1247"/>
          </w:tcPr>
          <w:p>
            <w:r>
              <w:rPr>
                <w:rFonts w:ascii="Calibri" w:hAnsi="Calibri"/>
                <w:sz w:val="20"/>
              </w:rPr>
            </w:r>
            <w:r>
              <w:rPr>
                <w:rFonts w:ascii="Calibri" w:hAnsi="Calibri"/>
                <w:sz w:val="20"/>
              </w:rPr>
              <w:t>30 min</w:t>
            </w:r>
          </w:p>
        </w:tc>
        <w:tc>
          <w:tcPr>
            <w:tcW w:type="dxa" w:w="1361"/>
          </w:tcPr>
          <w:p>
            <w:r>
              <w:rPr>
                <w:rFonts w:ascii="Calibri" w:hAnsi="Calibri"/>
                <w:sz w:val="20"/>
              </w:rPr>
            </w:r>
            <w:r>
              <w:rPr>
                <w:rFonts w:ascii="Calibri" w:hAnsi="Calibri"/>
                <w:sz w:val="20"/>
              </w:rPr>
              <w:t>17.3 MB</w:t>
            </w:r>
          </w:p>
        </w:tc>
        <w:tc>
          <w:tcPr>
            <w:tcW w:type="dxa" w:w="2268"/>
          </w:tcPr>
          <w:p>
            <w:r>
              <w:rPr>
                <w:rFonts w:ascii="Calibri" w:hAnsi="Calibri"/>
                <w:sz w:val="20"/>
              </w:rPr>
            </w:r>
            <w:r>
              <w:rPr>
                <w:rFonts w:ascii="Calibri" w:hAnsi="Calibri"/>
                <w:sz w:val="20"/>
              </w:rPr>
              <w:t>0.799 / 0.859</w:t>
            </w:r>
          </w:p>
        </w:tc>
        <w:tc>
          <w:tcPr>
            <w:tcW w:type="dxa" w:w="1134"/>
          </w:tcPr>
          <w:p>
            <w:r>
              <w:rPr>
                <w:rFonts w:ascii="Calibri" w:hAnsi="Calibri"/>
                <w:sz w:val="20"/>
              </w:rPr>
            </w:r>
            <w:r>
              <w:rPr>
                <w:rFonts w:ascii="Calibri" w:hAnsi="Calibri"/>
                <w:sz w:val="20"/>
              </w:rPr>
              <w:t>4.3 s</w:t>
            </w:r>
          </w:p>
        </w:tc>
        <w:tc>
          <w:tcPr>
            <w:tcW w:type="dxa" w:w="2041"/>
          </w:tcPr>
          <w:p>
            <w:r>
              <w:rPr>
                <w:rFonts w:ascii="Calibri" w:hAnsi="Calibri"/>
                <w:sz w:val="20"/>
              </w:rPr>
            </w:r>
            <w:r>
              <w:rPr>
                <w:rFonts w:ascii="Calibri" w:hAnsi="Calibri"/>
                <w:sz w:val="20"/>
              </w:rPr>
              <w:t>0.791 / 0.853</w:t>
            </w:r>
          </w:p>
        </w:tc>
      </w:tr>
      <w:tr>
        <w:tc>
          <w:tcPr>
            <w:tcW w:type="dxa" w:w="1247"/>
          </w:tcPr>
          <w:p>
            <w:r>
              <w:rPr>
                <w:rFonts w:ascii="Calibri" w:hAnsi="Calibri"/>
                <w:sz w:val="20"/>
              </w:rPr>
            </w:r>
            <w:r>
              <w:rPr>
                <w:rFonts w:ascii="Calibri" w:hAnsi="Calibri"/>
                <w:sz w:val="20"/>
              </w:rPr>
              <w:t>60 min</w:t>
            </w:r>
          </w:p>
        </w:tc>
        <w:tc>
          <w:tcPr>
            <w:tcW w:type="dxa" w:w="1361"/>
          </w:tcPr>
          <w:p>
            <w:r>
              <w:rPr>
                <w:rFonts w:ascii="Calibri" w:hAnsi="Calibri"/>
                <w:sz w:val="20"/>
              </w:rPr>
            </w:r>
            <w:r>
              <w:rPr>
                <w:rFonts w:ascii="Calibri" w:hAnsi="Calibri"/>
                <w:sz w:val="20"/>
              </w:rPr>
              <w:t>8.7 MB</w:t>
            </w:r>
          </w:p>
        </w:tc>
        <w:tc>
          <w:tcPr>
            <w:tcW w:type="dxa" w:w="2268"/>
          </w:tcPr>
          <w:p>
            <w:r>
              <w:rPr>
                <w:rFonts w:ascii="Calibri" w:hAnsi="Calibri"/>
                <w:sz w:val="20"/>
              </w:rPr>
            </w:r>
            <w:r>
              <w:rPr>
                <w:rFonts w:ascii="Calibri" w:hAnsi="Calibri"/>
                <w:sz w:val="20"/>
              </w:rPr>
              <w:t>0.761 / 0.831</w:t>
            </w:r>
          </w:p>
        </w:tc>
        <w:tc>
          <w:tcPr>
            <w:tcW w:type="dxa" w:w="1134"/>
          </w:tcPr>
          <w:p>
            <w:r>
              <w:rPr>
                <w:rFonts w:ascii="Calibri" w:hAnsi="Calibri"/>
                <w:sz w:val="20"/>
              </w:rPr>
            </w:r>
            <w:r>
              <w:rPr>
                <w:rFonts w:ascii="Calibri" w:hAnsi="Calibri"/>
                <w:sz w:val="20"/>
              </w:rPr>
              <w:t>1.8 s</w:t>
            </w:r>
          </w:p>
        </w:tc>
        <w:tc>
          <w:tcPr>
            <w:tcW w:type="dxa" w:w="2041"/>
          </w:tcPr>
          <w:p>
            <w:r>
              <w:rPr>
                <w:rFonts w:ascii="Calibri" w:hAnsi="Calibri"/>
                <w:sz w:val="20"/>
              </w:rPr>
            </w:r>
            <w:r>
              <w:rPr>
                <w:rFonts w:ascii="Calibri" w:hAnsi="Calibri"/>
                <w:sz w:val="20"/>
              </w:rPr>
              <w:t>0.760 / 0.830</w:t>
            </w:r>
          </w:p>
        </w:tc>
      </w:tr>
    </w:tbl>
    <w:p>
      <w:pPr>
        <w:spacing w:after="120"/>
      </w:pPr>
    </w:p>
    <w:p>
      <w:pPr>
        <w:spacing w:after="160"/>
      </w:pPr>
      <w:r>
        <w:rPr>
          <w:rFonts w:ascii="Calibri" w:hAnsi="Calibri"/>
          <w:sz w:val="22"/>
        </w:rPr>
        <w:t xml:space="preserve">Accuracy improves monotonically as the bin gets finer — finer resolution genuinely captures more real structure — but at a real cost: 5-minute bins need </w:t>
      </w:r>
      <w:r>
        <w:rPr>
          <w:rFonts w:ascii="Calibri" w:hAnsi="Calibri"/>
          <w:b/>
          <w:sz w:val="22"/>
        </w:rPr>
        <w:t>3×</w:t>
      </w:r>
      <w:r>
        <w:rPr>
          <w:rFonts w:ascii="Calibri" w:hAnsi="Calibri"/>
          <w:sz w:val="22"/>
        </w:rPr>
        <w:t xml:space="preserve"> the memory of 15-minute bins and take the random forest </w:t>
      </w:r>
      <w:r>
        <w:rPr>
          <w:rFonts w:ascii="Calibri" w:hAnsi="Calibri"/>
          <w:b/>
          <w:sz w:val="22"/>
        </w:rPr>
        <w:t>~30×</w:t>
      </w:r>
      <w:r>
        <w:rPr>
          <w:rFonts w:ascii="Calibri" w:hAnsi="Calibri"/>
          <w:sz w:val="22"/>
        </w:rPr>
        <w:t xml:space="preserve"> longer to fit, for a ROC-AUC gain of only ~0.03 over 15-minute bins. </w:t>
      </w:r>
      <w:r>
        <w:rPr>
          <w:rFonts w:ascii="Calibri" w:hAnsi="Calibri"/>
          <w:b/>
          <w:sz w:val="22"/>
        </w:rPr>
        <w:t>15 minutes was kept as the working resolution</w:t>
      </w:r>
      <w:r>
        <w:rPr>
          <w:rFonts w:ascii="Calibri" w:hAnsi="Calibri"/>
          <w:sz w:val="22"/>
        </w:rPr>
        <w:t xml:space="preserve"> for the main results as the more defensible middle ground for a decision-support signal that does not need 5-minute precision; a deployment prioritising maximum accuracy over training cost could reasonably choose 5-minute bins instead — this is a genuine trade-off, not a uniquely correct answer.</w:t>
      </w:r>
    </w:p>
    <w:p>
      <w:pPr>
        <w:pStyle w:val="Heading2"/>
      </w:pPr>
      <w:r>
        <w:t>6.2 History (lookback window) length</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color="auto" w:fill="D9E2F3"/>
          </w:tcPr>
          <w:p>
            <w:r>
              <w:rPr>
                <w:rFonts w:ascii="Calibri" w:hAnsi="Calibri"/>
                <w:b/>
                <w:sz w:val="20"/>
              </w:rPr>
            </w:r>
            <w:r>
              <w:rPr>
                <w:rFonts w:ascii="Calibri" w:hAnsi="Calibri"/>
                <w:b/>
                <w:sz w:val="20"/>
              </w:rPr>
              <w:t>Rolling window</w:t>
            </w:r>
          </w:p>
        </w:tc>
        <w:tc>
          <w:tcPr>
            <w:tcW w:type="dxa" w:w="2835"/>
            <w:shd w:val="clear" w:color="auto" w:fill="D9E2F3"/>
          </w:tcPr>
          <w:p>
            <w:r>
              <w:rPr>
                <w:rFonts w:ascii="Calibri" w:hAnsi="Calibri"/>
                <w:b/>
                <w:sz w:val="20"/>
              </w:rPr>
            </w:r>
            <w:r>
              <w:rPr>
                <w:rFonts w:ascii="Calibri" w:hAnsi="Calibri"/>
                <w:b/>
                <w:sz w:val="20"/>
              </w:rPr>
              <w:t>Logistic reg. accuracy / ROC-AUC</w:t>
            </w:r>
          </w:p>
        </w:tc>
        <w:tc>
          <w:tcPr>
            <w:tcW w:type="dxa" w:w="1814"/>
            <w:shd w:val="clear" w:color="auto" w:fill="D9E2F3"/>
          </w:tcPr>
          <w:p>
            <w:r>
              <w:rPr>
                <w:rFonts w:ascii="Calibri" w:hAnsi="Calibri"/>
                <w:b/>
                <w:sz w:val="20"/>
              </w:rPr>
            </w:r>
            <w:r>
              <w:rPr>
                <w:rFonts w:ascii="Calibri" w:hAnsi="Calibri"/>
                <w:b/>
                <w:sz w:val="20"/>
              </w:rPr>
              <w:t>% rows dropped</w:t>
            </w:r>
          </w:p>
        </w:tc>
      </w:tr>
      <w:tr>
        <w:tc>
          <w:tcPr>
            <w:tcW w:type="dxa" w:w="2268"/>
          </w:tcPr>
          <w:p>
            <w:r>
              <w:rPr>
                <w:rFonts w:ascii="Calibri" w:hAnsi="Calibri"/>
                <w:sz w:val="20"/>
              </w:rPr>
            </w:r>
            <w:r>
              <w:rPr>
                <w:rFonts w:ascii="Calibri" w:hAnsi="Calibri"/>
                <w:sz w:val="20"/>
              </w:rPr>
              <w:t>30 min (2 bins)</w:t>
            </w:r>
          </w:p>
        </w:tc>
        <w:tc>
          <w:tcPr>
            <w:tcW w:type="dxa" w:w="2835"/>
          </w:tcPr>
          <w:p>
            <w:r>
              <w:rPr>
                <w:rFonts w:ascii="Calibri" w:hAnsi="Calibri"/>
                <w:sz w:val="20"/>
              </w:rPr>
            </w:r>
            <w:r>
              <w:rPr>
                <w:rFonts w:ascii="Calibri" w:hAnsi="Calibri"/>
                <w:sz w:val="20"/>
              </w:rPr>
              <w:t>0.827 / 0.883</w:t>
            </w:r>
          </w:p>
        </w:tc>
        <w:tc>
          <w:tcPr>
            <w:tcW w:type="dxa" w:w="1814"/>
          </w:tcPr>
          <w:p>
            <w:r>
              <w:rPr>
                <w:rFonts w:ascii="Calibri" w:hAnsi="Calibri"/>
                <w:sz w:val="20"/>
              </w:rPr>
            </w:r>
            <w:r>
              <w:rPr>
                <w:rFonts w:ascii="Calibri" w:hAnsi="Calibri"/>
                <w:sz w:val="20"/>
              </w:rPr>
              <w:t>23.9%</w:t>
            </w:r>
          </w:p>
        </w:tc>
      </w:tr>
      <w:tr>
        <w:tc>
          <w:tcPr>
            <w:tcW w:type="dxa" w:w="2268"/>
          </w:tcPr>
          <w:p>
            <w:r>
              <w:rPr>
                <w:rFonts w:ascii="Calibri" w:hAnsi="Calibri"/>
                <w:sz w:val="20"/>
              </w:rPr>
            </w:r>
            <w:r>
              <w:rPr>
                <w:rFonts w:ascii="Calibri" w:hAnsi="Calibri"/>
                <w:b/>
                <w:sz w:val="20"/>
              </w:rPr>
              <w:t>1 h (4 bins)</w:t>
            </w:r>
          </w:p>
        </w:tc>
        <w:tc>
          <w:tcPr>
            <w:tcW w:type="dxa" w:w="2835"/>
          </w:tcPr>
          <w:p>
            <w:r>
              <w:rPr>
                <w:rFonts w:ascii="Calibri" w:hAnsi="Calibri"/>
                <w:sz w:val="20"/>
              </w:rPr>
            </w:r>
            <w:r>
              <w:rPr>
                <w:rFonts w:ascii="Calibri" w:hAnsi="Calibri"/>
                <w:b/>
                <w:sz w:val="20"/>
              </w:rPr>
              <w:t>0.825 / 0.890</w:t>
            </w:r>
          </w:p>
        </w:tc>
        <w:tc>
          <w:tcPr>
            <w:tcW w:type="dxa" w:w="1814"/>
          </w:tcPr>
          <w:p>
            <w:r>
              <w:rPr>
                <w:rFonts w:ascii="Calibri" w:hAnsi="Calibri"/>
                <w:sz w:val="20"/>
              </w:rPr>
            </w:r>
            <w:r>
              <w:rPr>
                <w:rFonts w:ascii="Calibri" w:hAnsi="Calibri"/>
                <w:sz w:val="20"/>
              </w:rPr>
              <w:t>26.5%</w:t>
            </w:r>
          </w:p>
        </w:tc>
      </w:tr>
      <w:tr>
        <w:tc>
          <w:tcPr>
            <w:tcW w:type="dxa" w:w="2268"/>
          </w:tcPr>
          <w:p>
            <w:r>
              <w:rPr>
                <w:rFonts w:ascii="Calibri" w:hAnsi="Calibri"/>
                <w:sz w:val="20"/>
              </w:rPr>
            </w:r>
            <w:r>
              <w:rPr>
                <w:rFonts w:ascii="Calibri" w:hAnsi="Calibri"/>
                <w:sz w:val="20"/>
              </w:rPr>
              <w:t>2 h (8 bins)</w:t>
            </w:r>
          </w:p>
        </w:tc>
        <w:tc>
          <w:tcPr>
            <w:tcW w:type="dxa" w:w="2835"/>
          </w:tcPr>
          <w:p>
            <w:r>
              <w:rPr>
                <w:rFonts w:ascii="Calibri" w:hAnsi="Calibri"/>
                <w:sz w:val="20"/>
              </w:rPr>
            </w:r>
            <w:r>
              <w:rPr>
                <w:rFonts w:ascii="Calibri" w:hAnsi="Calibri"/>
                <w:sz w:val="20"/>
              </w:rPr>
              <w:t>0.821 / 0.888</w:t>
            </w:r>
          </w:p>
        </w:tc>
        <w:tc>
          <w:tcPr>
            <w:tcW w:type="dxa" w:w="1814"/>
          </w:tcPr>
          <w:p>
            <w:r>
              <w:rPr>
                <w:rFonts w:ascii="Calibri" w:hAnsi="Calibri"/>
                <w:sz w:val="20"/>
              </w:rPr>
            </w:r>
            <w:r>
              <w:rPr>
                <w:rFonts w:ascii="Calibri" w:hAnsi="Calibri"/>
                <w:sz w:val="20"/>
              </w:rPr>
              <w:t>31.8%</w:t>
            </w:r>
          </w:p>
        </w:tc>
      </w:tr>
      <w:tr>
        <w:tc>
          <w:tcPr>
            <w:tcW w:type="dxa" w:w="2268"/>
          </w:tcPr>
          <w:p>
            <w:r>
              <w:rPr>
                <w:rFonts w:ascii="Calibri" w:hAnsi="Calibri"/>
                <w:sz w:val="20"/>
              </w:rPr>
            </w:r>
            <w:r>
              <w:rPr>
                <w:rFonts w:ascii="Calibri" w:hAnsi="Calibri"/>
                <w:sz w:val="20"/>
              </w:rPr>
              <w:t>4 h (16 bins)</w:t>
            </w:r>
          </w:p>
        </w:tc>
        <w:tc>
          <w:tcPr>
            <w:tcW w:type="dxa" w:w="2835"/>
          </w:tcPr>
          <w:p>
            <w:r>
              <w:rPr>
                <w:rFonts w:ascii="Calibri" w:hAnsi="Calibri"/>
                <w:sz w:val="20"/>
              </w:rPr>
            </w:r>
            <w:r>
              <w:rPr>
                <w:rFonts w:ascii="Calibri" w:hAnsi="Calibri"/>
                <w:sz w:val="20"/>
              </w:rPr>
              <w:t>0.815 / 0.883</w:t>
            </w:r>
          </w:p>
        </w:tc>
        <w:tc>
          <w:tcPr>
            <w:tcW w:type="dxa" w:w="1814"/>
          </w:tcPr>
          <w:p>
            <w:r>
              <w:rPr>
                <w:rFonts w:ascii="Calibri" w:hAnsi="Calibri"/>
                <w:sz w:val="20"/>
              </w:rPr>
            </w:r>
            <w:r>
              <w:rPr>
                <w:rFonts w:ascii="Calibri" w:hAnsi="Calibri"/>
                <w:sz w:val="20"/>
              </w:rPr>
              <w:t>39.3%</w:t>
            </w:r>
          </w:p>
        </w:tc>
      </w:tr>
    </w:tbl>
    <w:p>
      <w:pPr>
        <w:spacing w:after="120"/>
      </w:pPr>
    </w:p>
    <w:p>
      <w:pPr>
        <w:spacing w:after="160"/>
      </w:pPr>
      <w:r>
        <w:rPr>
          <w:rFonts w:ascii="Calibri" w:hAnsi="Calibri"/>
          <w:sz w:val="22"/>
        </w:rPr>
        <w:t xml:space="preserve">Longer lookback windows do </w:t>
      </w:r>
      <w:r>
        <w:rPr>
          <w:rFonts w:ascii="Calibri" w:hAnsi="Calibri"/>
          <w:b/>
          <w:sz w:val="22"/>
        </w:rPr>
        <w:t>not</w:t>
      </w:r>
      <w:r>
        <w:rPr>
          <w:rFonts w:ascii="Calibri" w:hAnsi="Calibri"/>
          <w:sz w:val="22"/>
        </w:rPr>
        <w:t xml:space="preserve"> improve ROC-AUC beyond the 1-hour setting, while steadily discarding more data (up to 39.3% at 4 hours, since more consecutive bins must all be present). The 1-hour window used in the main result is close to the best ROC-AUC obtained across the sweep while keeping data loss lower than the longer settings — a justified choice, not an arbitrary default.</w:t>
      </w:r>
    </w:p>
    <w:p>
      <w:pPr>
        <w:pStyle w:val="Heading2"/>
      </w:pPr>
      <w:r>
        <w:t>6.3 Model cost comparison</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color="auto" w:fill="D9E2F3"/>
          </w:tcPr>
          <w:p>
            <w:r>
              <w:rPr>
                <w:rFonts w:ascii="Calibri" w:hAnsi="Calibri"/>
                <w:b/>
                <w:sz w:val="20"/>
              </w:rPr>
            </w:r>
          </w:p>
        </w:tc>
        <w:tc>
          <w:tcPr>
            <w:tcW w:type="dxa" w:w="2098"/>
            <w:shd w:val="clear" w:color="auto" w:fill="D9E2F3"/>
          </w:tcPr>
          <w:p>
            <w:r>
              <w:rPr>
                <w:rFonts w:ascii="Calibri" w:hAnsi="Calibri"/>
                <w:b/>
                <w:sz w:val="20"/>
              </w:rPr>
            </w:r>
            <w:r>
              <w:rPr>
                <w:rFonts w:ascii="Calibri" w:hAnsi="Calibri"/>
                <w:b/>
                <w:sz w:val="20"/>
              </w:rPr>
              <w:t>Logistic regression</w:t>
            </w:r>
          </w:p>
        </w:tc>
        <w:tc>
          <w:tcPr>
            <w:tcW w:type="dxa" w:w="2551"/>
            <w:shd w:val="clear" w:color="auto" w:fill="D9E2F3"/>
          </w:tcPr>
          <w:p>
            <w:r>
              <w:rPr>
                <w:rFonts w:ascii="Calibri" w:hAnsi="Calibri"/>
                <w:b/>
                <w:sz w:val="20"/>
              </w:rPr>
            </w:r>
            <w:r>
              <w:rPr>
                <w:rFonts w:ascii="Calibri" w:hAnsi="Calibri"/>
                <w:b/>
                <w:sz w:val="20"/>
              </w:rPr>
              <w:t>Random forest (100 trees)</w:t>
            </w:r>
          </w:p>
        </w:tc>
      </w:tr>
      <w:tr>
        <w:tc>
          <w:tcPr>
            <w:tcW w:type="dxa" w:w="2268"/>
          </w:tcPr>
          <w:p>
            <w:r>
              <w:rPr>
                <w:rFonts w:ascii="Calibri" w:hAnsi="Calibri"/>
                <w:sz w:val="20"/>
              </w:rPr>
            </w:r>
            <w:r>
              <w:rPr>
                <w:rFonts w:ascii="Calibri" w:hAnsi="Calibri"/>
                <w:sz w:val="20"/>
              </w:rPr>
              <w:t>Parameters / structure</w:t>
            </w:r>
          </w:p>
        </w:tc>
        <w:tc>
          <w:tcPr>
            <w:tcW w:type="dxa" w:w="2098"/>
          </w:tcPr>
          <w:p>
            <w:r>
              <w:rPr>
                <w:rFonts w:ascii="Calibri" w:hAnsi="Calibri"/>
                <w:sz w:val="20"/>
              </w:rPr>
            </w:r>
            <w:r>
              <w:rPr>
                <w:rFonts w:ascii="Calibri" w:hAnsi="Calibri"/>
                <w:sz w:val="20"/>
              </w:rPr>
              <w:t>14 coefficients</w:t>
            </w:r>
          </w:p>
        </w:tc>
        <w:tc>
          <w:tcPr>
            <w:tcW w:type="dxa" w:w="2551"/>
          </w:tcPr>
          <w:p>
            <w:r>
              <w:rPr>
                <w:rFonts w:ascii="Calibri" w:hAnsi="Calibri"/>
                <w:sz w:val="20"/>
              </w:rPr>
            </w:r>
            <w:r>
              <w:rPr>
                <w:rFonts w:ascii="Calibri" w:hAnsi="Calibri"/>
                <w:sz w:val="20"/>
              </w:rPr>
              <w:t>~4.0M tree nodes (avg depth 29.2)</w:t>
            </w:r>
          </w:p>
        </w:tc>
      </w:tr>
      <w:tr>
        <w:tc>
          <w:tcPr>
            <w:tcW w:type="dxa" w:w="2268"/>
          </w:tcPr>
          <w:p>
            <w:r>
              <w:rPr>
                <w:rFonts w:ascii="Calibri" w:hAnsi="Calibri"/>
                <w:sz w:val="20"/>
              </w:rPr>
            </w:r>
            <w:r>
              <w:rPr>
                <w:rFonts w:ascii="Calibri" w:hAnsi="Calibri"/>
                <w:sz w:val="20"/>
              </w:rPr>
              <w:t>Fit time (201k rows)</w:t>
            </w:r>
          </w:p>
        </w:tc>
        <w:tc>
          <w:tcPr>
            <w:tcW w:type="dxa" w:w="2098"/>
          </w:tcPr>
          <w:p>
            <w:r>
              <w:rPr>
                <w:rFonts w:ascii="Calibri" w:hAnsi="Calibri"/>
                <w:sz w:val="20"/>
              </w:rPr>
            </w:r>
            <w:r>
              <w:rPr>
                <w:rFonts w:ascii="Calibri" w:hAnsi="Calibri"/>
                <w:sz w:val="20"/>
              </w:rPr>
              <w:t>0.23 s</w:t>
            </w:r>
          </w:p>
        </w:tc>
        <w:tc>
          <w:tcPr>
            <w:tcW w:type="dxa" w:w="2551"/>
          </w:tcPr>
          <w:p>
            <w:r>
              <w:rPr>
                <w:rFonts w:ascii="Calibri" w:hAnsi="Calibri"/>
                <w:sz w:val="20"/>
              </w:rPr>
            </w:r>
            <w:r>
              <w:rPr>
                <w:rFonts w:ascii="Calibri" w:hAnsi="Calibri"/>
                <w:sz w:val="20"/>
              </w:rPr>
              <w:t>11.9 s (~52×)</w:t>
            </w:r>
          </w:p>
        </w:tc>
      </w:tr>
      <w:tr>
        <w:tc>
          <w:tcPr>
            <w:tcW w:type="dxa" w:w="2268"/>
          </w:tcPr>
          <w:p>
            <w:r>
              <w:rPr>
                <w:rFonts w:ascii="Calibri" w:hAnsi="Calibri"/>
                <w:sz w:val="20"/>
              </w:rPr>
            </w:r>
            <w:r>
              <w:rPr>
                <w:rFonts w:ascii="Calibri" w:hAnsi="Calibri"/>
                <w:sz w:val="20"/>
              </w:rPr>
              <w:t>Predict time per row</w:t>
            </w:r>
          </w:p>
        </w:tc>
        <w:tc>
          <w:tcPr>
            <w:tcW w:type="dxa" w:w="2098"/>
          </w:tcPr>
          <w:p>
            <w:r>
              <w:rPr>
                <w:rFonts w:ascii="Calibri" w:hAnsi="Calibri"/>
                <w:sz w:val="20"/>
              </w:rPr>
            </w:r>
            <w:r>
              <w:rPr>
                <w:rFonts w:ascii="Calibri" w:hAnsi="Calibri"/>
                <w:sz w:val="20"/>
              </w:rPr>
              <w:t>0.33 µs</w:t>
            </w:r>
          </w:p>
        </w:tc>
        <w:tc>
          <w:tcPr>
            <w:tcW w:type="dxa" w:w="2551"/>
          </w:tcPr>
          <w:p>
            <w:r>
              <w:rPr>
                <w:rFonts w:ascii="Calibri" w:hAnsi="Calibri"/>
                <w:sz w:val="20"/>
              </w:rPr>
            </w:r>
            <w:r>
              <w:rPr>
                <w:rFonts w:ascii="Calibri" w:hAnsi="Calibri"/>
                <w:sz w:val="20"/>
              </w:rPr>
              <w:t>16.6 µs (~50×)</w:t>
            </w:r>
          </w:p>
        </w:tc>
      </w:tr>
      <w:tr>
        <w:tc>
          <w:tcPr>
            <w:tcW w:type="dxa" w:w="2268"/>
          </w:tcPr>
          <w:p>
            <w:r>
              <w:rPr>
                <w:rFonts w:ascii="Calibri" w:hAnsi="Calibri"/>
                <w:sz w:val="20"/>
              </w:rPr>
            </w:r>
            <w:r>
              <w:rPr>
                <w:rFonts w:ascii="Calibri" w:hAnsi="Calibri"/>
                <w:sz w:val="20"/>
              </w:rPr>
              <w:t>Test accuracy / ROC-AUC</w:t>
            </w:r>
          </w:p>
        </w:tc>
        <w:tc>
          <w:tcPr>
            <w:tcW w:type="dxa" w:w="2098"/>
          </w:tcPr>
          <w:p>
            <w:r>
              <w:rPr>
                <w:rFonts w:ascii="Calibri" w:hAnsi="Calibri"/>
                <w:sz w:val="20"/>
              </w:rPr>
            </w:r>
            <w:r>
              <w:rPr>
                <w:rFonts w:ascii="Calibri" w:hAnsi="Calibri"/>
                <w:sz w:val="20"/>
              </w:rPr>
              <w:t>0.825 / 0.890</w:t>
            </w:r>
          </w:p>
        </w:tc>
        <w:tc>
          <w:tcPr>
            <w:tcW w:type="dxa" w:w="2551"/>
          </w:tcPr>
          <w:p>
            <w:r>
              <w:rPr>
                <w:rFonts w:ascii="Calibri" w:hAnsi="Calibri"/>
                <w:sz w:val="20"/>
              </w:rPr>
            </w:r>
            <w:r>
              <w:rPr>
                <w:rFonts w:ascii="Calibri" w:hAnsi="Calibri"/>
                <w:sz w:val="20"/>
              </w:rPr>
              <w:t>0.811 / 0.860</w:t>
            </w:r>
          </w:p>
        </w:tc>
      </w:tr>
    </w:tbl>
    <w:p>
      <w:pPr>
        <w:spacing w:after="120"/>
      </w:pPr>
    </w:p>
    <w:p>
      <w:pPr>
        <w:spacing w:after="160"/>
      </w:pPr>
      <w:r>
        <w:rPr>
          <w:rFonts w:ascii="Calibri" w:hAnsi="Calibri"/>
          <w:sz w:val="22"/>
        </w:rPr>
        <w:t xml:space="preserve">The random forest is roughly </w:t>
      </w:r>
      <w:r>
        <w:rPr>
          <w:rFonts w:ascii="Calibri" w:hAnsi="Calibri"/>
          <w:b/>
          <w:sz w:val="22"/>
        </w:rPr>
        <w:t>50× more expensive</w:t>
      </w:r>
      <w:r>
        <w:rPr>
          <w:rFonts w:ascii="Calibri" w:hAnsi="Calibri"/>
          <w:sz w:val="22"/>
        </w:rPr>
        <w:t xml:space="preserve"> to both train and run, for </w:t>
      </w:r>
      <w:r>
        <w:rPr>
          <w:rFonts w:ascii="Calibri" w:hAnsi="Calibri"/>
          <w:b/>
          <w:sz w:val="22"/>
        </w:rPr>
        <w:t>worse</w:t>
      </w:r>
      <w:r>
        <w:rPr>
          <w:rFonts w:ascii="Calibri" w:hAnsi="Calibri"/>
          <w:sz w:val="22"/>
        </w:rPr>
        <w:t xml:space="preserve"> accuracy on this task. This is a clean, concrete justification for selecting logistic regression as the final recommended model: it is simultaneously cheaper and more accurate here, so there is no accuracy/cost trade-off to weigh — logistic regression dominates on both axes for this problem. That will not be true of every occupancy-prediction problem, and is reported as a property of this feature set and dataset, not a general claim that simpler models are always better.</w:t>
      </w:r>
    </w:p>
    <w:p>
      <w:pPr>
        <w:pStyle w:val="Heading1"/>
      </w:pPr>
      <w:r>
        <w:t>7. Limitations and Lessons Learned</w:t>
      </w:r>
    </w:p>
    <w:p>
      <w:pPr>
        <w:pStyle w:val="ListBullet"/>
        <w:spacing w:after="80"/>
      </w:pPr>
      <w:r>
        <w:rPr>
          <w:rFonts w:ascii="Calibri" w:hAnsi="Calibri"/>
          <w:b/>
          <w:sz w:val="22"/>
        </w:rPr>
        <w:t>Environmental data was deliberately not used.</w:t>
      </w:r>
      <w:r>
        <w:rPr>
          <w:rFonts w:ascii="Calibri" w:hAnsi="Calibri"/>
          <w:sz w:val="22"/>
        </w:rPr>
        <w:t xml:space="preserve"> The environmental sensor CSV's 5 sensors were cross-referenced against the same location spreadsheet; only 1 could be matched to a physical room (</w:t>
      </w:r>
      <w:r>
        <w:rPr>
          <w:rFonts w:ascii="Calibri" w:hAnsi="Calibri"/>
          <w:sz w:val="22"/>
        </w:rPr>
        <w:t>G.38</w:t>
      </w:r>
      <w:r>
        <w:rPr>
          <w:rFonts w:ascii="Calibri" w:hAnsi="Calibri"/>
          <w:sz w:val="22"/>
        </w:rPr>
        <w:t xml:space="preserve">), and it does not coincide with either of the two occupancy rooms that </w:t>
      </w:r>
      <w:r>
        <w:rPr>
          <w:rFonts w:ascii="Calibri" w:hAnsi="Calibri"/>
          <w:i/>
          <w:sz w:val="22"/>
        </w:rPr>
        <w:t>could</w:t>
      </w:r>
      <w:r>
        <w:rPr>
          <w:rFonts w:ascii="Calibri" w:hAnsi="Calibri"/>
          <w:sz w:val="22"/>
        </w:rPr>
        <w:t xml:space="preserve"> be identified (</w:t>
      </w:r>
      <w:r>
        <w:rPr>
          <w:rFonts w:ascii="Calibri" w:hAnsi="Calibri"/>
          <w:sz w:val="22"/>
        </w:rPr>
        <w:t>G.20</w:t>
      </w:r>
      <w:r>
        <w:rPr>
          <w:rFonts w:ascii="Calibri" w:hAnsi="Calibri"/>
          <w:sz w:val="22"/>
        </w:rPr>
        <w:t xml:space="preserve">, </w:t>
      </w:r>
      <w:r>
        <w:rPr>
          <w:rFonts w:ascii="Calibri" w:hAnsi="Calibri"/>
          <w:sz w:val="22"/>
        </w:rPr>
        <w:t>G.25</w:t>
      </w:r>
      <w:r>
        <w:rPr>
          <w:rFonts w:ascii="Calibri" w:hAnsi="Calibri"/>
          <w:sz w:val="22"/>
        </w:rPr>
        <w:t xml:space="preserve">). Attempting an occupancy↔environment model would have required guessing which environmental sensor belongs to which occupancy zone — an unverifiable assumption the brief specifically warns against relying on. This was decided </w:t>
      </w:r>
      <w:r>
        <w:rPr>
          <w:rFonts w:ascii="Calibri" w:hAnsi="Calibri"/>
          <w:i/>
          <w:sz w:val="22"/>
        </w:rPr>
        <w:t>before</w:t>
      </w:r>
      <w:r>
        <w:rPr>
          <w:rFonts w:ascii="Calibri" w:hAnsi="Calibri"/>
          <w:sz w:val="22"/>
        </w:rPr>
        <w:t xml:space="preserve"> writing any modelling code for that direction, based on directly inspecting the mapping spreadsheet, rather than discovered after wasted effort.</w:t>
      </w:r>
    </w:p>
    <w:p>
      <w:pPr>
        <w:pStyle w:val="ListBullet"/>
        <w:spacing w:after="80"/>
      </w:pPr>
      <w:r>
        <w:rPr>
          <w:rFonts w:ascii="Calibri" w:hAnsi="Calibri"/>
          <w:b/>
          <w:sz w:val="22"/>
        </w:rPr>
        <w:t>3 of 5 occupancy zones have no known physical identity.</w:t>
      </w:r>
      <w:r>
        <w:rPr>
          <w:rFonts w:ascii="Calibri" w:hAnsi="Calibri"/>
          <w:sz w:val="22"/>
        </w:rPr>
        <w:t xml:space="preserve"> The model still learns and is evaluated per-zone for these, but the report cannot contextualise their results physically (e.g. “this is a lecture theatre vs. an office”).</w:t>
      </w:r>
    </w:p>
    <w:p>
      <w:pPr>
        <w:pStyle w:val="ListBullet"/>
        <w:spacing w:after="80"/>
      </w:pPr>
      <w:r>
        <w:rPr>
          <w:rFonts w:ascii="Calibri" w:hAnsi="Calibri"/>
          <w:b/>
          <w:sz w:val="22"/>
        </w:rPr>
        <w:t>A real bug was caught by testing against real data, not just synthetic cases.</w:t>
      </w:r>
      <w:r>
        <w:rPr>
          <w:rFonts w:ascii="Calibri" w:hAnsi="Calibri"/>
          <w:sz w:val="22"/>
        </w:rPr>
        <w:t xml:space="preserve"> Melbourne's daylight-saving transition means the raw timestamps mix UTC offsets (+11/+10); parsing them with pandas' default </w:t>
      </w:r>
      <w:r>
        <w:rPr>
          <w:rFonts w:ascii="Calibri" w:hAnsi="Calibri"/>
          <w:sz w:val="22"/>
        </w:rPr>
        <w:t>parse_dates</w:t>
      </w:r>
      <w:r>
        <w:rPr>
          <w:rFonts w:ascii="Calibri" w:hAnsi="Calibri"/>
          <w:sz w:val="22"/>
        </w:rPr>
        <w:t xml:space="preserve"> silently produced an unusable </w:t>
      </w:r>
      <w:r>
        <w:rPr>
          <w:rFonts w:ascii="Calibri" w:hAnsi="Calibri"/>
          <w:sz w:val="22"/>
        </w:rPr>
        <w:t>object</w:t>
      </w:r>
      <w:r>
        <w:rPr>
          <w:rFonts w:ascii="Calibri" w:hAnsi="Calibri"/>
          <w:sz w:val="22"/>
        </w:rPr>
        <w:t>-typed column instead of raising an error. This was only caught by running the pipeline against a real data sample (</w:t>
      </w:r>
      <w:r>
        <w:rPr>
          <w:rFonts w:ascii="Calibri" w:hAnsi="Calibri"/>
          <w:sz w:val="22"/>
        </w:rPr>
        <w:t>data/processed/occupancy_sample_50k.csv</w:t>
      </w:r>
      <w:r>
        <w:rPr>
          <w:rFonts w:ascii="Calibri" w:hAnsi="Calibri"/>
          <w:sz w:val="22"/>
        </w:rPr>
        <w:t>) in addition to the synthetic unit tests, and is now fixed and covered by the pipeline's design (</w:t>
      </w:r>
      <w:r>
        <w:rPr>
          <w:rFonts w:ascii="Calibri" w:hAnsi="Calibri"/>
          <w:sz w:val="22"/>
        </w:rPr>
        <w:t>occupancy.data_loading._parse_dates</w:t>
      </w:r>
      <w:r>
        <w:rPr>
          <w:rFonts w:ascii="Calibri" w:hAnsi="Calibri"/>
          <w:sz w:val="22"/>
        </w:rPr>
        <w:t>, parsing to UTC first). The lesson generalises: synthetic unit tests validate logic, but only real data exposes real-world data-quality issues — both are necessary, neither is sufficient alone.</w:t>
      </w:r>
    </w:p>
    <w:p>
      <w:pPr>
        <w:pStyle w:val="ListBullet"/>
        <w:spacing w:after="80"/>
      </w:pPr>
      <w:r>
        <w:rPr>
          <w:rFonts w:ascii="Calibri" w:hAnsi="Calibri"/>
          <w:b/>
          <w:sz w:val="22"/>
        </w:rPr>
        <w:t>A more complex model is not automatically better.</w:t>
      </w:r>
      <w:r>
        <w:rPr>
          <w:rFonts w:ascii="Calibri" w:hAnsi="Calibri"/>
          <w:sz w:val="22"/>
        </w:rPr>
        <w:t xml:space="preserve"> The random forest under-performing logistic regression on both accuracy and cost was an unplanned, and initially counter-intuitive, result. It is reported as found rather than tuned-away, since honestly reporting a negative result with a plausible explanation is more valuable than presenting only favourable numbers.</w:t>
      </w:r>
    </w:p>
    <w:p>
      <w:pPr>
        <w:pStyle w:val="ListBullet"/>
        <w:spacing w:after="80"/>
      </w:pPr>
      <w:r>
        <w:rPr>
          <w:rFonts w:ascii="Calibri" w:hAnsi="Calibri"/>
          <w:b/>
          <w:sz w:val="22"/>
        </w:rPr>
        <w:t>Filenames should not be trusted over the data.</w:t>
      </w:r>
      <w:r>
        <w:rPr>
          <w:rFonts w:ascii="Calibri" w:hAnsi="Calibri"/>
          <w:sz w:val="22"/>
        </w:rPr>
        <w:t xml:space="preserve"> The raw file named “MayToDec2024” actually spans November 2023 to April 2026 — confirmed by directly profiling the timestamps rather than trusting the filename, which materially changed the scoping of what data was actually available.</w:t>
      </w:r>
    </w:p>
    <w:p>
      <w:pPr>
        <w:pStyle w:val="Heading1"/>
      </w:pPr>
      <w:r>
        <w:t>8. AI-Use Reflection</w:t>
      </w:r>
    </w:p>
    <w:p>
      <w:pPr>
        <w:spacing w:after="200"/>
      </w:pPr>
      <w:r>
        <w:rPr>
          <w:i/>
          <w:sz w:val="20"/>
        </w:rPr>
        <w:t>(Note to reader: this section is a first draft describing how AI was actually used while building this repository. It should be reviewed and, where necessary, corrected by the student before submission, since an accurate account of one's own understanding and verification process cannot be fully authored by the tool that assisted with the work.)</w:t>
      </w:r>
    </w:p>
    <w:p>
      <w:pPr>
        <w:spacing w:after="160"/>
      </w:pPr>
      <w:r>
        <w:rPr>
          <w:rFonts w:ascii="Calibri" w:hAnsi="Calibri"/>
          <w:b/>
          <w:sz w:val="22"/>
        </w:rPr>
        <w:t>Tools used:</w:t>
      </w:r>
      <w:r>
        <w:rPr>
          <w:rFonts w:ascii="Calibri" w:hAnsi="Calibri"/>
          <w:sz w:val="22"/>
        </w:rPr>
        <w:t xml:space="preserve"> Claude (Claude Code), throughout the project's data exploration, coding and documentation phases.</w:t>
      </w:r>
    </w:p>
    <w:p>
      <w:pPr>
        <w:spacing w:after="160"/>
      </w:pPr>
      <w:r>
        <w:rPr>
          <w:rFonts w:ascii="Calibri" w:hAnsi="Calibri"/>
          <w:b/>
          <w:sz w:val="22"/>
        </w:rPr>
        <w:t>What it was used for:</w:t>
      </w:r>
      <w:r>
        <w:rPr>
          <w:rFonts w:ascii="Calibri" w:hAnsi="Calibri"/>
          <w:sz w:val="22"/>
        </w:rPr>
        <w:t xml:space="preserve"> exploring and profiling the raw CSV/XLSX files (row counts, date ranges, schema checks, cross-referencing the location spreadsheet against the actual sensor IDs present in the data); scaffolding the Python package (</w:t>
      </w:r>
      <w:r>
        <w:rPr>
          <w:rFonts w:ascii="Calibri" w:hAnsi="Calibri"/>
          <w:sz w:val="20"/>
        </w:rPr>
        <w:t>src/occupancy</w:t>
      </w:r>
      <w:r>
        <w:rPr>
          <w:rFonts w:ascii="Calibri" w:hAnsi="Calibri"/>
          <w:sz w:val="22"/>
        </w:rPr>
        <w:t>), its tests, and the two experiment scripts; drafting docstrings and this report's prose, grounded in the numbers the code actually produced.</w:t>
      </w:r>
    </w:p>
    <w:p>
      <w:pPr>
        <w:spacing w:after="160"/>
      </w:pPr>
      <w:r>
        <w:rPr>
          <w:rFonts w:ascii="Calibri" w:hAnsi="Calibri"/>
          <w:b/>
          <w:sz w:val="22"/>
        </w:rPr>
        <w:t>Approximate level of contribution:</w:t>
      </w:r>
      <w:r>
        <w:rPr>
          <w:rFonts w:ascii="Calibri" w:hAnsi="Calibri"/>
          <w:sz w:val="22"/>
        </w:rPr>
        <w:t xml:space="preserve"> high for code scaffolding and boilerplate (package structure, test structure, docstring formatting); the underlying analytical decisions — which dataset to use, how to define “occupied,” why the environment data was excluded, which validation strategy to use, how to interpret the sensitivity-analysis results — were made in direct back-and-forth with the student, and the student directed each major scope decision (choice of Dataset 2 over Datasets 1/3, choice of occupancy-prediction over occupancy↔environment correlation, repo visibility and naming).</w:t>
      </w:r>
    </w:p>
    <w:p>
      <w:pPr>
        <w:spacing w:after="160"/>
      </w:pPr>
      <w:r>
        <w:rPr>
          <w:rFonts w:ascii="Calibri" w:hAnsi="Calibri"/>
          <w:b/>
          <w:sz w:val="22"/>
        </w:rPr>
        <w:t>Why AI was used for these tasks:</w:t>
      </w:r>
      <w:r>
        <w:rPr>
          <w:rFonts w:ascii="Calibri" w:hAnsi="Calibri"/>
          <w:sz w:val="22"/>
        </w:rPr>
        <w:t xml:space="preserve"> profiling multiple large (100 MB–1.5 GB) files by hand is slow and error-prone; having the same checks (schema validation, cross-referencing IDs) run in code rather than manually is also more auditable — anyone can re-run </w:t>
      </w:r>
      <w:r>
        <w:rPr>
          <w:rFonts w:ascii="Calibri" w:hAnsi="Calibri"/>
          <w:sz w:val="20"/>
        </w:rPr>
        <w:t>scripts/run_experiment.py</w:t>
      </w:r>
      <w:r>
        <w:rPr>
          <w:rFonts w:ascii="Calibri" w:hAnsi="Calibri"/>
          <w:sz w:val="22"/>
        </w:rPr>
        <w:t xml:space="preserve"> and get the same numbers.</w:t>
      </w:r>
    </w:p>
    <w:p>
      <w:pPr>
        <w:spacing w:after="160"/>
      </w:pPr>
      <w:r>
        <w:rPr>
          <w:rFonts w:ascii="Calibri" w:hAnsi="Calibri"/>
          <w:b/>
          <w:sz w:val="22"/>
        </w:rPr>
        <w:t>How AI-generated material was checked:</w:t>
      </w:r>
      <w:r>
        <w:rPr>
          <w:rFonts w:ascii="Calibri" w:hAnsi="Calibri"/>
          <w:sz w:val="22"/>
        </w:rPr>
        <w:t xml:space="preserve"> every numeric claim in this report was produced by actually running the corresponding script against the real dataset in this session (not generated from memory or estimated) — </w:t>
      </w:r>
      <w:r>
        <w:rPr>
          <w:rFonts w:ascii="Calibri" w:hAnsi="Calibri"/>
          <w:sz w:val="20"/>
        </w:rPr>
        <w:t>reports/experiment_results.json</w:t>
      </w:r>
      <w:r>
        <w:rPr>
          <w:rFonts w:ascii="Calibri" w:hAnsi="Calibri"/>
          <w:sz w:val="22"/>
        </w:rPr>
        <w:t xml:space="preserve"> and </w:t>
      </w:r>
      <w:r>
        <w:rPr>
          <w:rFonts w:ascii="Calibri" w:hAnsi="Calibri"/>
          <w:sz w:val="20"/>
        </w:rPr>
        <w:t>reports/sensitivity_results.json</w:t>
      </w:r>
      <w:r>
        <w:rPr>
          <w:rFonts w:ascii="Calibri" w:hAnsi="Calibri"/>
          <w:sz w:val="22"/>
        </w:rPr>
        <w:t xml:space="preserve"> are the raw evidence backing §§4–6. All code additions were exercised by the accompanying pytest suite (26 tests, currently all passing) before being trusted, and the pipeline was additionally run against real (not only synthetic) sample data, which is what caught the daylight-saving timestamp bug described in §7.</w:t>
      </w:r>
    </w:p>
    <w:p>
      <w:pPr>
        <w:spacing w:after="160"/>
      </w:pPr>
      <w:r>
        <w:rPr>
          <w:rFonts w:ascii="Calibri" w:hAnsi="Calibri"/>
          <w:b/>
          <w:sz w:val="22"/>
        </w:rPr>
        <w:t>Errors/limitations of AI assistance encountered:</w:t>
      </w:r>
      <w:r>
        <w:rPr>
          <w:rFonts w:ascii="Calibri" w:hAnsi="Calibri"/>
          <w:sz w:val="22"/>
        </w:rPr>
        <w:t xml:space="preserve"> the timestamp-parsing bug in §7 was itself an AI-authored oversight (assuming </w:t>
      </w:r>
      <w:r>
        <w:rPr>
          <w:rFonts w:ascii="Calibri" w:hAnsi="Calibri"/>
          <w:sz w:val="20"/>
        </w:rPr>
        <w:t>pandas.read_csv</w:t>
      </w:r>
      <w:r>
        <w:rPr>
          <w:rFonts w:ascii="Calibri" w:hAnsi="Calibri"/>
          <w:sz w:val="22"/>
        </w:rPr>
        <w:t xml:space="preserve">'s </w:t>
      </w:r>
      <w:r>
        <w:rPr>
          <w:rFonts w:ascii="Calibri" w:hAnsi="Calibri"/>
          <w:sz w:val="20"/>
        </w:rPr>
        <w:t>parse_dates</w:t>
      </w:r>
      <w:r>
        <w:rPr>
          <w:rFonts w:ascii="Calibri" w:hAnsi="Calibri"/>
          <w:sz w:val="22"/>
        </w:rPr>
        <w:t xml:space="preserve"> would produce one consistent tz-aware column, which failed silently rather than raising) — it was only caught by insisting on running the real-data smoke test rather than trusting the unit tests alone.</w:t>
      </w:r>
    </w:p>
    <w:p>
      <w:pPr>
        <w:spacing w:after="160"/>
      </w:pPr>
      <w:r>
        <w:rPr>
          <w:rFonts w:ascii="Calibri" w:hAnsi="Calibri"/>
          <w:b/>
          <w:sz w:val="22"/>
        </w:rPr>
        <w:t>Decisions that remained the student's:</w:t>
      </w:r>
      <w:r>
        <w:rPr>
          <w:rFonts w:ascii="Calibri" w:hAnsi="Calibri"/>
          <w:sz w:val="22"/>
        </w:rPr>
        <w:t xml:space="preserve"> dataset selection, the specific engineering framing (energy-aware HVAC control) and its justification, acceptance of the room-mapping limitation as a reason to scope out the environment data, GitHub repository visibility/ownership, and final review of all numeric results before they were written into this report.</w:t>
      </w:r>
    </w:p>
    <w:p>
      <w:pPr>
        <w:pStyle w:val="Heading1"/>
      </w:pPr>
      <w:r>
        <w:t>References</w:t>
      </w:r>
    </w:p>
    <w:p>
      <w:pPr>
        <w:spacing w:after="80"/>
      </w:pPr>
      <w:r>
        <w:rPr>
          <w:rFonts w:ascii="Calibri" w:hAnsi="Calibri"/>
          <w:sz w:val="20"/>
        </w:rPr>
        <w:t>MMA3001 Project Brief, Monash University, 2026.</w:t>
      </w:r>
    </w:p>
    <w:p>
      <w:pPr>
        <w:spacing w:after="80"/>
      </w:pPr>
      <w:r>
        <w:rPr>
          <w:rFonts w:ascii="Calibri" w:hAnsi="Calibri"/>
          <w:sz w:val="20"/>
        </w:rPr>
        <w:t>MMA3001 Project Datasets document, Monash University, 2026 (Dataset 2: Monash Smart Infrastructure Occupancy and Environmental Data).</w:t>
      </w:r>
    </w:p>
    <w:p>
      <w:pPr>
        <w:spacing w:after="80"/>
      </w:pPr>
      <w:r>
        <w:rPr>
          <w:rFonts w:ascii="Calibri" w:hAnsi="Calibri"/>
          <w:sz w:val="20"/>
        </w:rPr>
        <w:t>Pedregosa, F. et al. (2011). Scikit-learn: Machine Learning in Python. Journal of Machine Learning Research, 12, 2825-2830.</w:t>
      </w:r>
    </w:p>
    <w:p>
      <w:pPr>
        <w:spacing w:after="80"/>
      </w:pPr>
      <w:r>
        <w:rPr>
          <w:rFonts w:ascii="Calibri" w:hAnsi="Calibri"/>
          <w:sz w:val="20"/>
        </w:rPr>
        <w:t>McKinney, W. (2010). Data Structures for Statistical Computing in Python. Proceedings of the 9th Python in Science Conference.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39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