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9.png" ContentType="image/png"/>
  <Override PartName="/word/media/rId43.png" ContentType="image/png"/>
  <Override PartName="/word/media/rId46.png" ContentType="image/png"/>
  <Override PartName="/word/media/rId48.png" ContentType="image/png"/>
  <Override PartName="/word/media/rId25.png" ContentType="image/png"/>
  <Override PartName="/word/media/rId37.png" ContentType="image/png"/>
  <Override PartName="/word/media/rId4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d15d81c1c65adb8ab6a62db9deebd0d7f6e960"/>
      <w:r>
        <w:t xml:space="preserve">Predicting Indoor CO2 Concentration from Sensor History and Building Occupancy</w:t>
      </w:r>
      <w:bookmarkEnd w:id="20"/>
    </w:p>
    <w:p>
      <w:pPr>
        <w:pStyle w:val="FirstParagraph"/>
      </w:pPr>
      <w:r>
        <w:rPr>
          <w:b/>
        </w:rPr>
        <w:t xml:space="preserve">MMA3001 — Numerical Methods and Machine Learning, Project Report</w:t>
      </w:r>
      <w:r>
        <w:t xml:space="preserve"> </w:t>
      </w:r>
      <w:r>
        <w:rPr>
          <w:b/>
        </w:rPr>
        <w:t xml:space="preserve">Dataset:</w:t>
      </w:r>
      <w:r>
        <w:t xml:space="preserve"> </w:t>
      </w:r>
      <w:r>
        <w:t xml:space="preserve">MMA3001 Dataset 2 — Monash Smart Infrastructure Occupancy and Environmental Data</w:t>
      </w:r>
      <w:r>
        <w:t xml:space="preserve"> </w:t>
      </w:r>
      <w:r>
        <w:rPr>
          <w:b/>
        </w:rPr>
        <w:t xml:space="preserve">Repository:</w:t>
      </w:r>
      <w:r>
        <w:t xml:space="preserve"> </w:t>
      </w:r>
      <w:r>
        <w:t xml:space="preserve">https://github.com/tgup0010-bot/mma3001-occupancy-prediction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c99c001786b40d4526137150fe399afa896fa35"/>
      <w:r>
        <w:t xml:space="preserve">0. Prediction Contract — What Success Looks Like</w:t>
      </w:r>
      <w:bookmarkEnd w:id="21"/>
    </w:p>
    <w:p>
      <w:pPr>
        <w:pStyle w:val="FirstParagraph"/>
      </w:pPr>
      <w:r>
        <w:t xml:space="preserve">Before any modelling, a prediction contract defines exactly what the task is and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means. This follows the Week 5.6 framework: five questions answered upfront so there is a fixed standard to evaluate results against later.</w:t>
      </w:r>
    </w:p>
    <w:p>
      <w:pPr>
        <w:pStyle w:val="BodyText"/>
      </w:pPr>
      <w:r>
        <w:rPr>
          <w:b/>
        </w:rPr>
        <w:t xml:space="preserve">1. What is being predicted?</w:t>
      </w:r>
      <w:r>
        <w:t xml:space="preserve"> </w:t>
      </w:r>
      <w:r>
        <w:t xml:space="preserve">CO2 concentration (ppm) 15 minutes into the future, at a fixed indoor sensor location inside a Monash University building.</w:t>
      </w:r>
    </w:p>
    <w:p>
      <w:pPr>
        <w:pStyle w:val="BodyText"/>
      </w:pPr>
      <w:r>
        <w:rPr>
          <w:b/>
        </w:rPr>
        <w:t xml:space="preserve">2. What is it predicted from?</w:t>
      </w:r>
      <w:r>
        <w:t xml:space="preserve"> </w:t>
      </w:r>
      <w:r>
        <w:t xml:space="preserve">Nine input features: current CO2, CO2 from 15 minutes ago, 1-hour rolling average, building occupancy count, time-of-day (cyclic), day-of-week (cyclic), and weekend flag.</w:t>
      </w:r>
    </w:p>
    <w:p>
      <w:pPr>
        <w:pStyle w:val="BodyText"/>
      </w:pPr>
      <w:r>
        <w:rPr>
          <w:b/>
        </w:rPr>
        <w:t xml:space="preserve">3. What does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look like?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MAE ≤ 10 ppm</w:t>
      </w:r>
      <w:r>
        <w:t xml:space="preserve"> </w:t>
      </w:r>
      <w:r>
        <w:t xml:space="preserve">— below typical reading-to-reading variation; useful as a trend signal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R² ≥ 0.25</w:t>
      </w:r>
      <w:r>
        <w:t xml:space="preserve"> </w:t>
      </w:r>
      <w:r>
        <w:t xml:space="preserve">— explains at least a quarter of variance; captures real structure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 leakage</w:t>
      </w:r>
      <w:r>
        <w:t xml:space="preserve"> </w:t>
      </w:r>
      <w:r>
        <w:t xml:space="preserve">— test set strictly in the future relative to training set</w:t>
      </w:r>
    </w:p>
    <w:p>
      <w:pPr>
        <w:pStyle w:val="BodyText"/>
      </w:pPr>
      <w:r>
        <w:rPr>
          <w:b/>
        </w:rPr>
        <w:t xml:space="preserve">4. What would make this fail?</w:t>
      </w:r>
      <w:r>
        <w:t xml:space="preserve"> </w:t>
      </w:r>
      <w:r>
        <w:t xml:space="preserve">- Occupancy data is only useful if the sensor is in a room with an occupancy counter — if not, it is noise</w:t>
      </w:r>
      <w:r>
        <w:t xml:space="preserve"> </w:t>
      </w:r>
      <w:r>
        <w:t xml:space="preserve">- The 636-day sensor outage means 80% of candidate rows cannot be used</w:t>
      </w:r>
    </w:p>
    <w:p>
      <w:pPr>
        <w:pStyle w:val="BodyText"/>
      </w:pPr>
      <w:r>
        <w:rPr>
          <w:b/>
        </w:rPr>
        <w:t xml:space="preserve">5. What does success look like?</w:t>
      </w:r>
      <w:r>
        <w:t xml:space="preserve"> </w:t>
      </w:r>
      <w:r>
        <w:t xml:space="preserve">A result clearing MAE ≤ 10 ppm and R² ≥ 0.25 on the held-out test set, using a time-ordered split. Whether occupancy improves results is answered empirically via the zone-matching analysis in Section 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ngineering-problem"/>
      <w:r>
        <w:t xml:space="preserve">1. Engineering Problem</w:t>
      </w:r>
      <w:bookmarkEnd w:id="22"/>
    </w:p>
    <w:p>
      <w:pPr>
        <w:pStyle w:val="FirstParagraph"/>
      </w:pPr>
      <w:r>
        <w:t xml:space="preserve">CO2 builds up in occupied rooms when ventilation is insufficient. Above 800–1000 ppm, occupants experience reduced alertness and discomfort. Most building systems react after CO2 is already too high.</w:t>
      </w:r>
    </w:p>
    <w:p>
      <w:pPr>
        <w:pStyle w:val="BodyText"/>
      </w:pPr>
      <w:r>
        <w:t xml:space="preserve">The goal is to predict CO2 15 minutes ahead so a building management system can pre-emptively increase ventilation — better for occupants, more energy-efficient than playing catch-up.</w:t>
      </w:r>
    </w:p>
    <w:p>
      <w:pPr>
        <w:pStyle w:val="BodyText"/>
      </w:pPr>
      <w:r>
        <w:t xml:space="preserve">Four regression methods from MMA3001 Week 5 were compared: Linear Regression, Decision Tree, SVR, and Neural Network.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2b1edcea972a1a3c9957451ce054188a3495152"/>
      <w:r>
        <w:t xml:space="preserve">2. Data Audit: What the Dataset Actually Contains</w:t>
      </w:r>
      <w:bookmarkEnd w:id="23"/>
    </w:p>
    <w:p>
      <w:pPr>
        <w:pStyle w:val="Heading3"/>
      </w:pPr>
      <w:bookmarkStart w:id="24" w:name="sensor-audit"/>
      <w:r>
        <w:t xml:space="preserve">Sensor audit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Sensor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6012002000326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/>
              </w:rPr>
              <w:t xml:space="preserve">Used</w:t>
            </w:r>
          </w:p>
        </w:tc>
        <w:tc>
          <w:p>
            <w:pPr>
              <w:pStyle w:val="Compact"/>
              <w:jc w:val="left"/>
            </w:pPr>
            <w:r>
              <w:t xml:space="preserve">Longest coverage, validated against BoM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6012002000869</w:t>
            </w:r>
          </w:p>
        </w:tc>
        <w:tc>
          <w:p>
            <w:pPr>
              <w:pStyle w:val="Compact"/>
              <w:jc w:val="left"/>
            </w:pPr>
            <w:r>
              <w:t xml:space="preserve">⚠ Short coverage</w:t>
            </w:r>
          </w:p>
        </w:tc>
        <w:tc>
          <w:p>
            <w:pPr>
              <w:pStyle w:val="Compact"/>
              <w:jc w:val="left"/>
            </w:pPr>
            <w:r>
              <w:t xml:space="preserve">Only ~4 months — too short for train/test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6012002000125</w:t>
            </w:r>
          </w:p>
        </w:tc>
        <w:tc>
          <w:p>
            <w:pPr>
              <w:pStyle w:val="Compact"/>
              <w:jc w:val="left"/>
            </w:pPr>
            <w:r>
              <w:t xml:space="preserve">⚠ No overlap</w:t>
            </w:r>
          </w:p>
        </w:tc>
        <w:tc>
          <w:p>
            <w:pPr>
              <w:pStyle w:val="Compact"/>
              <w:jc w:val="left"/>
            </w:pPr>
            <w:r>
              <w:t xml:space="preserve">No overlap with occupancy 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6012002000777</w:t>
            </w:r>
          </w:p>
        </w:tc>
        <w:tc>
          <w:p>
            <w:pPr>
              <w:pStyle w:val="Compact"/>
              <w:jc w:val="left"/>
            </w:pPr>
            <w:r>
              <w:t xml:space="preserve">✗ Frozen clock</w:t>
            </w:r>
          </w:p>
        </w:tc>
        <w:tc>
          <w:p>
            <w:pPr>
              <w:pStyle w:val="Compact"/>
              <w:jc w:val="left"/>
            </w:pPr>
            <w:r>
              <w:t xml:space="preserve">All readings same timestamp — unusable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6012002000227</w:t>
            </w:r>
          </w:p>
        </w:tc>
        <w:tc>
          <w:p>
            <w:pPr>
              <w:pStyle w:val="Compact"/>
              <w:jc w:val="left"/>
            </w:pPr>
            <w:r>
              <w:t xml:space="preserve">✗ Frozen clock</w:t>
            </w:r>
          </w:p>
        </w:tc>
        <w:tc>
          <w:p>
            <w:pPr>
              <w:pStyle w:val="Compact"/>
              <w:jc w:val="left"/>
            </w:pPr>
            <w:r>
              <w:t xml:space="preserve">All readings same timestamp — unusable</w:t>
            </w:r>
          </w:p>
        </w:tc>
      </w:tr>
    </w:tbl>
    <w:p>
      <w:pPr>
        <w:pStyle w:val="BodyText"/>
      </w:pPr>
      <w:r>
        <w:t xml:space="preserve">The frozen-clock issue was not documented in the dataset — found by inspecting timestamps directly.</w:t>
      </w:r>
    </w:p>
    <w:p>
      <w:pPr>
        <w:pStyle w:val="CaptionedFigure"/>
      </w:pPr>
      <w:r>
        <w:drawing>
          <wp:inline>
            <wp:extent cx="5334000" cy="2271577"/>
            <wp:effectExtent b="0" l="0" r="0" t="0"/>
            <wp:docPr descr="Data Audit Chart" title="" id="1" name="Picture"/>
            <a:graphic>
              <a:graphicData uri="http://schemas.openxmlformats.org/drawingml/2006/picture">
                <pic:pic>
                  <pic:nvPicPr>
                    <pic:cNvPr descr="chart7_data_aud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1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Audit Chart</w:t>
      </w:r>
    </w:p>
    <w:p>
      <w:pPr>
        <w:pStyle w:val="BodyText"/>
      </w:pPr>
      <w:r>
        <w:rPr>
          <w:i/>
        </w:rPr>
        <w:t xml:space="preserve">Left: 80% of rows dropped due to 636-day outage and missing lag/rolling features. Right: sensor audit across all five sensors.</w:t>
      </w:r>
    </w:p>
    <w:p>
      <w:pPr>
        <w:pStyle w:val="Heading3"/>
      </w:pPr>
      <w:bookmarkStart w:id="26" w:name="row-availability"/>
      <w:r>
        <w:t xml:space="preserve">Row availability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Raw 15-minute timestamps</w:t>
            </w:r>
          </w:p>
        </w:tc>
        <w:tc>
          <w:p>
            <w:pPr>
              <w:pStyle w:val="Compact"/>
              <w:jc w:val="left"/>
            </w:pPr>
            <w:r>
              <w:t xml:space="preserve">84,576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After dropping NaN readings</w:t>
            </w:r>
          </w:p>
        </w:tc>
        <w:tc>
          <w:p>
            <w:pPr>
              <w:pStyle w:val="Compact"/>
              <w:jc w:val="left"/>
            </w:pPr>
            <w:r>
              <w:t xml:space="preserve">~32,000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After requiring lag + rolling features</w:t>
            </w:r>
          </w:p>
        </w:tc>
        <w:tc>
          <w:p>
            <w:pPr>
              <w:pStyle w:val="Compact"/>
              <w:jc w:val="left"/>
            </w:pPr>
            <w:r>
              <w:t xml:space="preserve">17,010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Final dataset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17,010 (20.1%)</w:t>
            </w:r>
          </w:p>
        </w:tc>
      </w:tr>
    </w:tbl>
    <w:p>
      <w:pPr>
        <w:pStyle w:val="Heading3"/>
      </w:pPr>
      <w:bookmarkStart w:id="27" w:name="feature-availability"/>
      <w:r>
        <w:t xml:space="preserve">Feature availability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co2_now</w:t>
            </w:r>
          </w:p>
        </w:tc>
        <w:tc>
          <w:p>
            <w:pPr>
              <w:pStyle w:val="Compact"/>
              <w:jc w:val="left"/>
            </w:pPr>
            <w:r>
              <w:t xml:space="preserve">Sensor 0326</w:t>
            </w:r>
          </w:p>
        </w:tc>
        <w:tc>
          <w:p>
            <w:pPr>
              <w:pStyle w:val="Compact"/>
              <w:jc w:val="left"/>
            </w:pPr>
            <w:r>
              <w:t xml:space="preserve">Direct reading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co2_lag1</w:t>
            </w:r>
          </w:p>
        </w:tc>
        <w:tc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p>
            <w:pPr>
              <w:pStyle w:val="Compact"/>
              <w:jc w:val="left"/>
            </w:pPr>
            <w:r>
              <w:t xml:space="preserve">Requires previous valid reading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co2_rolling_1h</w:t>
            </w:r>
          </w:p>
        </w:tc>
        <w:tc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p>
            <w:pPr>
              <w:pStyle w:val="Compact"/>
              <w:jc w:val="left"/>
            </w:pPr>
            <w:r>
              <w:t xml:space="preserve">Requires 4 consecutive readings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building_occupancy</w:t>
            </w:r>
          </w:p>
        </w:tc>
        <w:tc>
          <w:p>
            <w:pPr>
              <w:pStyle w:val="Compact"/>
              <w:jc w:val="left"/>
            </w:pPr>
            <w:r>
              <w:t xml:space="preserve">Occupancy log</w:t>
            </w:r>
          </w:p>
        </w:tc>
        <w:tc>
          <w:p>
            <w:pPr>
              <w:pStyle w:val="Compact"/>
              <w:jc w:val="left"/>
            </w:pPr>
            <w:r>
              <w:t xml:space="preserve">Total zones occupied (0–5)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hour_sin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hour_cos</w:t>
            </w:r>
          </w:p>
        </w:tc>
        <w:tc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p>
            <w:pPr>
              <w:pStyle w:val="Compact"/>
              <w:jc w:val="left"/>
            </w:pPr>
            <w:r>
              <w:t xml:space="preserve">Cyclic time-of-day encoding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dow_cos</w:t>
            </w:r>
          </w:p>
        </w:tc>
        <w:tc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p>
            <w:pPr>
              <w:pStyle w:val="Compact"/>
              <w:jc w:val="left"/>
            </w:pPr>
            <w:r>
              <w:t xml:space="preserve">Cyclic day-of-week encoding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is_weekend</w:t>
            </w:r>
          </w:p>
        </w:tc>
        <w:tc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p>
            <w:pPr>
              <w:pStyle w:val="Compact"/>
              <w:jc w:val="left"/>
            </w:pPr>
            <w:r>
              <w:t xml:space="preserve">1 = Saturday/Sunday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1b18167e8c9d74b311f184c62ec1b30dcfe7e6"/>
      <w:r>
        <w:t xml:space="preserve">3. Sensor-to-Zone Matching: The Weekend Spike Analysis</w:t>
      </w:r>
      <w:bookmarkEnd w:id="28"/>
    </w:p>
    <w:p>
      <w:pPr>
        <w:pStyle w:val="FirstParagraph"/>
      </w:pPr>
      <w:r>
        <w:t xml:space="preserve">Before using occupancy as a feature, a dedicated analysis was done to try to match sensor 0326 to a specific occupancy zone. This directly follows the method suggested by the teaching staff: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isolate it to weekends or days where it’s not used that much — on a weekend maybe only one room is used and you find that spike of occupancy and CO2 and you can make that connection.</w:t>
      </w:r>
      <w:r>
        <w:rPr>
          <w:i/>
        </w:rPr>
        <w:t xml:space="preserve">”</w:t>
      </w:r>
    </w:p>
    <w:p>
      <w:pPr>
        <w:pStyle w:val="Heading3"/>
      </w:pPr>
      <w:bookmarkStart w:id="29" w:name="method"/>
      <w:r>
        <w:t xml:space="preserve">Method</w:t>
      </w:r>
      <w:bookmarkEnd w:id="29"/>
    </w:p>
    <w:p>
      <w:pPr>
        <w:numPr>
          <w:ilvl w:val="0"/>
          <w:numId w:val="1001"/>
        </w:numPr>
        <w:pStyle w:val="Compact"/>
      </w:pPr>
      <w:r>
        <w:t xml:space="preserve">Filter all occupancy and CO2 data to weekends (Saturday and Sunday only)</w:t>
      </w:r>
    </w:p>
    <w:p>
      <w:pPr>
        <w:numPr>
          <w:ilvl w:val="0"/>
          <w:numId w:val="1001"/>
        </w:numPr>
        <w:pStyle w:val="Compact"/>
      </w:pPr>
      <w:r>
        <w:t xml:space="preserve">Find 15-minute bins where</w:t>
      </w:r>
      <w:r>
        <w:t xml:space="preserve"> </w:t>
      </w:r>
      <w:r>
        <w:rPr>
          <w:b/>
        </w:rPr>
        <w:t xml:space="preserve">exactly one</w:t>
      </w:r>
      <w:r>
        <w:t xml:space="preserve"> </w:t>
      </w:r>
      <w:r>
        <w:t xml:space="preserve">of the five zones is occupied</w:t>
      </w:r>
    </w:p>
    <w:p>
      <w:pPr>
        <w:numPr>
          <w:ilvl w:val="0"/>
          <w:numId w:val="1001"/>
        </w:numPr>
        <w:pStyle w:val="Compact"/>
      </w:pPr>
      <w:r>
        <w:t xml:space="preserve">Compare sensor 0326’s CO2 during those single-zone events to the weekend baseline (no zones occupied)</w:t>
      </w:r>
    </w:p>
    <w:p>
      <w:pPr>
        <w:numPr>
          <w:ilvl w:val="0"/>
          <w:numId w:val="1001"/>
        </w:numPr>
        <w:pStyle w:val="Compact"/>
      </w:pPr>
      <w:r>
        <w:t xml:space="preserve">If the sensor is in Zone X’s room, CO2 should spike by 50–200 ppm when only Zone X is occupied</w:t>
      </w:r>
    </w:p>
    <w:p>
      <w:pPr>
        <w:pStyle w:val="FirstParagraph"/>
      </w:pPr>
      <w:r>
        <w:t xml:space="preserve">The full 9-million-row occupancy dataset and 29,039 CO2 readings were used.</w:t>
      </w:r>
    </w:p>
    <w:p>
      <w:pPr>
        <w:pStyle w:val="Heading3"/>
      </w:pPr>
      <w:bookmarkStart w:id="30" w:name="results"/>
      <w:r>
        <w:t xml:space="preserve">Results</w:t>
      </w:r>
      <w:bookmarkEnd w:id="30"/>
    </w:p>
    <w:p>
      <w:pPr>
        <w:pStyle w:val="FirstParagraph"/>
      </w:pPr>
      <w:r>
        <w:t xml:space="preserve">From 4,652 weekend bins with both occupancy and CO2 data, 2,351 had exactly one zone occupied: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Events (n)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CO2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 vs baseline (440 ppm)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C</w:t>
            </w:r>
          </w:p>
        </w:tc>
        <w:tc>
          <w:p>
            <w:pPr>
              <w:pStyle w:val="Compact"/>
              <w:jc w:val="left"/>
            </w:pPr>
            <w:r>
              <w:t xml:space="preserve">1,809</w:t>
            </w:r>
          </w:p>
        </w:tc>
        <w:tc>
          <w:p>
            <w:pPr>
              <w:pStyle w:val="Compact"/>
              <w:jc w:val="left"/>
            </w:pPr>
            <w:r>
              <w:t xml:space="preserve">441.8 ppm</w:t>
            </w:r>
          </w:p>
        </w:tc>
        <w:tc>
          <w:p>
            <w:pPr>
              <w:pStyle w:val="Compact"/>
              <w:jc w:val="left"/>
            </w:pPr>
            <w:r>
              <w:t xml:space="preserve">+1.8 ppm</w:t>
            </w:r>
          </w:p>
        </w:tc>
        <w:tc>
          <w:p>
            <w:pPr>
              <w:pStyle w:val="Compact"/>
              <w:jc w:val="left"/>
            </w:pPr>
            <w:r>
              <w:t xml:space="preserve">0.423</w:t>
            </w:r>
          </w:p>
        </w:tc>
        <w:tc>
          <w:p>
            <w:pPr>
              <w:pStyle w:val="Compact"/>
              <w:jc w:val="left"/>
            </w:pPr>
            <w:r>
              <w:t xml:space="preserve">No spike — not in Zone 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A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446.2 ppm</w:t>
            </w:r>
          </w:p>
        </w:tc>
        <w:tc>
          <w:p>
            <w:pPr>
              <w:pStyle w:val="Compact"/>
              <w:jc w:val="left"/>
            </w:pPr>
            <w:r>
              <w:t xml:space="preserve">+6.2 ppm</w:t>
            </w:r>
          </w:p>
        </w:tc>
        <w:tc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p>
            <w:pPr>
              <w:pStyle w:val="Compact"/>
              <w:jc w:val="left"/>
            </w:pPr>
            <w:r>
              <w:t xml:space="preserve">Statistically sig. but physically negligible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D</w:t>
            </w:r>
          </w:p>
        </w:tc>
        <w:tc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p>
            <w:pPr>
              <w:pStyle w:val="Compact"/>
              <w:jc w:val="left"/>
            </w:pPr>
            <w:r>
              <w:t xml:space="preserve">434.7 ppm</w:t>
            </w:r>
          </w:p>
        </w:tc>
        <w:tc>
          <w:p>
            <w:pPr>
              <w:pStyle w:val="Compact"/>
              <w:jc w:val="left"/>
            </w:pPr>
            <w:r>
              <w:t xml:space="preserve">−5.3 ppm</w:t>
            </w:r>
          </w:p>
        </w:tc>
        <w:tc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p>
            <w:pPr>
              <w:pStyle w:val="Compact"/>
              <w:jc w:val="left"/>
            </w:pPr>
            <w:r>
              <w:t xml:space="preserve">CO2 lower — not in Zone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B</w:t>
            </w:r>
          </w:p>
        </w:tc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438.6 ppm</w:t>
            </w:r>
          </w:p>
        </w:tc>
        <w:tc>
          <w:p>
            <w:pPr>
              <w:pStyle w:val="Compact"/>
              <w:jc w:val="left"/>
            </w:pPr>
            <w:r>
              <w:t xml:space="preserve">−1.4 ppm</w:t>
            </w:r>
          </w:p>
        </w:tc>
        <w:tc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p>
            <w:pPr>
              <w:pStyle w:val="Compact"/>
              <w:jc w:val="left"/>
            </w:pPr>
            <w:r>
              <w:t xml:space="preserve">No spike — not in Zone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E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Never exclusively occupied on weekends</w:t>
            </w:r>
          </w:p>
        </w:tc>
      </w:tr>
    </w:tbl>
    <w:p>
      <w:pPr>
        <w:pStyle w:val="BodyText"/>
      </w:pPr>
      <w:r>
        <w:t xml:space="preserve">The expected CO2 rise if a sensor is co-located with an occupied zone is 50–200 ppm. The largest observed delta is +6.2 ppm for Zone A — less than 1.5% of baseline. This is not a meaningful spike.</w:t>
      </w:r>
    </w:p>
    <w:p>
      <w:pPr>
        <w:pStyle w:val="Heading3"/>
      </w:pPr>
      <w:bookmarkStart w:id="31" w:name="Xcb705db7d6def38d8e305a4f87b966927a529c3"/>
      <w:r>
        <w:t xml:space="preserve">Pearson correlation: zone headcount vs CO2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 (all data)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 (weekdays)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A</w:t>
            </w:r>
          </w:p>
        </w:tc>
        <w:tc>
          <w:p>
            <w:pPr>
              <w:pStyle w:val="Compact"/>
              <w:jc w:val="left"/>
            </w:pPr>
            <w:r>
              <w:t xml:space="preserve">−0.166</w:t>
            </w:r>
          </w:p>
        </w:tc>
        <w:tc>
          <w:p>
            <w:pPr>
              <w:pStyle w:val="Compact"/>
              <w:jc w:val="left"/>
            </w:pPr>
            <w:r>
              <w:t xml:space="preserve">−0.220</w:t>
            </w:r>
          </w:p>
        </w:tc>
        <w:tc>
          <w:p>
            <w:pPr>
              <w:pStyle w:val="Compact"/>
              <w:jc w:val="left"/>
            </w:pPr>
            <w:r>
              <w:t xml:space="preserve">Negative — more people, slightly lower CO2 at sensor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B</w:t>
            </w:r>
          </w:p>
        </w:tc>
        <w:tc>
          <w:p>
            <w:pPr>
              <w:pStyle w:val="Compact"/>
              <w:jc w:val="left"/>
            </w:pPr>
            <w:r>
              <w:t xml:space="preserve">−0.174</w:t>
            </w:r>
          </w:p>
        </w:tc>
        <w:tc>
          <w:p>
            <w:pPr>
              <w:pStyle w:val="Compact"/>
              <w:jc w:val="left"/>
            </w:pPr>
            <w:r>
              <w:t xml:space="preserve">−0.216</w:t>
            </w:r>
          </w:p>
        </w:tc>
        <w:tc>
          <w:p>
            <w:pPr>
              <w:pStyle w:val="Compact"/>
              <w:jc w:val="left"/>
            </w:pPr>
            <w:r>
              <w:t xml:space="preserve">Negative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C</w:t>
            </w:r>
          </w:p>
        </w:tc>
        <w:tc>
          <w:p>
            <w:pPr>
              <w:pStyle w:val="Compact"/>
              <w:jc w:val="left"/>
            </w:pPr>
            <w:r>
              <w:t xml:space="preserve">−0.144</w:t>
            </w:r>
          </w:p>
        </w:tc>
        <w:tc>
          <w:p>
            <w:pPr>
              <w:pStyle w:val="Compact"/>
              <w:jc w:val="left"/>
            </w:pPr>
            <w:r>
              <w:t xml:space="preserve">−0.163</w:t>
            </w:r>
          </w:p>
        </w:tc>
        <w:tc>
          <w:p>
            <w:pPr>
              <w:pStyle w:val="Compact"/>
              <w:jc w:val="left"/>
            </w:pPr>
            <w:r>
              <w:t xml:space="preserve">Negative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Zone D</w:t>
            </w:r>
          </w:p>
        </w:tc>
        <w:tc>
          <w:p>
            <w:pPr>
              <w:pStyle w:val="Compact"/>
              <w:jc w:val="left"/>
            </w:pPr>
            <w:r>
              <w:t xml:space="preserve">−0.139</w:t>
            </w:r>
          </w:p>
        </w:tc>
        <w:tc>
          <w:p>
            <w:pPr>
              <w:pStyle w:val="Compact"/>
              <w:jc w:val="left"/>
            </w:pPr>
            <w:r>
              <w:t xml:space="preserve">−0.171</w:t>
            </w:r>
          </w:p>
        </w:tc>
        <w:tc>
          <w:p>
            <w:pPr>
              <w:pStyle w:val="Compact"/>
              <w:jc w:val="left"/>
            </w:pPr>
            <w:r>
              <w:t xml:space="preserve">Negative</w:t>
            </w:r>
          </w:p>
        </w:tc>
      </w:tr>
    </w:tbl>
    <w:p>
      <w:pPr>
        <w:pStyle w:val="BodyText"/>
      </w:pPr>
      <w:r>
        <w:t xml:space="preserve">All correlations are</w:t>
      </w:r>
      <w:r>
        <w:t xml:space="preserve"> </w:t>
      </w:r>
      <w:r>
        <w:rPr>
          <w:b/>
        </w:rPr>
        <w:t xml:space="preserve">negative</w:t>
      </w:r>
      <w:r>
        <w:t xml:space="preserve"> </w:t>
      </w:r>
      <w:r>
        <w:t xml:space="preserve">— the opposite of what co-location would produce. The most likely explanation: when people arrive, the building HVAC increases fresh air flow, slightly reducing CO2 throughout the building regardless of sensor location.</w:t>
      </w:r>
    </w:p>
    <w:p>
      <w:pPr>
        <w:pStyle w:val="CaptionedFigure"/>
      </w:pPr>
      <w:r>
        <w:drawing>
          <wp:inline>
            <wp:extent cx="5334000" cy="2279990"/>
            <wp:effectExtent b="0" l="0" r="0" t="0"/>
            <wp:docPr descr="Zone matching chart" title="" id="1" name="Picture"/>
            <a:graphic>
              <a:graphicData uri="http://schemas.openxmlformats.org/drawingml/2006/picture">
                <pic:pic>
                  <pic:nvPicPr>
                    <pic:cNvPr descr="chart10_zone_match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9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Zone matching chart</w:t>
      </w:r>
    </w:p>
    <w:p>
      <w:pPr>
        <w:pStyle w:val="BodyText"/>
      </w:pPr>
      <w:r>
        <w:rPr>
          <w:i/>
        </w:rPr>
        <w:t xml:space="preserve">Left: CO2 spike per zone when exclusively occupied on weekends — all deltas well below the expected 50–200 ppm range. Right: all zone-CO2 correlations are negative, ruling out co-location for all four zones.</w:t>
      </w:r>
    </w:p>
    <w:p>
      <w:pPr>
        <w:pStyle w:val="Heading3"/>
      </w:pPr>
      <w:bookmarkStart w:id="33" w:name="conclusion"/>
      <w:r>
        <w:t xml:space="preserve">Conclusion</w:t>
      </w:r>
      <w:bookmarkEnd w:id="33"/>
    </w:p>
    <w:p>
      <w:pPr>
        <w:pStyle w:val="FirstParagraph"/>
      </w:pPr>
      <w:r>
        <w:rPr>
          <w:b/>
        </w:rPr>
        <w:t xml:space="preserve">Sensor 0326 cannot be matched to any of the five occupancy zones.</w:t>
      </w:r>
      <w:r>
        <w:t xml:space="preserve"> </w:t>
      </w:r>
      <w:r>
        <w:t xml:space="preserve">Both the targeted weekend spike analysis and the correlation analysis give the same answer: the sensor is not in any monitored room. Occupancy data therefore cannot provide a useful CO2 prediction signal for this sensor. The models were built with this confirmed knowledge.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computational-solution"/>
      <w:r>
        <w:t xml:space="preserve">4. Computational Solution</w:t>
      </w:r>
      <w:bookmarkEnd w:id="34"/>
    </w:p>
    <w:p>
      <w:pPr>
        <w:pStyle w:val="FirstParagraph"/>
      </w:pPr>
      <w:r>
        <w:t xml:space="preserve">All four regression methods are implemented in</w:t>
      </w:r>
      <w:r>
        <w:t xml:space="preserve"> </w:t>
      </w:r>
      <w:r>
        <w:rPr>
          <w:rStyle w:val="VerbatimChar"/>
        </w:rPr>
        <w:t xml:space="preserve">occupancy.co2_models</w:t>
      </w:r>
      <w:r>
        <w:t xml:space="preserve"> </w:t>
      </w:r>
      <w:r>
        <w:t xml:space="preserve">as scikit-learn Pipelines. All use the same StandardScaler preprocessing for a fair comparison.</w:t>
      </w:r>
    </w:p>
    <w:p>
      <w:pPr>
        <w:pStyle w:val="BodyText"/>
      </w:pPr>
      <w:r>
        <w:rPr>
          <w:b/>
        </w:rPr>
        <w:t xml:space="preserve">Linear Regression</w:t>
      </w:r>
      <w:r>
        <w:t xml:space="preserve"> </w:t>
      </w:r>
      <w:r>
        <w:t xml:space="preserve">— baseline; straight-line relationship between inputs and target.</w:t>
      </w:r>
    </w:p>
    <w:p>
      <w:pPr>
        <w:pStyle w:val="BodyText"/>
      </w:pPr>
      <w:r>
        <w:rPr>
          <w:b/>
        </w:rPr>
        <w:t xml:space="preserve">Decision Tree Regression</w:t>
      </w:r>
      <w:r>
        <w:t xml:space="preserve"> </w:t>
      </w:r>
      <w:r>
        <w:t xml:space="preserve">— if/else rule splits; max depth 8. Can overfit.</w:t>
      </w:r>
    </w:p>
    <w:p>
      <w:pPr>
        <w:pStyle w:val="BodyText"/>
      </w:pPr>
      <w:r>
        <w:rPr>
          <w:b/>
        </w:rPr>
        <w:t xml:space="preserve">Support Vector Regression (SVR)</w:t>
      </w:r>
      <w:r>
        <w:t xml:space="preserve"> </w:t>
      </w:r>
      <w:r>
        <w:t xml:space="preserve">— smooth curve fitting; RBF kernel, C=10, epsilon=0.5.</w:t>
      </w:r>
    </w:p>
    <w:p>
      <w:pPr>
        <w:pStyle w:val="BodyText"/>
      </w:pPr>
      <w:r>
        <w:rPr>
          <w:b/>
        </w:rPr>
        <w:t xml:space="preserve">Neural Network Regression</w:t>
      </w:r>
      <w:r>
        <w:t xml:space="preserve"> </w:t>
      </w:r>
      <w:r>
        <w:t xml:space="preserve">— two layers (32, 16 units), early stopping. Most flexible.</w:t>
      </w:r>
    </w:p>
    <w:p>
      <w:pPr>
        <w:pStyle w:val="BodyText"/>
      </w:pPr>
      <w:r>
        <w:t xml:space="preserve">Occupancy (total zones, 0–5) was still included as a feature to empirically confirm it adds no value — consistent with the zone-matching result.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results-and-model-comparison"/>
      <w:r>
        <w:t xml:space="preserve">5. Results and Model Comparison</w:t>
      </w:r>
      <w:bookmarkEnd w:id="35"/>
    </w:p>
    <w:p>
      <w:pPr>
        <w:pStyle w:val="Heading3"/>
      </w:pPr>
      <w:bookmarkStart w:id="36" w:name="train-test-split"/>
      <w:r>
        <w:t xml:space="preserve">Train / test split</w:t>
      </w:r>
      <w:bookmarkEnd w:id="36"/>
    </w:p>
    <w:p>
      <w:pPr>
        <w:pStyle w:val="FirstParagraph"/>
      </w:pPr>
      <w:r>
        <w:t xml:space="preserve">17,010 rows split in time order: 80% training (13,608 rows), 20% testing (3,402 rows). Cutoff: 11 March 2026. A random split was not used — it would constitute data leakage (Week 5.6 principle).</w:t>
      </w:r>
    </w:p>
    <w:p>
      <w:pPr>
        <w:pStyle w:val="CaptionedFigure"/>
      </w:pPr>
      <w:r>
        <w:drawing>
          <wp:inline>
            <wp:extent cx="5334000" cy="1519605"/>
            <wp:effectExtent b="0" l="0" r="0" t="0"/>
            <wp:docPr descr="Train/test split timeline" title="" id="1" name="Picture"/>
            <a:graphic>
              <a:graphicData uri="http://schemas.openxmlformats.org/drawingml/2006/picture">
                <pic:pic>
                  <pic:nvPicPr>
                    <pic:cNvPr descr="chart8_split_tim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9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Train/test split timeline</w:t>
      </w:r>
    </w:p>
    <w:p>
      <w:pPr>
        <w:pStyle w:val="Heading3"/>
      </w:pPr>
      <w:bookmarkStart w:id="38" w:name="model-results"/>
      <w:r>
        <w:t xml:space="preserve">Model results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MAE (ppm)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RMSE (ppm)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p>
            <w:pPr>
              <w:pStyle w:val="Compact"/>
              <w:jc w:val="left"/>
            </w:pPr>
            <w:r>
              <w:t xml:space="preserve">9.012</w:t>
            </w:r>
          </w:p>
        </w:tc>
        <w:tc>
          <w:p>
            <w:pPr>
              <w:pStyle w:val="Compact"/>
              <w:jc w:val="left"/>
            </w:pPr>
            <w:r>
              <w:t xml:space="preserve">25.579</w:t>
            </w:r>
          </w:p>
        </w:tc>
        <w:tc>
          <w:p>
            <w:pPr>
              <w:pStyle w:val="Compact"/>
              <w:jc w:val="left"/>
            </w:pPr>
            <w:r>
              <w:t xml:space="preserve">0.3581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 Regression</w:t>
            </w:r>
          </w:p>
        </w:tc>
        <w:tc>
          <w:p>
            <w:pPr>
              <w:pStyle w:val="Compact"/>
              <w:jc w:val="left"/>
            </w:pPr>
            <w:r>
              <w:t xml:space="preserve">9.353</w:t>
            </w:r>
          </w:p>
        </w:tc>
        <w:tc>
          <w:p>
            <w:pPr>
              <w:pStyle w:val="Compact"/>
              <w:jc w:val="left"/>
            </w:pPr>
            <w:r>
              <w:t xml:space="preserve">28.708</w:t>
            </w:r>
          </w:p>
        </w:tc>
        <w:tc>
          <w:p>
            <w:pPr>
              <w:pStyle w:val="Compact"/>
              <w:jc w:val="left"/>
            </w:pPr>
            <w:r>
              <w:t xml:space="preserve">0.1914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SVR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8.350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25.894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0.3422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Neural Network Regression</w:t>
            </w:r>
          </w:p>
        </w:tc>
        <w:tc>
          <w:p>
            <w:pPr>
              <w:pStyle w:val="Compact"/>
              <w:jc w:val="left"/>
            </w:pPr>
            <w:r>
              <w:t xml:space="preserve">9.350</w:t>
            </w:r>
          </w:p>
        </w:tc>
        <w:tc>
          <w:p>
            <w:pPr>
              <w:pStyle w:val="Compact"/>
              <w:jc w:val="left"/>
            </w:pPr>
            <w:r>
              <w:t xml:space="preserve">26.015</w:t>
            </w:r>
          </w:p>
        </w:tc>
        <w:tc>
          <w:p>
            <w:pPr>
              <w:pStyle w:val="Compact"/>
              <w:jc w:val="left"/>
            </w:pPr>
            <w:r>
              <w:t xml:space="preserve">0.3360</w:t>
            </w:r>
          </w:p>
        </w:tc>
      </w:tr>
    </w:tbl>
    <w:p>
      <w:pPr>
        <w:pStyle w:val="CaptionedFigure"/>
      </w:pPr>
      <w:r>
        <w:drawing>
          <wp:inline>
            <wp:extent cx="5334000" cy="3303289"/>
            <wp:effectExtent b="0" l="0" r="0" t="0"/>
            <wp:docPr descr="MAE comparison chart" title="" id="1" name="Picture"/>
            <a:graphic>
              <a:graphicData uri="http://schemas.openxmlformats.org/drawingml/2006/picture">
                <pic:pic>
                  <pic:nvPicPr>
                    <pic:cNvPr descr="chart1_ma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MAE comparison chart</w:t>
      </w:r>
    </w:p>
    <w:p>
      <w:pPr>
        <w:pStyle w:val="Heading3"/>
      </w:pPr>
      <w:bookmarkStart w:id="40" w:name="was-success-reached"/>
      <w:r>
        <w:t xml:space="preserve">Was success reached?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MAE ≤ 10 ppm</w:t>
            </w:r>
          </w:p>
        </w:tc>
        <w:tc>
          <w:p>
            <w:pPr>
              <w:pStyle w:val="Compact"/>
              <w:jc w:val="left"/>
            </w:pPr>
            <w:r>
              <w:t xml:space="preserve">≤ 10 ppm</w:t>
            </w:r>
          </w:p>
        </w:tc>
        <w:tc>
          <w:p>
            <w:pPr>
              <w:pStyle w:val="Compact"/>
              <w:jc w:val="left"/>
            </w:pPr>
            <w:r>
              <w:t xml:space="preserve">8.35–9.35 ppm (all models)</w:t>
            </w:r>
          </w:p>
        </w:tc>
        <w:tc>
          <w:p>
            <w:pPr>
              <w:pStyle w:val="Compact"/>
              <w:jc w:val="left"/>
            </w:pPr>
            <w:r>
              <w:t xml:space="preserve">✓ 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R² ≥ 0.25</w:t>
            </w:r>
          </w:p>
        </w:tc>
        <w:tc>
          <w:p>
            <w:pPr>
              <w:pStyle w:val="Compact"/>
              <w:jc w:val="left"/>
            </w:pPr>
            <w:r>
              <w:t xml:space="preserve">≥ 0.25</w:t>
            </w:r>
          </w:p>
        </w:tc>
        <w:tc>
          <w:p>
            <w:pPr>
              <w:pStyle w:val="Compact"/>
              <w:jc w:val="left"/>
            </w:pPr>
            <w:r>
              <w:t xml:space="preserve">0.336–0.358 (LR, SVR, NN)</w:t>
            </w:r>
          </w:p>
        </w:tc>
        <w:tc>
          <w:p>
            <w:pPr>
              <w:pStyle w:val="Compact"/>
              <w:jc w:val="left"/>
            </w:pPr>
            <w:r>
              <w:t xml:space="preserve">✓ 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data leakage</w:t>
            </w:r>
          </w:p>
        </w:tc>
        <w:tc>
          <w:p>
            <w:pPr>
              <w:pStyle w:val="Compact"/>
              <w:jc w:val="left"/>
            </w:pPr>
            <w:r>
              <w:t xml:space="preserve">Time-ordered split</w:t>
            </w:r>
          </w:p>
        </w:tc>
        <w:tc>
          <w:p>
            <w:pPr>
              <w:pStyle w:val="Compact"/>
              <w:jc w:val="left"/>
            </w:pPr>
            <w:r>
              <w:t xml:space="preserve">11 Mar 2026 cutoff used</w:t>
            </w:r>
          </w:p>
        </w:tc>
        <w:tc>
          <w:p>
            <w:pPr>
              <w:pStyle w:val="Compact"/>
              <w:jc w:val="left"/>
            </w:pPr>
            <w:r>
              <w:t xml:space="preserve">✓ 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 R²</w:t>
            </w:r>
          </w:p>
        </w:tc>
        <w:tc>
          <w:p>
            <w:pPr>
              <w:pStyle w:val="Compact"/>
              <w:jc w:val="left"/>
            </w:pPr>
            <w:r>
              <w:t xml:space="preserve">≥ 0.25</w:t>
            </w:r>
          </w:p>
        </w:tc>
        <w:tc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p>
            <w:pPr>
              <w:pStyle w:val="Compact"/>
              <w:jc w:val="left"/>
            </w:pPr>
            <w:r>
              <w:t xml:space="preserve">✗ Not met</w:t>
            </w:r>
          </w:p>
        </w:tc>
      </w:tr>
    </w:tbl>
    <w:p>
      <w:pPr>
        <w:pStyle w:val="CaptionedFigure"/>
      </w:pPr>
      <w:r>
        <w:drawing>
          <wp:inline>
            <wp:extent cx="5334000" cy="2954410"/>
            <wp:effectExtent b="0" l="0" r="0" t="0"/>
            <wp:docPr descr="Success threshold" title="" id="1" name="Picture"/>
            <a:graphic>
              <a:graphicData uri="http://schemas.openxmlformats.org/drawingml/2006/picture">
                <pic:pic>
                  <pic:nvPicPr>
                    <pic:cNvPr descr="chart9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Success threshold</w:t>
      </w:r>
    </w:p>
    <w:p>
      <w:pPr>
        <w:pStyle w:val="BodyText"/>
      </w:pPr>
      <w:r>
        <w:t xml:space="preserve">Three of four models clear both success criteria. Decision Tree fails R² due to overfitting. SVR is the best overall.</w:t>
      </w:r>
    </w:p>
    <w:p>
      <w:pPr>
        <w:pStyle w:val="BodyText"/>
      </w:pPr>
      <w:r>
        <w:rPr>
          <w:b/>
        </w:rPr>
        <w:t xml:space="preserve">Why R² is moderate (~0.34):</w:t>
      </w:r>
      <w:r>
        <w:t xml:space="preserve"> </w:t>
      </w:r>
      <w:r>
        <w:t xml:space="preserve">The models explain about a third of next-15-minute CO2 variance. The rest is driven by HVAC switching, doors/windows, and equipment — none accessible to the model. This is honest; the prediction is a useful trend signal, not a precise forecast.</w:t>
      </w:r>
    </w:p>
    <w:p>
      <w:pPr>
        <w:pStyle w:val="Heading3"/>
      </w:pPr>
      <w:bookmarkStart w:id="42" w:name="does-occupancy-help"/>
      <w:r>
        <w:t xml:space="preserve">Does occupancy help?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R² with occupancy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R² without occupancy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 Regression</w:t>
            </w:r>
          </w:p>
        </w:tc>
        <w:tc>
          <w:p>
            <w:pPr>
              <w:pStyle w:val="Compact"/>
              <w:jc w:val="left"/>
            </w:pPr>
            <w:r>
              <w:t xml:space="preserve">0.3581</w:t>
            </w:r>
          </w:p>
        </w:tc>
        <w:tc>
          <w:p>
            <w:pPr>
              <w:pStyle w:val="Compact"/>
              <w:jc w:val="left"/>
            </w:pPr>
            <w:r>
              <w:t xml:space="preserve">0.3579</w:t>
            </w:r>
          </w:p>
        </w:tc>
        <w:tc>
          <w:p>
            <w:pPr>
              <w:pStyle w:val="Compact"/>
              <w:jc w:val="left"/>
            </w:pPr>
            <w:r>
              <w:t xml:space="preserve">+0.0002 (no difference)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 Tree Regression</w:t>
            </w:r>
          </w:p>
        </w:tc>
        <w:tc>
          <w:p>
            <w:pPr>
              <w:pStyle w:val="Compact"/>
              <w:jc w:val="left"/>
            </w:pPr>
            <w:r>
              <w:t xml:space="preserve">0.1914</w:t>
            </w:r>
          </w:p>
        </w:tc>
        <w:tc>
          <w:p>
            <w:pPr>
              <w:pStyle w:val="Compact"/>
              <w:jc w:val="left"/>
            </w:pPr>
            <w:r>
              <w:t xml:space="preserve">0.3305</w:t>
            </w:r>
          </w:p>
        </w:tc>
        <w:tc>
          <w:p>
            <w:pPr>
              <w:pStyle w:val="Compact"/>
              <w:jc w:val="left"/>
            </w:pPr>
            <w:r>
              <w:t xml:space="preserve">−0.1391 (worse)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SVR</w:t>
            </w:r>
          </w:p>
        </w:tc>
        <w:tc>
          <w:p>
            <w:pPr>
              <w:pStyle w:val="Compact"/>
              <w:jc w:val="left"/>
            </w:pPr>
            <w:r>
              <w:t xml:space="preserve">0.3422</w:t>
            </w:r>
          </w:p>
        </w:tc>
        <w:tc>
          <w:p>
            <w:pPr>
              <w:pStyle w:val="Compact"/>
              <w:jc w:val="left"/>
            </w:pPr>
            <w:r>
              <w:t xml:space="preserve">0.3438</w:t>
            </w:r>
          </w:p>
        </w:tc>
        <w:tc>
          <w:p>
            <w:pPr>
              <w:pStyle w:val="Compact"/>
              <w:jc w:val="left"/>
            </w:pPr>
            <w:r>
              <w:t xml:space="preserve">−0.0016 (no difference)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Neural Network Regression</w:t>
            </w:r>
          </w:p>
        </w:tc>
        <w:tc>
          <w:p>
            <w:pPr>
              <w:pStyle w:val="Compact"/>
              <w:jc w:val="left"/>
            </w:pPr>
            <w:r>
              <w:t xml:space="preserve">0.3360</w:t>
            </w:r>
          </w:p>
        </w:tc>
        <w:tc>
          <w:p>
            <w:pPr>
              <w:pStyle w:val="Compact"/>
              <w:jc w:val="left"/>
            </w:pPr>
            <w:r>
              <w:t xml:space="preserve">0.3352</w:t>
            </w:r>
          </w:p>
        </w:tc>
        <w:tc>
          <w:p>
            <w:pPr>
              <w:pStyle w:val="Compact"/>
              <w:jc w:val="left"/>
            </w:pPr>
            <w:r>
              <w:t xml:space="preserve">+0.0008 (no difference)</w:t>
            </w:r>
          </w:p>
        </w:tc>
      </w:tr>
    </w:tbl>
    <w:p>
      <w:pPr>
        <w:pStyle w:val="CaptionedFigure"/>
      </w:pPr>
      <w:r>
        <w:drawing>
          <wp:inline>
            <wp:extent cx="5334000" cy="3227630"/>
            <wp:effectExtent b="0" l="0" r="0" t="0"/>
            <wp:docPr descr="Occupancy comparison chart" title="" id="1" name="Picture"/>
            <a:graphic>
              <a:graphicData uri="http://schemas.openxmlformats.org/drawingml/2006/picture">
                <pic:pic>
                  <pic:nvPicPr>
                    <pic:cNvPr descr="chart2_occupan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Occupancy comparison chart</w:t>
      </w:r>
    </w:p>
    <w:p>
      <w:pPr>
        <w:pStyle w:val="BodyText"/>
      </w:pPr>
      <w:r>
        <w:t xml:space="preserve">Occupancy makes no meaningful difference for any model, and actively hurts Decision Tree. This is fully explained by the Section 3 finding — the sensor is not in a monitored room.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handling-missing-data"/>
      <w:r>
        <w:t xml:space="preserve">6. Handling Missing Data</w:t>
      </w:r>
      <w:bookmarkEnd w:id="44"/>
    </w:p>
    <w:p>
      <w:pPr>
        <w:pStyle w:val="FirstParagraph"/>
      </w:pPr>
      <w:r>
        <w:t xml:space="preserve">The 636-day sensor outage reduces 84,576 candidate rows to 17,010 (20%). Missing rows are dropped rather than filled — imputing across a 636-day gap would introduce far greater error than working with the available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numerical-integration-co2-exposure"/>
      <w:r>
        <w:t xml:space="preserve">7. Numerical Integration — CO2 Exposure</w:t>
      </w:r>
      <w:bookmarkEnd w:id="45"/>
    </w:p>
    <w:p>
      <w:pPr>
        <w:pStyle w:val="FirstParagraph"/>
      </w:pPr>
      <w:r>
        <w:t xml:space="preserve">Trapezoidal rule and Simpson’s 1/3 rule are implemented in</w:t>
      </w:r>
      <w:r>
        <w:t xml:space="preserve"> </w:t>
      </w:r>
      <w:r>
        <w:rPr>
          <w:rStyle w:val="VerbatimChar"/>
        </w:rPr>
        <w:t xml:space="preserve">occupancy.co2_integration</w:t>
      </w:r>
      <w:r>
        <w:t xml:space="preserve"> </w:t>
      </w:r>
      <w:r>
        <w:t xml:space="preserve">from the Week 6 formulas directly.</w:t>
      </w:r>
    </w:p>
    <w:p>
      <w:pPr>
        <w:pStyle w:val="BodyText"/>
      </w:pPr>
      <w:r>
        <w:rPr>
          <w:b/>
        </w:rPr>
        <w:t xml:space="preserve">Bug found:</w:t>
      </w:r>
      <w:r>
        <w:t xml:space="preserve"> </w:t>
      </w:r>
      <w:r>
        <w:t xml:space="preserve">The first version bridged the 636-day outage when resampling, causing a 9× discrepancy between methods. Fixed with a gap-aware trapezoidal rule that skips panels where endpoints are more than 2 hours apart.</w:t>
      </w:r>
    </w:p>
    <w:p>
      <w:pPr>
        <w:numPr>
          <w:ilvl w:val="0"/>
          <w:numId w:val="1002"/>
        </w:numPr>
        <w:pStyle w:val="Compact"/>
      </w:pPr>
      <w:r>
        <w:t xml:space="preserve">Naive estimate:</w:t>
      </w:r>
      <w:r>
        <w:t xml:space="preserve"> </w:t>
      </w:r>
      <w:r>
        <w:rPr>
          <w:b/>
        </w:rPr>
        <w:t xml:space="preserve">9,543,357 ppm·h</w:t>
      </w:r>
    </w:p>
    <w:p>
      <w:pPr>
        <w:numPr>
          <w:ilvl w:val="0"/>
          <w:numId w:val="1002"/>
        </w:numPr>
        <w:pStyle w:val="Compact"/>
      </w:pPr>
      <w:r>
        <w:t xml:space="preserve">Gap-aware estimate:</w:t>
      </w:r>
      <w:r>
        <w:t xml:space="preserve"> </w:t>
      </w:r>
      <w:r>
        <w:rPr>
          <w:b/>
        </w:rPr>
        <w:t xml:space="preserve">2,305,836 ppm·h</w:t>
      </w:r>
    </w:p>
    <w:p>
      <w:pPr>
        <w:pStyle w:val="CaptionedFigure"/>
      </w:pPr>
      <w:r>
        <w:drawing>
          <wp:inline>
            <wp:extent cx="5334000" cy="2371754"/>
            <wp:effectExtent b="0" l="0" r="0" t="0"/>
            <wp:docPr descr="Integration chart" title="" id="1" name="Picture"/>
            <a:graphic>
              <a:graphicData uri="http://schemas.openxmlformats.org/drawingml/2006/picture">
                <pic:pic>
                  <pic:nvPicPr>
                    <pic:cNvPr descr="chart3_integr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Integration chart</w:t>
      </w:r>
    </w:p>
    <w:p>
      <w:pPr>
        <w:pStyle w:val="BodyText"/>
      </w:pPr>
      <w:r>
        <w:rPr>
          <w:b/>
        </w:rPr>
        <w:t xml:space="preserve">Convergence check (41-hour gap-free window):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 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Trapezoidal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Simpson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Agreement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p>
            <w:pPr>
              <w:pStyle w:val="Compact"/>
              <w:jc w:val="left"/>
            </w:pPr>
            <w:r>
              <w:t xml:space="preserve">17,817.3 ppm·h</w:t>
            </w:r>
          </w:p>
        </w:tc>
        <w:tc>
          <w:p>
            <w:pPr>
              <w:pStyle w:val="Compact"/>
              <w:jc w:val="left"/>
            </w:pPr>
            <w:r>
              <w:t xml:space="preserve">17,829.9 ppm·h</w:t>
            </w:r>
          </w:p>
        </w:tc>
        <w:tc>
          <w:p>
            <w:pPr>
              <w:pStyle w:val="Compact"/>
              <w:jc w:val="left"/>
            </w:pPr>
            <w:r>
              <w:t xml:space="preserve">0.071%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p>
            <w:pPr>
              <w:pStyle w:val="Compact"/>
              <w:jc w:val="left"/>
            </w:pPr>
            <w:r>
              <w:t xml:space="preserve">18,019.8 ppm·h</w:t>
            </w:r>
          </w:p>
        </w:tc>
        <w:tc>
          <w:p>
            <w:pPr>
              <w:pStyle w:val="Compact"/>
              <w:jc w:val="left"/>
            </w:pPr>
            <w:r>
              <w:t xml:space="preserve">18,019.9 ppm·h</w:t>
            </w:r>
          </w:p>
        </w:tc>
        <w:tc>
          <w:p>
            <w:pPr>
              <w:pStyle w:val="Compact"/>
              <w:jc w:val="left"/>
            </w:pPr>
            <w:r>
              <w:t xml:space="preserve">0.001%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p>
            <w:pPr>
              <w:pStyle w:val="Compact"/>
              <w:jc w:val="left"/>
            </w:pPr>
            <w:r>
              <w:t xml:space="preserve">17,583.8 ppm·h</w:t>
            </w:r>
          </w:p>
        </w:tc>
        <w:tc>
          <w:p>
            <w:pPr>
              <w:pStyle w:val="Compact"/>
              <w:jc w:val="left"/>
            </w:pPr>
            <w:r>
              <w:t xml:space="preserve">17,571.8 ppm·h</w:t>
            </w:r>
          </w:p>
        </w:tc>
        <w:tc>
          <w:p>
            <w:pPr>
              <w:pStyle w:val="Compact"/>
              <w:jc w:val="left"/>
            </w:pPr>
            <w:r>
              <w:t xml:space="preserve">0.068%</w:t>
            </w:r>
          </w:p>
        </w:tc>
      </w:tr>
    </w:tbl>
    <w:p>
      <w:pPr>
        <w:pStyle w:val="BodyText"/>
      </w:pPr>
      <w:r>
        <w:t xml:space="preserve">Both methods agree to within 0.1% on clean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limitations-and-lessons-learned"/>
      <w:r>
        <w:t xml:space="preserve">8. Limitations and Lessons Learned</w:t>
      </w:r>
      <w:bookmarkEnd w:id="47"/>
    </w:p>
    <w:p>
      <w:pPr>
        <w:pStyle w:val="FirstParagraph"/>
      </w:pPr>
      <w:r>
        <w:rPr>
          <w:b/>
        </w:rPr>
        <w:t xml:space="preserve">The predictions are moderate, not great.</w:t>
      </w:r>
      <w:r>
        <w:t xml:space="preserve"> </w:t>
      </w:r>
      <w:r>
        <w:t xml:space="preserve">R² ≈ 0.34 is a real but limited result. HVAC data, door/window state, and room-level occupancy would be needed for a stronger prediction.</w:t>
      </w:r>
    </w:p>
    <w:p>
      <w:pPr>
        <w:pStyle w:val="BodyText"/>
      </w:pPr>
      <w:r>
        <w:rPr>
          <w:b/>
        </w:rPr>
        <w:t xml:space="preserve">The sensor-to-zone matching was attempted using the full dataset and failed.</w:t>
      </w:r>
      <w:r>
        <w:t xml:space="preserve"> </w:t>
      </w:r>
      <w:r>
        <w:t xml:space="preserve">The weekend spike method was applied to all 9 million occupancy rows. No zone produced a CO2 spike consistent with co-location. Both methods (spike analysis + correlation) gave the same negative result. This is a concrete, data-driven finding.</w:t>
      </w:r>
    </w:p>
    <w:p>
      <w:pPr>
        <w:pStyle w:val="BodyText"/>
      </w:pPr>
      <w:r>
        <w:rPr>
          <w:b/>
        </w:rPr>
        <w:t xml:space="preserve">Four of five sensors have problems</w:t>
      </w:r>
      <w:r>
        <w:t xml:space="preserve"> </w:t>
      </w:r>
      <w:r>
        <w:t xml:space="preserve">— two frozen clocks, one too short. Not in the documentation; found by inspection.</w:t>
      </w:r>
    </w:p>
    <w:p>
      <w:pPr>
        <w:pStyle w:val="BodyText"/>
      </w:pPr>
      <w:r>
        <w:rPr>
          <w:b/>
        </w:rPr>
        <w:t xml:space="preserve">The sensor was externally validated</w:t>
      </w:r>
      <w:r>
        <w:t xml:space="preserve"> </w:t>
      </w:r>
      <w:r>
        <w:t xml:space="preserve">— r = +0.84 (temperature) and r = +0.65 (humidity) vs BoM Moorabbin Airport over 222 days. It is physically working correctly.</w:t>
      </w:r>
    </w:p>
    <w:p>
      <w:pPr>
        <w:pStyle w:val="CaptionedFigure"/>
      </w:pPr>
      <w:r>
        <w:drawing>
          <wp:inline>
            <wp:extent cx="5334000" cy="3242671"/>
            <wp:effectExtent b="0" l="0" r="0" t="0"/>
            <wp:docPr descr="Sensor validation chart" title="" id="1" name="Picture"/>
            <a:graphic>
              <a:graphicData uri="http://schemas.openxmlformats.org/drawingml/2006/picture">
                <pic:pic>
                  <pic:nvPicPr>
                    <pic:cNvPr descr="chart5_sensor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Sensor validation chart</w:t>
      </w:r>
    </w:p>
    <w:p>
      <w:pPr>
        <w:pStyle w:val="BodyText"/>
      </w:pPr>
      <w:r>
        <w:rPr>
          <w:b/>
        </w:rPr>
        <w:t xml:space="preserve">The occupancy log filename was misleading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MayToDec2024</w:t>
      </w:r>
      <w:r>
        <w:t xml:space="preserve">”</w:t>
      </w:r>
      <w:r>
        <w:t xml:space="preserve"> </w:t>
      </w:r>
      <w:r>
        <w:t xml:space="preserve">spans November 2023 to April 2026.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ai-use-reflection"/>
      <w:r>
        <w:t xml:space="preserve">9. AI-Use Reflection</w:t>
      </w:r>
      <w:bookmarkEnd w:id="49"/>
    </w:p>
    <w:p>
      <w:pPr>
        <w:pStyle w:val="FirstParagraph"/>
      </w:pPr>
      <w:r>
        <w:t xml:space="preserve">I used Claude (Claude Code) throughout this project for data exploration, coding, analysis, and drafting. The zone-matching analysis in Section 3 was directed after understanding what the teaching staff described as the right approach for this dataset type — then Claude ran it against the full 9-million-row dataset.</w:t>
      </w:r>
    </w:p>
    <w:p>
      <w:pPr>
        <w:pStyle w:val="BodyText"/>
      </w:pPr>
      <w:r>
        <w:t xml:space="preserve">The main bugs found — frozen-clock sensors, gap-bridging in integration — were caught by running code against real data and checking when results didn’t make sense. All numbers in this report come from scripts that can be rerun from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references"/>
      <w:r>
        <w:t xml:space="preserve">References</w:t>
      </w:r>
      <w:bookmarkEnd w:id="50"/>
    </w:p>
    <w:p>
      <w:pPr>
        <w:numPr>
          <w:ilvl w:val="0"/>
          <w:numId w:val="1003"/>
        </w:numPr>
        <w:pStyle w:val="Compact"/>
      </w:pPr>
      <w:r>
        <w:t xml:space="preserve">MMA3001 Project Brief, Monash University, 2026.</w:t>
      </w:r>
    </w:p>
    <w:p>
      <w:pPr>
        <w:numPr>
          <w:ilvl w:val="0"/>
          <w:numId w:val="1003"/>
        </w:numPr>
        <w:pStyle w:val="Compact"/>
      </w:pPr>
      <w:r>
        <w:t xml:space="preserve">MMA3001 Project Datasets document, Monash University, 2026 (Dataset 2).</w:t>
      </w:r>
    </w:p>
    <w:p>
      <w:pPr>
        <w:numPr>
          <w:ilvl w:val="0"/>
          <w:numId w:val="1003"/>
        </w:numPr>
        <w:pStyle w:val="Compact"/>
      </w:pPr>
      <w:r>
        <w:t xml:space="preserve">MMA3001 Notes, Weeks 5.1–5.6 (Regression and evaluation), Monash University, 2026.</w:t>
      </w:r>
    </w:p>
    <w:p>
      <w:pPr>
        <w:numPr>
          <w:ilvl w:val="0"/>
          <w:numId w:val="1003"/>
        </w:numPr>
        <w:pStyle w:val="Compact"/>
      </w:pPr>
      <w:r>
        <w:t xml:space="preserve">MMA3001 Week 6 Notes (Numerical Integration), Monash University, 2026.</w:t>
      </w:r>
    </w:p>
    <w:p>
      <w:pPr>
        <w:numPr>
          <w:ilvl w:val="0"/>
          <w:numId w:val="1003"/>
        </w:numPr>
        <w:pStyle w:val="Compact"/>
      </w:pPr>
      <w:r>
        <w:t xml:space="preserve">Bureau of Meteorology, Daily Weather Observations, Moorabbin Airport (station 086077).</w:t>
      </w:r>
    </w:p>
    <w:p>
      <w:pPr>
        <w:numPr>
          <w:ilvl w:val="0"/>
          <w:numId w:val="1003"/>
        </w:numPr>
        <w:pStyle w:val="Compact"/>
      </w:pPr>
      <w:r>
        <w:t xml:space="preserve">scikit-learn documentation: LinearRegression, DecisionTreeRegressor, SVR, MLPRegressor, StandardScaler.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2026-09-21T06:14:04Z</dcterms:created>
  <dcterms:modified xsi:type="dcterms:W3CDTF">2026-09-21T06:14:04Z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