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bookmarkEnd w:id="20"/>
    <w:bookmarkStart w:id="21" w:name="the-problem-being-solved"/>
    <w:p>
      <w:pPr>
        <w:pStyle w:val="Heading3"/>
      </w:pPr>
      <w:r>
        <w:t xml:space="preserve">1.2 The Problem Being Solved</w:t>
      </w:r>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Cs/>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It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pPr>
        <w:pStyle w:val="BodyText"/>
      </w:pPr>
      <w:r>
        <w:t xml:space="preserve">Section 4.2 then extends the analysis to every sensor: each sensor’s record is cut into unbroken intervals, and every interval long enough to form a training example is used. This adds a second sensor (</w:t>
      </w:r>
      <w:r>
        <w:rPr>
          <w:rStyle w:val="VerbatimChar"/>
        </w:rPr>
        <w:t xml:space="preserve">6012002000869</w:t>
      </w:r>
      <w:r>
        <w:t xml:space="preserve">) and tests whether pooling data across sensors helps, and whether a model trained in one room transfers to another.</w:t>
      </w:r>
    </w:p>
    <w:p>
      <w:r>
        <w:pict>
          <v:rect style="width:0;height:1.5pt" o:hralign="center" o:hrstd="t" o:hr="t"/>
        </w:pict>
      </w:r>
    </w:p>
    <w:bookmarkEnd w:id="22"/>
    <w:bookmarkEnd w:id="23"/>
    <w:bookmarkStart w:id="31"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Cs/>
          <w:b/>
        </w:rPr>
        <w:t xml:space="preserve">Total:</w:t>
      </w:r>
      <w:r>
        <w:t xml:space="preserve"> </w:t>
      </w:r>
      <w:r>
        <w:t xml:space="preserve">9 features (each cyclic pair contributes two).</w:t>
      </w:r>
    </w:p>
    <w:bookmarkEnd w:id="25"/>
    <w:bookmarkStart w:id="29" w:name="handling-missing-and-invalid-inputs"/>
    <w:p>
      <w:pPr>
        <w:pStyle w:val="Heading3"/>
      </w:pPr>
      <w:r>
        <w:t xml:space="preserve">2.3 Handling Missing and Invalid Inputs</w:t>
      </w:r>
    </w:p>
    <w:p>
      <w:pPr>
        <w:pStyle w:val="FirstParagraph"/>
      </w:pPr>
      <w:r>
        <w:t xml:space="preserve">CO₂ readings are absent wherever the sensor was not producing new measurements. The dominant data loss is a 636-day gap in genuine readings (11 December 2023 to 7 September 2025). For roughly eight months of that gap the sensor was not silent: it re-transmitted one stale packet (the same timestamp and value) about every 11 minutes, which is why the raw log contains far more rows than real measurements (Section 6). Genuine readings for this sensor run from 7 September 2025 to 22 April 2026.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Cs/>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3931919" cy="1924484"/>
            <wp:effectExtent b="0" l="0" r="0" t="0"/>
            <wp:docPr descr="Data pipeline: raw candidate timestamps versus dropped rows versus rows retained for modelling" title="" id="27" name="Picture"/>
            <a:graphic>
              <a:graphicData uri="http://schemas.openxmlformats.org/drawingml/2006/picture">
                <pic:pic>
                  <pic:nvPicPr>
                    <pic:cNvPr descr="chart_data_pipeline.png" id="28" name="Picture"/>
                    <pic:cNvPicPr>
                      <a:picLocks noChangeArrowheads="1" noChangeAspect="1"/>
                    </pic:cNvPicPr>
                  </pic:nvPicPr>
                  <pic:blipFill>
                    <a:blip r:embed="rId26"/>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4.2 applies the same rule to every sensor.</w:t>
      </w:r>
    </w:p>
    <w:bookmarkEnd w:id="29"/>
    <w:bookmarkStart w:id="30" w:name="output"/>
    <w:p>
      <w:pPr>
        <w:pStyle w:val="Heading3"/>
      </w:pPr>
      <w:r>
        <w:t xml:space="preserve">2.4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Cs/>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Cs/>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rPr>
            <m:sty m:val="p"/>
          </m:rPr>
          <m:t>=</m:t>
        </m:r>
        <m:r>
          <m:t>10</m:t>
        </m:r>
      </m:oMath>
      <w:r>
        <w:t xml:space="preserve"> </w:t>
      </w:r>
      <w:r>
        <w:t xml:space="preserve">(penalty for violating the tube),</w:t>
      </w:r>
      <w:r>
        <w:t xml:space="preserve"> </w:t>
      </w:r>
      <m:oMath>
        <m:r>
          <m:t>ε</m:t>
        </m:r>
        <m:r>
          <m:rPr>
            <m:sty m:val="p"/>
          </m:rPr>
          <m:t>=</m:t>
        </m:r>
        <m:r>
          <m:t>0.5</m:t>
        </m:r>
      </m:oMath>
      <w:r>
        <w:t xml:space="preserve"> </w:t>
      </w:r>
      <w:r>
        <w:t xml:space="preserve">(tube half-width in ppm).</w:t>
      </w:r>
    </w:p>
    <w:p>
      <w:pPr>
        <w:pStyle w:val="BodyText"/>
      </w:pPr>
      <w:r>
        <w:rPr>
          <w:bCs/>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of the dataset in time order). Results are shown below.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there is no evidence linking this sensor to any of the five monitored occupancy zones (Section 6). The building-level occupancy count carries no information about what is happening in this particular room.</w:t>
      </w:r>
    </w:p>
    <w:p>
      <w:r>
        <w:pict>
          <v:rect style="width:0;height:1.5pt" o:hralign="center" o:hrstd="t" o:hr="t"/>
        </w:pic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45"/>
    <w:bookmarkStart w:id="52" w:name="Xf965eae6f400442b87f8df1b02fb52bece3b127"/>
    <w:p>
      <w:pPr>
        <w:pStyle w:val="Heading3"/>
      </w:pPr>
      <w:r>
        <w:t xml:space="preserve">4.2 Using every usable interval from all sensors</w:t>
      </w:r>
    </w:p>
    <w:p>
      <w:pPr>
        <w:pStyle w:val="FirstParagraph"/>
      </w:pPr>
      <w:r>
        <w:t xml:space="preserve">The analysis above uses one sensor. Rather than accepting or rejecting each sensor as a whole, the same unbroken-interval rule from Section 2.3 was applied to all five environmental sensors: every interval of at least 75 minutes, from any sensor, is usable. The audit also compared each reading’s own timestamp with the log’s</w:t>
      </w:r>
      <w:r>
        <w:t xml:space="preserve"> </w:t>
      </w:r>
      <w:r>
        <w:rPr>
          <w:rStyle w:val="VerbatimChar"/>
        </w:rPr>
        <w:t xml:space="preserve">createdate</w:t>
      </w:r>
      <w:r>
        <w:t xml:space="preserve"> </w:t>
      </w:r>
      <w:r>
        <w:t xml:space="preserve">field (the time the server received it). This showed that a sensor which stops measuring keeps re-transmitting its last packet roughly every 11 minutes, so the log fills with thousands of identical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5486400" cy="1772529"/>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5486400" cy="1772529"/>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produced more than two distinct readings, so even a 75-minute interval cannot be formed from them. Sensor</w:t>
      </w:r>
      <w:r>
        <w:t xml:space="preserve"> </w:t>
      </w:r>
      <w:r>
        <w:rPr>
          <w:rStyle w:val="VerbatimChar"/>
        </w:rPr>
        <w:t xml:space="preserve">6012002000869</w:t>
      </w:r>
      <w:r>
        <w:t xml:space="preserve"> </w:t>
      </w:r>
      <w:r>
        <w:t xml:space="preserve">(the only sensor with a documented room, G.38) has genuine readings from 29 February to 13 June 2024, with almost no gaps, giving 7,781 additional rows. Two experiments use this extra data. Both exclude occupancy (it adds nothing for sensor</w:t>
      </w:r>
      <w:r>
        <w:t xml:space="preserve"> </w:t>
      </w:r>
      <w:r>
        <w:rPr>
          <w:rStyle w:val="VerbatimChar"/>
        </w:rPr>
        <w:t xml:space="preserve">6012002000326</w:t>
      </w:r>
      <w:r>
        <w:t xml:space="preserve">, Section 4) so that row sets are identical across runs. A naive</w:t>
      </w:r>
      <w:r>
        <w:t xml:space="preserve"> </w:t>
      </w:r>
      <w:r>
        <w:rPr>
          <w:iCs/>
          <w:i/>
        </w:rPr>
        <w:t xml:space="preserve">persistence</w:t>
      </w:r>
      <w:r>
        <w:t xml:space="preserve"> </w:t>
      </w:r>
      <w:r>
        <w:t xml:space="preserve">forecast (next CO₂ = current CO₂) is included as a reference floor that any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 sensor</w:t>
      </w:r>
      <w:r>
        <w:t xml:space="preserve"> </w:t>
      </w:r>
      <w:r>
        <w:rPr>
          <w:rStyle w:val="VerbatimChar"/>
        </w:rPr>
        <w:t xml:space="preserve">6012002000869</w:t>
      </w:r>
      <w:r>
        <w:t xml:space="preserve">’s intervals (all from 2024, so strictly before the 11 March 2026 cutoff), and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increased the training set by 56% (13,853 to 21,634 rows). The best result improved slightly (SVR MAE 8.30 to 8.14 ppm) and the Decision Tree improved most, consistent with it being the most data-hungry model. However, none of these changes is statistically distinguishable from zero: 95% moving-block bootstrap intervals (one-day blocks, to respect autocorrelation) on the paired MAE difference all span zero, e.g. SVR +0.16 ppm [−0.07, +0.44]. More data from a different room therefore does not materially help this sensor. All four models beat persistence (9.82 ppm), confirming they learn more than</w:t>
      </w:r>
      <w:r>
        <w:t xml:space="preserve"> </w:t>
      </w:r>
      <w:r>
        <w:t xml:space="preserve">“</w:t>
      </w:r>
      <w:r>
        <w:t xml:space="preserve">CO₂ stays the same</w:t>
      </w:r>
      <w:r>
        <w:t xml:space="preserve">”</w:t>
      </w:r>
      <w:r>
        <w:t xml:space="preserve">.</w:t>
      </w:r>
    </w:p>
    <w:p>
      <w:pPr>
        <w:pStyle w:val="BodyText"/>
      </w:pPr>
      <w:r>
        <w:rPr>
          <w:bCs/>
          <w:b/>
        </w:rPr>
        <w:t xml:space="preserve">Experiment B: cross-sensor transfer.</w:t>
      </w:r>
      <w:r>
        <w:t xml:space="preserve"> </w:t>
      </w:r>
      <w:r>
        <w:t xml:space="preserve">Train on sensor</w:t>
      </w:r>
      <w:r>
        <w:t xml:space="preserve"> </w:t>
      </w:r>
      <w:r>
        <w:rPr>
          <w:rStyle w:val="VerbatimChar"/>
        </w:rPr>
        <w:t xml:space="preserve">6012002000326</w:t>
      </w:r>
      <w:r>
        <w:t xml:space="preserve"> </w:t>
      </w:r>
      <w:r>
        <w:t xml:space="preserve">only and test on the final 20% of sensor</w:t>
      </w:r>
      <w:r>
        <w:t xml:space="preserve"> </w:t>
      </w:r>
      <w:r>
        <w:rPr>
          <w:rStyle w:val="VerbatimChar"/>
        </w:rPr>
        <w:t xml:space="preserve">6012002000869</w:t>
      </w:r>
      <w:r>
        <w:t xml:space="preserve">’s record, compared with a model trained on</w:t>
      </w:r>
      <w:r>
        <w:t xml:space="preserve"> </w:t>
      </w:r>
      <w:r>
        <w:rPr>
          <w:rStyle w:val="VerbatimChar"/>
        </w:rPr>
        <w:t xml:space="preserve">6012002000869</w:t>
      </w:r>
      <w:r>
        <w:t xml:space="preserve">’s own earlier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MAE, trained on same room (ppm)</w:t>
            </w:r>
          </w:p>
        </w:tc>
        <w:tc>
          <w:tcPr/>
          <w:p>
            <w:pPr>
              <w:pStyle w:val="Compact"/>
              <w:jc w:val="left"/>
            </w:pPr>
            <w:r>
              <w:t xml:space="preserve">MAE, trained on other room (ppm)</w:t>
            </w:r>
          </w:p>
        </w:tc>
      </w:tr>
      <w:tr>
        <w:tc>
          <w:tcPr/>
          <w:p>
            <w:pPr>
              <w:pStyle w:val="Compact"/>
              <w:jc w:val="left"/>
            </w:pPr>
            <w:r>
              <w:t xml:space="preserve">Persistence</w:t>
            </w:r>
          </w:p>
        </w:tc>
        <w:tc>
          <w:tcPr/>
          <w:p>
            <w:pPr>
              <w:pStyle w:val="Compact"/>
              <w:jc w:val="left"/>
            </w:pPr>
            <w:r>
              <w:t xml:space="preserve">7.749</w:t>
            </w:r>
          </w:p>
        </w:tc>
        <w:tc>
          <w:tcPr/>
          <w:p>
            <w:pPr>
              <w:pStyle w:val="Compact"/>
              <w:jc w:val="left"/>
            </w:pPr>
            <w:r>
              <w:t xml:space="preserve">7.749</w:t>
            </w:r>
          </w:p>
        </w:tc>
      </w:tr>
      <w:tr>
        <w:tc>
          <w:tcPr/>
          <w:p>
            <w:pPr>
              <w:pStyle w:val="Compact"/>
              <w:jc w:val="left"/>
            </w:pPr>
            <w:r>
              <w:t xml:space="preserve">Linear Regression</w:t>
            </w:r>
          </w:p>
        </w:tc>
        <w:tc>
          <w:tcPr/>
          <w:p>
            <w:pPr>
              <w:pStyle w:val="Compact"/>
              <w:jc w:val="left"/>
            </w:pPr>
            <w:r>
              <w:t xml:space="preserve">7.295</w:t>
            </w:r>
          </w:p>
        </w:tc>
        <w:tc>
          <w:tcPr/>
          <w:p>
            <w:pPr>
              <w:pStyle w:val="Compact"/>
              <w:jc w:val="left"/>
            </w:pPr>
            <w:r>
              <w:t xml:space="preserve">7.797</w:t>
            </w:r>
          </w:p>
        </w:tc>
      </w:tr>
      <w:tr>
        <w:tc>
          <w:tcPr/>
          <w:p>
            <w:pPr>
              <w:pStyle w:val="Compact"/>
              <w:jc w:val="left"/>
            </w:pPr>
            <w:r>
              <w:t xml:space="preserve">Decision Tree</w:t>
            </w:r>
          </w:p>
        </w:tc>
        <w:tc>
          <w:tcPr/>
          <w:p>
            <w:pPr>
              <w:pStyle w:val="Compact"/>
              <w:jc w:val="left"/>
            </w:pPr>
            <w:r>
              <w:t xml:space="preserve">7.355</w:t>
            </w:r>
          </w:p>
        </w:tc>
        <w:tc>
          <w:tcPr/>
          <w:p>
            <w:pPr>
              <w:pStyle w:val="Compact"/>
              <w:jc w:val="left"/>
            </w:pPr>
            <w:r>
              <w:t xml:space="preserve">10.238</w:t>
            </w:r>
          </w:p>
        </w:tc>
      </w:tr>
      <w:tr>
        <w:tc>
          <w:tcPr/>
          <w:p>
            <w:pPr>
              <w:pStyle w:val="Compact"/>
              <w:jc w:val="left"/>
            </w:pPr>
            <w:r>
              <w:rPr>
                <w:bCs/>
                <w:b/>
              </w:rPr>
              <w:t xml:space="preserve">SVR</w:t>
            </w:r>
          </w:p>
        </w:tc>
        <w:tc>
          <w:tcPr/>
          <w:p>
            <w:pPr>
              <w:pStyle w:val="Compact"/>
              <w:jc w:val="left"/>
            </w:pPr>
            <w:r>
              <w:rPr>
                <w:bCs/>
                <w:b/>
              </w:rPr>
              <w:t xml:space="preserve">6.994</w:t>
            </w:r>
          </w:p>
        </w:tc>
        <w:tc>
          <w:tcPr/>
          <w:p>
            <w:pPr>
              <w:pStyle w:val="Compact"/>
              <w:jc w:val="left"/>
            </w:pPr>
            <w:r>
              <w:t xml:space="preserve">8.070</w:t>
            </w:r>
          </w:p>
        </w:tc>
      </w:tr>
      <w:tr>
        <w:tc>
          <w:tcPr/>
          <w:p>
            <w:pPr>
              <w:pStyle w:val="Compact"/>
              <w:jc w:val="left"/>
            </w:pPr>
            <w:r>
              <w:t xml:space="preserve">Neural Network</w:t>
            </w:r>
          </w:p>
        </w:tc>
        <w:tc>
          <w:tcPr/>
          <w:p>
            <w:pPr>
              <w:pStyle w:val="Compact"/>
              <w:jc w:val="left"/>
            </w:pPr>
            <w:r>
              <w:t xml:space="preserve">7.456</w:t>
            </w:r>
          </w:p>
        </w:tc>
        <w:tc>
          <w:tcPr/>
          <w:p>
            <w:pPr>
              <w:pStyle w:val="Compact"/>
              <w:jc w:val="left"/>
            </w:pPr>
            <w:r>
              <w:t xml:space="preserve">8.035</w:t>
            </w:r>
          </w:p>
        </w:tc>
      </w:tr>
    </w:tbl>
    <w:p>
      <w:pPr>
        <w:pStyle w:val="CaptionedFigure"/>
      </w:pPr>
      <w:r>
        <w:drawing>
          <wp:inline>
            <wp:extent cx="5486400" cy="1941341"/>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5486400" cy="1941341"/>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and SVR is again the best method (MAE 6.99 ppm, R² 0.78). Trained on the other room, every model is</w:t>
      </w:r>
      <w:r>
        <w:t xml:space="preserve"> </w:t>
      </w:r>
      <w:r>
        <w:rPr>
          <w:iCs/>
          <w:i/>
        </w:rPr>
        <w:t xml:space="preserve">worse than persistence</w:t>
      </w:r>
      <w:r>
        <w:t xml:space="preserve">. The models learn room-specific behaviour — the typical CO₂ level each room settles to and how quickly it returns there — so a model from one room pulls its forecasts toward the wrong baseline in another. The practical conclusion is that a forecaster of this kind must be trained per room (or per sensor); it cannot simply be copied between rooms.</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CaptionedFigure"/>
      </w:pPr>
      <w:r>
        <w:drawing>
          <wp:inline>
            <wp:extent cx="3931919" cy="967857"/>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bookmarkEnd w:id="58"/>
    <w:bookmarkStart w:id="59" w:name="Xd8f2789288cdc47fb919a2a3d44a84a474eb10b"/>
    <w:p>
      <w:pPr>
        <w:pStyle w:val="Heading3"/>
      </w:pPr>
      <w:r>
        <w:t xml:space="preserve">5.3 Sensor Validation Against External Records</w:t>
      </w:r>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bookmarkEnd w:id="59"/>
    <w:bookmarkStart w:id="60" w:name="numerical-integration-convergence"/>
    <w:p>
      <w:pPr>
        <w:pStyle w:val="Heading3"/>
      </w:pPr>
      <w:r>
        <w:t xml:space="preserve">5.4 Numerical Integration Convergence</w:t>
      </w:r>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bookmarkEnd w:id="60"/>
    <w:bookmarkEnd w:id="61"/>
    <w:bookmarkStart w:id="6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so there is no way to determine from metadata which room it monitors or which occupancy zone covers that room. Instead, a data-driven sensor-matching analysis was run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the zone’s binary occupancy and the sensor’s reading were resampled to 15-minute bins, and Pearson’s</w:t>
      </w:r>
      <w:r>
        <w:t xml:space="preserve"> </w:t>
      </w:r>
      <m:oMath>
        <m:r>
          <m:t>r</m:t>
        </m:r>
      </m:oMath>
      <w:r>
        <w:t xml:space="preserve"> </w:t>
      </w:r>
      <w:r>
        <w:t xml:space="preserve">was computed between occupancy and the</w:t>
      </w:r>
      <w:r>
        <w:t xml:space="preserve"> </w:t>
      </w:r>
      <w:r>
        <w:rPr>
          <w:iCs/>
          <w:i/>
        </w:rPr>
        <w:t xml:space="preserve">change</w:t>
      </w:r>
      <w:r>
        <w:t xml:space="preserve"> </w:t>
      </w:r>
      <w:r>
        <w:t xml:space="preserve">in the reading from one bin to the next (its first difference). Using the change rather than the level matters: every room’s CO₂ and temperature follow the same working-day cycle, so correlating raw levels would make every pair look related. Lags of up to ±4 bins (±1 hour) were searched and the strongest absolute correlation kept. The test was repeated for CO₂, temperature and humidity (results in</w:t>
      </w:r>
      <w:r>
        <w:t xml:space="preserve"> </w:t>
      </w:r>
      <w:r>
        <w:rPr>
          <w:rStyle w:val="VerbatimChar"/>
        </w:rPr>
        <w:t xml:space="preserve">reports/sensor_matching_results.json</w:t>
      </w:r>
      <w:r>
        <w:t xml:space="preserve">).</w:t>
      </w:r>
    </w:p>
    <w:p>
      <w:pPr>
        <w:pStyle w:val="CaptionedFigure"/>
      </w:pPr>
      <w:r>
        <w:drawing>
          <wp:inline>
            <wp:extent cx="5486400" cy="2422927"/>
            <wp:effectExtent b="0" l="0" r="0" t="0"/>
            <wp:docPr descr="Best-lag correlation between each zone’s occupancy and the 15-minute change in each sensor’s reading" title="" id="63" name="Picture"/>
            <a:graphic>
              <a:graphicData uri="http://schemas.openxmlformats.org/drawingml/2006/picture">
                <pic:pic>
                  <pic:nvPicPr>
                    <pic:cNvPr descr="chart10_zone_matching.png" id="64" name="Picture"/>
                    <pic:cNvPicPr>
                      <a:picLocks noChangeArrowheads="1" noChangeAspect="1"/>
                    </pic:cNvPicPr>
                  </pic:nvPicPr>
                  <pic:blipFill>
                    <a:blip r:embed="rId62"/>
                    <a:stretch>
                      <a:fillRect/>
                    </a:stretch>
                  </pic:blipFill>
                  <pic:spPr bwMode="auto">
                    <a:xfrm>
                      <a:off x="0" y="0"/>
                      <a:ext cx="5486400" cy="2422927"/>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essentially no relationship with any zone:</w:t>
      </w:r>
      <w:r>
        <w:t xml:space="preserve"> </w:t>
      </w:r>
      <m:oMath>
        <m:d>
          <m:dPr>
            <m:begChr m:val="|"/>
            <m:endChr m:val="|"/>
            <m:sepChr m:val=""/>
            <m:grow/>
          </m:dPr>
          <m:e>
            <m:r>
              <m:t>r</m:t>
            </m:r>
          </m:e>
        </m:d>
        <m:r>
          <m:rPr>
            <m:sty m:val="p"/>
          </m:rPr>
          <m:t>≤</m:t>
        </m:r>
        <m:r>
          <m:t>0.03</m:t>
        </m:r>
      </m:oMath>
      <w:r>
        <w:t xml:space="preserve"> </w:t>
      </w:r>
      <w:r>
        <w:t xml:space="preserve">for all four zones with overlapping data (the fifth zone has no overlap with this sensor’s genuine readings). No sensor exceeds</w:t>
      </w:r>
      <w:r>
        <w:t xml:space="preserve"> </w:t>
      </w:r>
      <m:oMath>
        <m:d>
          <m:dPr>
            <m:begChr m:val="|"/>
            <m:endChr m:val="|"/>
            <m:sepChr m:val=""/>
            <m:grow/>
          </m:dPr>
          <m:e>
            <m:r>
              <m:t>r</m:t>
            </m:r>
          </m:e>
        </m:d>
        <m:r>
          <m:rPr>
            <m:sty m:val="p"/>
          </m:rPr>
          <m:t>=</m:t>
        </m:r>
        <m:r>
          <m:t>0.06</m:t>
        </m:r>
      </m:oMath>
      <w:r>
        <w:t xml:space="preserve"> </w:t>
      </w:r>
      <w:r>
        <w:t xml:space="preserve">for CO₂. Temperature shows weak positive correlations for this sensor (</w:t>
      </w:r>
      <m:oMath>
        <m:r>
          <m:t>r</m:t>
        </m:r>
      </m:oMath>
      <w:r>
        <w:t xml:space="preserve"> </w:t>
      </w:r>
      <w:r>
        <w:t xml:space="preserve">up to 0.27), but at a lag of −3 to −4 bins: the temperature rise</w:t>
      </w:r>
      <w:r>
        <w:t xml:space="preserve"> </w:t>
      </w:r>
      <w:r>
        <w:rPr>
          <w:iCs/>
          <w:i/>
        </w:rPr>
        <w:t xml:space="preserve">precedes</w:t>
      </w:r>
      <w:r>
        <w:t xml:space="preserve"> </w:t>
      </w:r>
      <w:r>
        <w:t xml:space="preserve">occupancy by 45–60 minutes, which points to a building-wide morning HVAC warm-up rather than to people in a shared room. A correlation search of this kind cannot prove that the sensor is outside every zone, but it finds no evidence linking it to any of them. This is a property of the dataset, not a failure of the modelling approach.</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were initially described as having frozen clocks, because every row carries the same internal timestamp. Comparing with the server receive time (</w:t>
      </w:r>
      <w:r>
        <w:rPr>
          <w:rStyle w:val="VerbatimChar"/>
        </w:rPr>
        <w:t xml:space="preserve">createdate</w:t>
      </w:r>
      <w:r>
        <w:t xml:space="preserve">) shows the fault is more fundamental: the rows arrive regularly, but every one is the same stale packet re-sent, with an identical CO₂ value (for example, 666 ppm in all 21,363 rows of</w:t>
      </w:r>
      <w:r>
        <w:t xml:space="preserve"> </w:t>
      </w:r>
      <w:r>
        <w:rPr>
          <w:rStyle w:val="VerbatimChar"/>
        </w:rPr>
        <w:t xml:space="preserve">6012002000227</w:t>
      </w:r>
      <w:r>
        <w:t xml:space="preserve">). No interval of any length can be formed, so these sensors cannot contribute data under any policy. The same fault affects the two usable sensors outside their genuine periods (Section 4.2). Sensor</w:t>
      </w:r>
      <w:r>
        <w:t xml:space="preserve"> </w:t>
      </w:r>
      <w:r>
        <w:rPr>
          <w:rStyle w:val="VerbatimChar"/>
        </w:rPr>
        <w:t xml:space="preserve">6012002000869</w:t>
      </w:r>
      <w:r>
        <w:t xml:space="preserve"> </w:t>
      </w:r>
      <w:r>
        <w:t xml:space="preserve">has only three and a half months of genuine data, which is why it was not used for the main analysis; it is used for the pooled and cross-sensor experiments in Section 4.2. None of these issues is documented in the dataset description; they were identified by inspecting the raw timestamps and values.</w:t>
      </w:r>
    </w:p>
    <w:p>
      <w:pPr>
        <w:pStyle w:val="BodyText"/>
      </w:pPr>
      <w:r>
        <w:rPr>
          <w:bCs/>
          <w:b/>
        </w:rPr>
        <w:t xml:space="preserve">Most candidate rows are discarded.</w:t>
      </w:r>
      <w:r>
        <w:t xml:space="preserve"> </w:t>
      </w:r>
      <w:r>
        <w:t xml:space="preserve">A 636-day gap in genuine readings reduces the usable dataset from 84,576 candidate rows to 17,010 (20.1%). This is a direct consequence of the sensor fault and the correct handling of missing data; imputing values across a gap of this length would produce a fabricated dataset with no physical basis. Adding every usable interval from a second sensor raises the training set by 56% but does not measurably improve accuracy (Section 4.2).</w:t>
      </w:r>
    </w:p>
    <w:p>
      <w:pPr>
        <w:pStyle w:val="BodyText"/>
      </w:pPr>
      <w:r>
        <w:rPr>
          <w:bCs/>
          <w:b/>
        </w:rPr>
        <w:t xml:space="preserve">Models do not transfer between rooms.</w:t>
      </w:r>
      <w:r>
        <w:t xml:space="preserve"> </w:t>
      </w:r>
      <w:r>
        <w:t xml:space="preserve">A model trained on one sensor performs worse than a naive persistence forecast on another (Section 4.2). Each room needs its own training data.</w:t>
      </w:r>
    </w:p>
    <w:p>
      <w:pPr>
        <w:pStyle w:val="BodyText"/>
      </w:pPr>
      <w:r>
        <w:rPr>
          <w:bCs/>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Cs/>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bookmarkEnd w:id="65"/>
    <w:bookmarkStart w:id="6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6"/>
    <w:bookmarkStart w:id="67"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bookmarkEnd w:id="67"/>
    <w:bookmarkEnd w:id="68"/>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2026-10-16T07:01:48Z</dcterms:created>
  <dcterms:modified xsi:type="dcterms:W3CDTF">2026-10-16T07:01:48Z</dcterms:modified>
</cp:coreProperties>
</file>

<file path=docProps/custom.xml><?xml version="1.0" encoding="utf-8"?>
<Properties xmlns="http://schemas.openxmlformats.org/officeDocument/2006/custom-properties" xmlns:vt="http://schemas.openxmlformats.org/officeDocument/2006/docPropsVTypes"/>
</file>