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8.png" ContentType="image/png"/>
  <Override PartName="/word/media/rId61.png" ContentType="image/png"/>
  <Override PartName="/word/media/rId64.png" ContentType="image/png"/>
  <Override PartName="/word/media/rId55.png" ContentType="image/png"/>
  <Override PartName="/word/media/rId33.png" ContentType="image/png"/>
  <Override PartName="/word/media/rId36.png" ContentType="image/png"/>
  <Override PartName="/word/media/rId52.png" ContentType="image/png"/>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3" w:name="engineering-problem"/>
    <w:p>
      <w:pPr>
        <w:pStyle w:val="Heading2"/>
      </w:pPr>
      <w:r>
        <w:t xml:space="preserve">1. Engineering Problem</w:t>
      </w:r>
    </w:p>
    <w:bookmarkStart w:id="20" w:name="background"/>
    <w:p>
      <w:pPr>
        <w:pStyle w:val="Heading3"/>
      </w:pPr>
      <w:r>
        <w:t xml:space="preserve">1.1 Background</w:t>
      </w:r>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well-mixed space, the indoor concentration evolves according to a first-order mass balance — the standard single-zone model used in ventilation engineering (Persily &amp; de Jonge, 2017):</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 commonly used guideline, derived from earlier ASHRAE ventilation guidance, treats sustained indoor CO₂ above about 1000 ppm (roughly 700 ppm above outdoor levels) as a sign of inadequate ventilation. Satish et al. (2012) measured reductions in decision-making performance at 1000 ppm and larger effects at 2500 ppm, although later studies have not all replicated the effect.</w:t>
      </w:r>
    </w:p>
    <w:bookmarkEnd w:id="20"/>
    <w:bookmarkStart w:id="21" w:name="the-problem-being-solved"/>
    <w:p>
      <w:pPr>
        <w:pStyle w:val="Heading3"/>
      </w:pPr>
      <w:r>
        <w:t xml:space="preserve">1.2 The Problem Being Solved</w:t>
      </w:r>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Cs/>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Cs/>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bookmarkEnd w:id="21"/>
    <w:bookmarkStart w:id="22" w:name="scope"/>
    <w:p>
      <w:pPr>
        <w:pStyle w:val="Heading3"/>
      </w:pPr>
      <w:r>
        <w:t xml:space="preserve">1.3 Scope</w:t>
      </w:r>
    </w:p>
    <w:p>
      <w:pPr>
        <w:pStyle w:val="FirstParagraph"/>
      </w:pPr>
      <w:r>
        <w:t xml:space="preserve">The main analysis uses environmental sensor</w:t>
      </w:r>
      <w:r>
        <w:t xml:space="preserve"> </w:t>
      </w:r>
      <w:r>
        <w:rPr>
          <w:rStyle w:val="VerbatimChar"/>
        </w:rPr>
        <w:t xml:space="preserve">6012002000326</w:t>
      </w:r>
      <w:r>
        <w:t xml:space="preserve">, which has the longest record of genuine readings. It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pPr>
        <w:pStyle w:val="BodyText"/>
      </w:pPr>
      <w:r>
        <w:t xml:space="preserve">Section 4.1 then extends the analysis to every sensor: each sensor’s record is cut into unbroken intervals, and every interval long enough to form a training example is used. This adds a second sensor (</w:t>
      </w:r>
      <w:r>
        <w:rPr>
          <w:rStyle w:val="VerbatimChar"/>
        </w:rPr>
        <w:t xml:space="preserve">6012002000869</w:t>
      </w:r>
      <w:r>
        <w:t xml:space="preserve">) and tests whether pooling data across sensors helps, and whether a model trained in one room transfers to another.</w:t>
      </w:r>
    </w:p>
    <w:p>
      <w:r>
        <w:pict>
          <v:rect style="width:0;height:1.5pt" o:hralign="center" o:hrstd="t" o:hr="t"/>
        </w:pict>
      </w:r>
    </w:p>
    <w:bookmarkEnd w:id="22"/>
    <w:bookmarkEnd w:id="23"/>
    <w:bookmarkStart w:id="28" w:name="inputs-and-outputs"/>
    <w:p>
      <w:pPr>
        <w:pStyle w:val="Heading2"/>
      </w:pPr>
      <w:r>
        <w:t xml:space="preserve">2. Inputs and Outputs</w:t>
      </w:r>
    </w:p>
    <w:bookmarkStart w:id="24" w:name="problem-formulation"/>
    <w:p>
      <w:pPr>
        <w:pStyle w:val="Heading3"/>
      </w:pPr>
      <w:r>
        <w:t xml:space="preserve">2.1 Problem Formulation</w:t>
      </w:r>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rPr>
                  <m:sty m:val="p"/>
                </m:rPr>
                <m:t>+</m:t>
              </m:r>
              <m:r>
                <m:t>1</m:t>
              </m:r>
            </m:sub>
          </m:sSub>
          <m:r>
            <m:rPr>
              <m:sty m:val="p"/>
            </m:rPr>
            <m:t>=</m:t>
          </m:r>
          <m:r>
            <m:t>f</m:t>
          </m:r>
          <m:r>
            <m:t>​</m:t>
          </m:r>
          <m:d>
            <m:dPr>
              <m:begChr m:val="("/>
              <m:endChr m:val=")"/>
              <m:sepChr m:val=""/>
              <m:grow/>
            </m:dPr>
            <m:e>
              <m:sSub>
                <m:e>
                  <m:r>
                    <m:t>C</m:t>
                  </m:r>
                </m:e>
                <m:sub>
                  <m:r>
                    <m:t>t</m:t>
                  </m:r>
                </m:sub>
              </m:sSub>
              <m:r>
                <m:rPr>
                  <m:sty m:val="p"/>
                </m:rPr>
                <m:t>,</m:t>
              </m:r>
              <m:r>
                <m:t> </m:t>
              </m:r>
              <m:sSub>
                <m:e>
                  <m:r>
                    <m:t>C</m:t>
                  </m:r>
                </m:e>
                <m:sub>
                  <m:r>
                    <m:t>t</m:t>
                  </m:r>
                  <m:r>
                    <m:rPr>
                      <m:sty m:val="p"/>
                    </m:rPr>
                    <m:t>−</m:t>
                  </m:r>
                  <m:r>
                    <m:t>1</m:t>
                  </m:r>
                </m:sub>
              </m:sSub>
              <m:r>
                <m:rPr>
                  <m:sty m:val="p"/>
                </m:rPr>
                <m:t>,</m:t>
              </m:r>
              <m:r>
                <m:t> </m:t>
              </m:r>
              <m:sSub>
                <m:e>
                  <m:acc>
                    <m:accPr>
                      <m:chr m:val="‾"/>
                    </m:accPr>
                    <m:e>
                      <m:r>
                        <m:t>C</m:t>
                      </m:r>
                    </m:e>
                  </m:acc>
                </m:e>
                <m:sub>
                  <m:r>
                    <m:t>t</m:t>
                  </m:r>
                  <m:r>
                    <m:rPr>
                      <m:sty m:val="p"/>
                    </m:rPr>
                    <m:t>−</m:t>
                  </m:r>
                  <m:r>
                    <m:t>1</m:t>
                  </m:r>
                  <m:r>
                    <m:rPr>
                      <m:nor/>
                      <m:sty m:val="p"/>
                    </m:rPr>
                    <m:t>h</m:t>
                  </m:r>
                </m:sub>
              </m:sSub>
              <m:r>
                <m:rPr>
                  <m:sty m:val="p"/>
                </m:rPr>
                <m:t>,</m:t>
              </m:r>
              <m:r>
                <m:t> </m:t>
              </m:r>
              <m:sSub>
                <m:e>
                  <m:r>
                    <m:t>O</m:t>
                  </m:r>
                </m:e>
                <m:sub>
                  <m:r>
                    <m:t>t</m:t>
                  </m:r>
                </m:sub>
              </m:sSub>
              <m:r>
                <m:rPr>
                  <m:sty m:val="p"/>
                </m:rP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rPr>
                <m:sty m:val="p"/>
              </m:rPr>
              <m:t>−</m:t>
            </m:r>
            <m:r>
              <m:t>1</m:t>
            </m:r>
          </m:sub>
        </m:sSub>
      </m:oMath>
      <w:r>
        <w:t xml:space="preserve"> </w:t>
      </w:r>
      <w:r>
        <w:t xml:space="preserve">is the reading from 15 minutes ago,</w:t>
      </w:r>
      <w:r>
        <w:t xml:space="preserve"> </w:t>
      </w:r>
      <m:oMath>
        <m:sSub>
          <m:e>
            <m:acc>
              <m:accPr>
                <m:chr m:val="‾"/>
              </m:accPr>
              <m:e>
                <m:r>
                  <m:t>C</m:t>
                </m:r>
              </m:e>
            </m:acc>
          </m:e>
          <m:sub>
            <m:r>
              <m:t>t</m:t>
            </m:r>
            <m:r>
              <m:rPr>
                <m:sty m:val="p"/>
              </m:rP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rPr>
                <m:sty m:val="p"/>
              </m:rP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Cs/>
          <w:b/>
        </w:rPr>
        <w:t xml:space="preserve">autoregressive</w:t>
      </w:r>
      <w:r>
        <w:t xml:space="preserve"> </w:t>
      </w:r>
      <w:r>
        <w:t xml:space="preserve">predictor of itself. The physical justification comes from the mass-balance equation: solving it over one 15-minute step</w:t>
      </w:r>
      <w:r>
        <w:t xml:space="preserve"> </w:t>
      </w:r>
      <m:oMath>
        <m:r>
          <m:t>Δ</m:t>
        </m:r>
        <m:r>
          <m:t>t</m:t>
        </m:r>
      </m:oMath>
      <w:r>
        <w:t xml:space="preserve"> </w:t>
      </w:r>
      <w:r>
        <w:t xml:space="preserve">with occupancy and ventilation held constant gives</w:t>
      </w:r>
      <w:r>
        <w:t xml:space="preserve"> </w:t>
      </w:r>
      <m:oMath>
        <m:sSub>
          <m:e>
            <m:r>
              <m:t>C</m:t>
            </m:r>
          </m:e>
          <m:sub>
            <m:r>
              <m:t>t</m:t>
            </m:r>
            <m:r>
              <m:rPr>
                <m:sty m:val="p"/>
              </m:rPr>
              <m:t>+</m:t>
            </m:r>
            <m:r>
              <m:t>1</m:t>
            </m:r>
          </m:sub>
        </m:sSub>
        <m:r>
          <m:rPr>
            <m:sty m:val="p"/>
          </m:rPr>
          <m:t>=</m:t>
        </m:r>
        <m:sSup>
          <m:e>
            <m:r>
              <m:t>e</m:t>
            </m:r>
          </m:e>
          <m:sup>
            <m:r>
              <m:rPr>
                <m:sty m:val="p"/>
              </m:rPr>
              <m:t>−</m:t>
            </m:r>
            <m:r>
              <m:t>λ</m:t>
            </m:r>
            <m:r>
              <m:t>Δ</m:t>
            </m:r>
            <m:r>
              <m:t>t</m:t>
            </m:r>
          </m:sup>
        </m:sSup>
        <m:r>
          <m:t> </m:t>
        </m:r>
        <m:sSub>
          <m:e>
            <m:r>
              <m:t>C</m:t>
            </m:r>
          </m:e>
          <m:sub>
            <m:r>
              <m:t>t</m:t>
            </m:r>
          </m:sub>
        </m:sSub>
        <m:r>
          <m:rPr>
            <m:sty m:val="p"/>
          </m:rPr>
          <m:t>+</m:t>
        </m:r>
        <m:d>
          <m:dPr>
            <m:begChr m:val="("/>
            <m:endChr m:val=")"/>
            <m:sepChr m:val=""/>
            <m:grow/>
          </m:dPr>
          <m:e>
            <m:r>
              <m:t>1</m:t>
            </m:r>
            <m:r>
              <m:rPr>
                <m:sty m:val="p"/>
              </m:rPr>
              <m:t>−</m:t>
            </m:r>
            <m:sSup>
              <m:e>
                <m:r>
                  <m:t>e</m:t>
                </m:r>
              </m:e>
              <m:sup>
                <m:r>
                  <m:rPr>
                    <m:sty m:val="p"/>
                  </m:rPr>
                  <m:t>−</m:t>
                </m:r>
                <m:r>
                  <m:t>λ</m:t>
                </m:r>
                <m:r>
                  <m:t>Δ</m:t>
                </m:r>
                <m:r>
                  <m:t>t</m:t>
                </m:r>
              </m:sup>
            </m:sSup>
          </m:e>
        </m:d>
        <m:r>
          <m:t> </m:t>
        </m:r>
        <m:sSub>
          <m:e>
            <m:r>
              <m:t>C</m:t>
            </m:r>
          </m:e>
          <m:sub>
            <m:r>
              <m:t>s</m:t>
            </m:r>
            <m:r>
              <m:t>s</m:t>
            </m:r>
          </m:sub>
        </m:sSub>
      </m:oMath>
      <w:r>
        <w:t xml:space="preserve">, where</w:t>
      </w:r>
      <w:r>
        <w:t xml:space="preserve"> </w:t>
      </w:r>
      <m:oMath>
        <m:sSub>
          <m:e>
            <m:r>
              <m:t>C</m:t>
            </m:r>
          </m:e>
          <m:sub>
            <m:r>
              <m:t>s</m:t>
            </m:r>
            <m:r>
              <m:t>s</m:t>
            </m:r>
          </m:sub>
        </m:sSub>
        <m:r>
          <m:rPr>
            <m:sty m:val="p"/>
          </m:rPr>
          <m:t>=</m:t>
        </m:r>
        <m:sSub>
          <m:e>
            <m:r>
              <m:t>C</m:t>
            </m:r>
          </m:e>
          <m:sub>
            <m:r>
              <m:rPr>
                <m:nor/>
                <m:sty m:val="p"/>
              </m:rPr>
              <m:t>out</m:t>
            </m:r>
          </m:sub>
        </m:sSub>
        <m:r>
          <m:rPr>
            <m:sty m:val="p"/>
          </m:rPr>
          <m:t>+</m:t>
        </m:r>
        <m:r>
          <m:t>G</m:t>
        </m:r>
        <m:r>
          <m:t>N</m:t>
        </m:r>
        <m:r>
          <m:rPr>
            <m:sty m:val="p"/>
          </m:rPr>
          <m:t>/</m:t>
        </m:r>
        <m:d>
          <m:dPr>
            <m:begChr m:val="("/>
            <m:endChr m:val=")"/>
            <m:sepChr m:val=""/>
            <m:grow/>
          </m:dPr>
          <m:e>
            <m:r>
              <m:t>λ</m:t>
            </m:r>
            <m:r>
              <m:t>V</m:t>
            </m:r>
          </m:e>
        </m:d>
      </m:oMath>
      <w:r>
        <w:t xml:space="preserve"> </w:t>
      </w:r>
      <w:r>
        <w:t xml:space="preserve">is the steady-state level. The next value is a scaled copy of the current one plus a term that depends on occupancy and ventilation — so the current level, its recent trend and the time of day (a proxy for the occupancy and ventilation schedule) are the natural inputs. With a typical</w:t>
      </w:r>
      <w:r>
        <w:t xml:space="preserve"> </w:t>
      </w:r>
      <m:oMath>
        <m:r>
          <m:t>λ</m:t>
        </m:r>
      </m:oMath>
      <w:r>
        <w:t xml:space="preserve"> </w:t>
      </w:r>
      <w:r>
        <w:t xml:space="preserve">of about 2 air changes per hour, the room’s time constant</w:t>
      </w:r>
      <w:r>
        <w:t xml:space="preserve"> </w:t>
      </w:r>
      <m:oMath>
        <m:r>
          <m:t>1</m:t>
        </m:r>
        <m:r>
          <m:rPr>
            <m:sty m:val="p"/>
          </m:rPr>
          <m:t>/</m:t>
        </m:r>
        <m:r>
          <m:t>λ</m:t>
        </m:r>
      </m:oMath>
      <w:r>
        <w:t xml:space="preserve"> </w:t>
      </w:r>
      <w:r>
        <w:t xml:space="preserve">is about 30 minutes, which is why a 15-minute horizon is both actionable and predictable from recent history.</w:t>
      </w:r>
    </w:p>
    <w:bookmarkEnd w:id="24"/>
    <w:bookmarkStart w:id="25" w:name="input-features"/>
    <w:p>
      <w:pPr>
        <w:pStyle w:val="Heading3"/>
      </w:pPr>
      <w:r>
        <w:t xml:space="preserve">2.2 Input Features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Units / Type</w:t>
            </w:r>
          </w:p>
        </w:tc>
        <w:tc>
          <w:tcPr/>
          <w:p>
            <w:pPr>
              <w:pStyle w:val="Compact"/>
              <w:jc w:val="left"/>
            </w:pPr>
            <w:r>
              <w:t xml:space="preserve">Domain</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at the current 15-minute bin. The strongest single predictor of the next reading, because CO₂ dynamics are strongly autoregressive over short horizons.</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from 15 minutes ago. Combined with</w:t>
            </w:r>
            <w:r>
              <w:t xml:space="preserve"> </w:t>
            </w:r>
            <w:r>
              <w:rPr>
                <w:rStyle w:val="VerbatimChar"/>
              </w:rPr>
              <w:t xml:space="preserve">co2_now</w:t>
            </w:r>
            <w:r>
              <w:t xml:space="preserve">, this gives the average rate of change over the last 15 minutes (a backward finite difference) — whether CO₂ is rising, falling, or stable at the moment of prediction.</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Mean of the last four 15-minute bins, including the current one (the hour ending now). Captures the medium-term trend — whether CO₂ has been consistently rising through the morning, plateauing, or declining as ventilation increases.</w:t>
            </w:r>
          </w:p>
        </w:tc>
      </w:tr>
      <w:tr>
        <w:tc>
          <w:tcPr/>
          <w:p>
            <w:pPr>
              <w:pStyle w:val="Compact"/>
              <w:jc w:val="left"/>
            </w:pPr>
            <w:r>
              <w:rPr>
                <w:rStyle w:val="VerbatimChar"/>
              </w:rPr>
              <w:t xml:space="preserve">building_occupancy</w:t>
            </w:r>
          </w:p>
        </w:tc>
        <w:tc>
          <w:tcPr/>
          <w:p>
            <w:pPr>
              <w:pStyle w:val="Compact"/>
              <w:jc w:val="left"/>
            </w:pPr>
            <w:r>
              <w:t xml:space="preserve">integer, discrete</w:t>
            </w:r>
          </w:p>
        </w:tc>
        <w:tc>
          <w:tcPr/>
          <w:p>
            <w:pPr>
              <w:pStyle w:val="Compact"/>
              <w:jc w:val="left"/>
            </w:pPr>
            <w:r>
              <w:t xml:space="preserve">0–5</w:t>
            </w:r>
          </w:p>
        </w:tc>
        <w:tc>
          <w:tcPr/>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hour-of-day:</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t> </m:t>
                  </m:r>
                  <m:r>
                    <m:rPr>
                      <m:sty m:val="p"/>
                    </m:rPr>
                    <m:t>cos</m:t>
                  </m:r>
                  <m:d>
                    <m:dPr>
                      <m:begChr m:val="("/>
                      <m:endChr m:val=")"/>
                      <m:sepChr m:val=""/>
                      <m:grow/>
                    </m:dPr>
                    <m:e>
                      <m:r>
                        <m:t>2</m:t>
                      </m:r>
                      <m:r>
                        <m:t>π</m:t>
                      </m:r>
                      <m:r>
                        <m:t>h</m:t>
                      </m:r>
                      <m:r>
                        <m:rPr>
                          <m:sty m:val="p"/>
                        </m:rPr>
                        <m:t>/</m:t>
                      </m:r>
                      <m:r>
                        <m:t>24</m:t>
                      </m:r>
                    </m:e>
                  </m:d>
                </m:e>
              </m:d>
            </m:oMath>
            <w:r>
              <w:t xml:space="preserve">. A plain integer hour would represent hour 23 and hour 0 as 23 steps apart; this encoding preserves the fact that they are actually 1 hour apart on a 24-hour cycle.</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day-of-week, for the same reason. Different weekdays carry different occupancy and ventilation patterns.</w:t>
            </w:r>
          </w:p>
        </w:tc>
      </w:tr>
      <w:tr>
        <w:tc>
          <w:tcPr/>
          <w:p>
            <w:pPr>
              <w:pStyle w:val="Compact"/>
              <w:jc w:val="left"/>
            </w:pPr>
            <w:r>
              <w:rPr>
                <w:rStyle w:val="VerbatimChar"/>
              </w:rPr>
              <w:t xml:space="preserve">is_weekend</w:t>
            </w:r>
          </w:p>
        </w:tc>
        <w:tc>
          <w:tcPr/>
          <w:p>
            <w:pPr>
              <w:pStyle w:val="Compact"/>
              <w:jc w:val="left"/>
            </w:pPr>
            <w:r>
              <w:t xml:space="preserve">binary</w:t>
            </w:r>
          </w:p>
        </w:tc>
        <w:tc>
          <w:tcPr/>
          <w:p>
            <w:pPr>
              <w:pStyle w:val="Compact"/>
              <w:jc w:val="left"/>
            </w:pPr>
            <w:r>
              <w:t xml:space="preserve">{0, 1}</w:t>
            </w:r>
          </w:p>
        </w:tc>
        <w:tc>
          <w:tcPr/>
          <w:p>
            <w:pPr>
              <w:pStyle w:val="Compact"/>
              <w:jc w:val="left"/>
            </w:pPr>
            <w:r>
              <w:t xml:space="preserve">1 if Saturday or Sunday, computed from each row’s timestamp. Included because weekend occupancy and ventilation are expected to differ, and a binary flag makes that easy for linear models to learn. For this sensor the expected difference does not appear: weekday and weekend CO₂ are the same (Section 4).</w:t>
            </w:r>
          </w:p>
        </w:tc>
      </w:tr>
    </w:tbl>
    <w:p>
      <w:pPr>
        <w:pStyle w:val="BodyText"/>
      </w:pPr>
      <w:r>
        <w:rPr>
          <w:bCs/>
          <w:b/>
        </w:rPr>
        <w:t xml:space="preserve">Total:</w:t>
      </w:r>
      <w:r>
        <w:t xml:space="preserve"> </w:t>
      </w:r>
      <w:r>
        <w:t xml:space="preserve">9 features (each cyclic pair contributes two).</w:t>
      </w:r>
    </w:p>
    <w:bookmarkEnd w:id="25"/>
    <w:bookmarkStart w:id="26" w:name="handling-missing-and-invalid-inputs"/>
    <w:p>
      <w:pPr>
        <w:pStyle w:val="Heading3"/>
      </w:pPr>
      <w:r>
        <w:t xml:space="preserve">2.3 Handling Missing and Invalid Inputs</w:t>
      </w:r>
    </w:p>
    <w:p>
      <w:pPr>
        <w:pStyle w:val="FirstParagraph"/>
      </w:pPr>
      <w:r>
        <w:t xml:space="preserve">CO₂ readings are absent wherever the sensor was not producing new measurements. The dominant data loss is a 636-day gap in genuine readings (11 December 2023 to 7 September 2025). For roughly eight months of that gap the sensor was not silent: it re-transmitted one stale packet (the same timestamp and value) about every 11 minutes, which is why the raw log contains far more rows than real measurements (Section 6). Genuine readings for this sensor run from 7 September 2025 to 22 April 2026.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Cs/>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Of 84,576 candidate 15-minute timestamps in the raw log, 17,010 (20.1%) have all nine inputs and the target present and are retained for modelling. The remaining 67,566 rows (79.9%) are dropped (data-pipeline figure in Appendix A).</w:t>
      </w:r>
    </w:p>
    <w:p>
      <w:pPr>
        <w:pStyle w:val="BodyText"/>
      </w:pPr>
      <w:r>
        <w:t xml:space="preserve">In effect, this policy keeps only the</w:t>
      </w:r>
      <w:r>
        <w:t xml:space="preserve"> </w:t>
      </w:r>
      <w:r>
        <w:rPr>
          <w:iCs/>
          <w:i/>
        </w:rPr>
        <w:t xml:space="preserve">unbroken intervals</w:t>
      </w:r>
      <w:r>
        <w:t xml:space="preserve"> </w:t>
      </w:r>
      <w:r>
        <w:t xml:space="preserve">of the record: runs of consecutive 15-minute bins with no gap. A row needs four bins of history (the 1-hour rolling mean) plus the next bin as its target, so any unbroken interval of at least 75 minutes contributes training data,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For sensor</w:t>
      </w:r>
      <w:r>
        <w:t xml:space="preserve"> </w:t>
      </w:r>
      <w:r>
        <w:rPr>
          <w:rStyle w:val="VerbatimChar"/>
        </w:rPr>
        <w:t xml:space="preserve">6012002000326</w:t>
      </w:r>
      <w:r>
        <w:t xml:space="preserve"> </w:t>
      </w:r>
      <w:r>
        <w:t xml:space="preserve">there are 649 such intervals covering 4,978 hours. Section 4.1 applies the same rule to every sensor.</w:t>
      </w:r>
    </w:p>
    <w:bookmarkEnd w:id="26"/>
    <w:bookmarkStart w:id="27" w:name="output"/>
    <w:p>
      <w:pPr>
        <w:pStyle w:val="Heading3"/>
      </w:pPr>
      <w:r>
        <w:t xml:space="preserve">2.4 Output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Description</w:t>
            </w:r>
          </w:p>
        </w:tc>
      </w:tr>
      <w:tr>
        <w:tc>
          <w:tcPr/>
          <w:p>
            <w:pPr>
              <w:pStyle w:val="Compact"/>
              <w:jc w:val="left"/>
            </w:pPr>
            <w:r>
              <w:t xml:space="preserve">Predicted CO₂</w:t>
            </w:r>
          </w:p>
        </w:tc>
        <w:tc>
          <w:tcPr/>
          <w:p>
            <w:pPr>
              <w:pStyle w:val="Compact"/>
              <w:jc w:val="left"/>
            </w:pPr>
            <w:r>
              <w:t xml:space="preserve">ppm, continuous</w:t>
            </w:r>
          </w:p>
        </w:tc>
        <w:tc>
          <w:tcPr/>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 50 ppm below 800 ppm, a common stricter indoor-air-quality target than the 1000 ppm guideline in Section 1.1. The 50 ppm margin is about six times the MAE and twice the RMSE (Section 4), and matters most at high CO₂, where the models under-predict (Appendix A).</w:t>
      </w:r>
    </w:p>
    <w:p>
      <w:r>
        <w:pict>
          <v:rect style="width:0;height:1.5pt" o:hralign="center" o:hrstd="t" o:hr="t"/>
        </w:pict>
      </w:r>
    </w:p>
    <w:bookmarkEnd w:id="27"/>
    <w:bookmarkEnd w:id="28"/>
    <w:bookmarkStart w:id="32" w:name="computational-solution"/>
    <w:p>
      <w:pPr>
        <w:pStyle w:val="Heading2"/>
      </w:pPr>
      <w:r>
        <w:t xml:space="preserve">3. Computational Solution</w:t>
      </w:r>
    </w:p>
    <w:bookmarkStart w:id="29" w:name="implementation"/>
    <w:p>
      <w:pPr>
        <w:pStyle w:val="Heading3"/>
      </w:pPr>
      <w:r>
        <w:t xml:space="preserve">3.1 Implementation</w:t>
      </w:r>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bookmarkEnd w:id="29"/>
    <w:bookmarkStart w:id="30"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Cs/>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Cs/>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rPr>
            <m:sty m:val="p"/>
          </m:rPr>
          <m:t>=</m:t>
        </m:r>
        <m:r>
          <m:t>10</m:t>
        </m:r>
      </m:oMath>
      <w:r>
        <w:t xml:space="preserve"> </w:t>
      </w:r>
      <w:r>
        <w:t xml:space="preserve">(penalty for violating the tube),</w:t>
      </w:r>
      <w:r>
        <w:t xml:space="preserve"> </w:t>
      </w:r>
      <m:oMath>
        <m:r>
          <m:t>ε</m:t>
        </m:r>
        <m:r>
          <m:rPr>
            <m:sty m:val="p"/>
          </m:rPr>
          <m:t>=</m:t>
        </m:r>
        <m:r>
          <m:t>0.5</m:t>
        </m:r>
      </m:oMath>
      <w:r>
        <w:t xml:space="preserve"> </w:t>
      </w:r>
      <w:r>
        <w:t xml:space="preserve">(tube half-width in ppm).</w:t>
      </w:r>
    </w:p>
    <w:p>
      <w:pPr>
        <w:pStyle w:val="BodyText"/>
      </w:pPr>
      <w:r>
        <w:rPr>
          <w:bCs/>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bookmarkEnd w:id="30"/>
    <w:bookmarkStart w:id="31" w:name="parameters"/>
    <w:p>
      <w:pPr>
        <w:pStyle w:val="Heading3"/>
      </w:pPr>
      <w:r>
        <w:t xml:space="preserve">3.3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1"/>
    <w:bookmarkEnd w:id="32"/>
    <w:bookmarkStart w:id="40"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of the dataset in time order). Results are shown below.</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there is no evidence linking this sensor to any of the five monitored occupancy zones (Section 6). The building-level occupancy count carries no information about what is happening in this particular room.</w:t>
      </w:r>
    </w:p>
    <w:p>
      <w:pPr>
        <w:pStyle w:val="BodyText"/>
      </w:pPr>
      <w:r>
        <w:t xml:space="preserve">The sensor’s own daily pattern points the same way (</w:t>
      </w:r>
      <w:r>
        <w:rPr>
          <w:rStyle w:val="VerbatimChar"/>
        </w:rPr>
        <w:t xml:space="preserve">scripts/weekday_weekend_comparison.py</w:t>
      </w:r>
      <w:r>
        <w:t xml:space="preserve">). In room G.38 (sensor</w:t>
      </w:r>
      <w:r>
        <w:t xml:space="preserve"> </w:t>
      </w:r>
      <w:r>
        <w:rPr>
          <w:rStyle w:val="VerbatimChar"/>
        </w:rPr>
        <w:t xml:space="preserve">6012002000869</w:t>
      </w:r>
      <w:r>
        <w:t xml:space="preserve">), weekday CO₂ peaks at 13:00, and during working hours (9 am–5 pm) it averages 505 ppm on weekdays against 450 ppm at weekends — the signature of an occupied room. Sensor</w:t>
      </w:r>
      <w:r>
        <w:t xml:space="preserve"> </w:t>
      </w:r>
      <w:r>
        <w:rPr>
          <w:rStyle w:val="VerbatimChar"/>
        </w:rPr>
        <w:t xml:space="preserve">6012002000326</w:t>
      </w:r>
      <w:r>
        <w:t xml:space="preserve"> </w:t>
      </w:r>
      <w:r>
        <w:t xml:space="preserve">shows neither: its weekday CO₂ peaks at 07:00 and is lowest at 15:00, and weekday and weekend working-hours means are identical (436 ppm). This sensor’s CO₂ follows the building’s ventilation schedule rather than its occupants, which is why neither occupancy nor the weekend flag helps.</w:t>
      </w:r>
    </w:p>
    <w:p>
      <w:pPr>
        <w:pStyle w:val="BodyText"/>
      </w:pPr>
      <w:r>
        <w:t xml:space="preserve">Row-by-row diagnostic plots (predictions over time, predicted vs. actual, and residuals) are in Appendix A.</w:t>
      </w:r>
    </w:p>
    <w:bookmarkStart w:id="39" w:name="Xf965eae6f400442b87f8df1b02fb52bece3b127"/>
    <w:p>
      <w:pPr>
        <w:pStyle w:val="Heading3"/>
      </w:pPr>
      <w:r>
        <w:t xml:space="preserve">4.1 Using every usable interval from all sensors</w:t>
      </w:r>
    </w:p>
    <w:p>
      <w:pPr>
        <w:pStyle w:val="FirstParagraph"/>
      </w:pPr>
      <w:r>
        <w:t xml:space="preserve">The analysis above uses one sensor. Rather than accepting or rejecting each sensor as a whole, the same unbroken-interval rule from Section 2.3 was applied to all five environmental sensors: every interval of at least 75 minutes, from any sensor, is usable. The audit also compared each reading’s own timestamp with the log’s</w:t>
      </w:r>
      <w:r>
        <w:t xml:space="preserve"> </w:t>
      </w:r>
      <w:r>
        <w:rPr>
          <w:rStyle w:val="VerbatimChar"/>
        </w:rPr>
        <w:t xml:space="preserve">createdate</w:t>
      </w:r>
      <w:r>
        <w:t xml:space="preserve"> </w:t>
      </w:r>
      <w:r>
        <w:t xml:space="preserve">field (the time the server received it). This showed that a sensor which stops measuring keeps re-transmitting its last packet roughly every 11 minutes, so the log fills with thousands of identical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4754880" cy="1536192"/>
            <wp:effectExtent b="0" l="0" r="0" t="0"/>
            <wp:docPr descr="Usable unbroken intervals (green) and re-transmitted stale packets (grey) for each sensor" title="" id="34" name="Picture"/>
            <a:graphic>
              <a:graphicData uri="http://schemas.openxmlformats.org/drawingml/2006/picture">
                <pic:pic>
                  <pic:nvPicPr>
                    <pic:cNvPr descr="chart15_sensor_intervals.png" id="35" name="Picture"/>
                    <pic:cNvPicPr>
                      <a:picLocks noChangeArrowheads="1" noChangeAspect="1"/>
                    </pic:cNvPicPr>
                  </pic:nvPicPr>
                  <pic:blipFill>
                    <a:blip r:embed="rId33"/>
                    <a:stretch>
                      <a:fillRect/>
                    </a:stretch>
                  </pic:blipFill>
                  <pic:spPr bwMode="auto">
                    <a:xfrm>
                      <a:off x="0" y="0"/>
                      <a:ext cx="4754880" cy="1536192"/>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produced more than two distinct readings, so even a 75-minute interval cannot be formed from them. Sensor</w:t>
      </w:r>
      <w:r>
        <w:t xml:space="preserve"> </w:t>
      </w:r>
      <w:r>
        <w:rPr>
          <w:rStyle w:val="VerbatimChar"/>
        </w:rPr>
        <w:t xml:space="preserve">6012002000869</w:t>
      </w:r>
      <w:r>
        <w:t xml:space="preserve"> </w:t>
      </w:r>
      <w:r>
        <w:t xml:space="preserve">(the only sensor with a documented room, G.38) has genuine readings from 29 February to 13 June 2024, with almost no gaps, giving 7,781 additional rows. Two experiments use this extra data. Both exclude occupancy (it adds nothing for sensor</w:t>
      </w:r>
      <w:r>
        <w:t xml:space="preserve"> </w:t>
      </w:r>
      <w:r>
        <w:rPr>
          <w:rStyle w:val="VerbatimChar"/>
        </w:rPr>
        <w:t xml:space="preserve">6012002000326</w:t>
      </w:r>
      <w:r>
        <w:t xml:space="preserve">, Section 4) so that row sets are identical across runs. A naive</w:t>
      </w:r>
      <w:r>
        <w:t xml:space="preserve"> </w:t>
      </w:r>
      <w:r>
        <w:rPr>
          <w:iCs/>
          <w:i/>
        </w:rPr>
        <w:t xml:space="preserve">persistence</w:t>
      </w:r>
      <w:r>
        <w:t xml:space="preserve"> </w:t>
      </w:r>
      <w:r>
        <w:t xml:space="preserve">forecast (next CO₂ = current CO₂) is included as a reference floor that any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 sensor</w:t>
      </w:r>
      <w:r>
        <w:t xml:space="preserve"> </w:t>
      </w:r>
      <w:r>
        <w:rPr>
          <w:rStyle w:val="VerbatimChar"/>
        </w:rPr>
        <w:t xml:space="preserve">6012002000869</w:t>
      </w:r>
      <w:r>
        <w:t xml:space="preserve">’s intervals (all from 2024, so strictly before the 11 March 2026 cutoff), and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increased the training set by 56% (13,853 to 21,634 rows). The best result improved slightly (SVR MAE 8.30 to 8.14 ppm) and the Decision Tree improved most, consistent with it being the most data-hungry model. However, none of these changes is statistically distinguishable from zero: 95% moving-block bootstrap intervals (one-day blocks, to respect autocorrelation) on the paired MAE difference all span zero, e.g. SVR +0.16 ppm [−0.07, +0.44]. More data from a different room therefore does not materially help this sensor. All four models beat persistence (9.82 ppm), confirming they learn more than</w:t>
      </w:r>
      <w:r>
        <w:t xml:space="preserve"> </w:t>
      </w:r>
      <w:r>
        <w:t xml:space="preserve">“</w:t>
      </w:r>
      <w:r>
        <w:t xml:space="preserve">CO₂ stays the same</w:t>
      </w:r>
      <w:r>
        <w:t xml:space="preserve">”</w:t>
      </w:r>
      <w:r>
        <w:t xml:space="preserve">.</w:t>
      </w:r>
    </w:p>
    <w:p>
      <w:pPr>
        <w:pStyle w:val="BodyText"/>
      </w:pPr>
      <w:r>
        <w:rPr>
          <w:bCs/>
          <w:b/>
        </w:rPr>
        <w:t xml:space="preserve">Experiment B: cross-sensor transfer.</w:t>
      </w:r>
      <w:r>
        <w:t xml:space="preserve"> </w:t>
      </w:r>
      <w:r>
        <w:t xml:space="preserve">Train on sensor</w:t>
      </w:r>
      <w:r>
        <w:t xml:space="preserve"> </w:t>
      </w:r>
      <w:r>
        <w:rPr>
          <w:rStyle w:val="VerbatimChar"/>
        </w:rPr>
        <w:t xml:space="preserve">6012002000326</w:t>
      </w:r>
      <w:r>
        <w:t xml:space="preserve"> </w:t>
      </w:r>
      <w:r>
        <w:t xml:space="preserve">only and test on the final 20% of sensor</w:t>
      </w:r>
      <w:r>
        <w:t xml:space="preserve"> </w:t>
      </w:r>
      <w:r>
        <w:rPr>
          <w:rStyle w:val="VerbatimChar"/>
        </w:rPr>
        <w:t xml:space="preserve">6012002000869</w:t>
      </w:r>
      <w:r>
        <w:t xml:space="preserve">’s record, compared with a model trained on</w:t>
      </w:r>
      <w:r>
        <w:t xml:space="preserve"> </w:t>
      </w:r>
      <w:r>
        <w:rPr>
          <w:rStyle w:val="VerbatimChar"/>
        </w:rPr>
        <w:t xml:space="preserve">6012002000869</w:t>
      </w:r>
      <w:r>
        <w:t xml:space="preserve">’s own earlier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MAE, trained on same room (ppm)</w:t>
            </w:r>
          </w:p>
        </w:tc>
        <w:tc>
          <w:tcPr/>
          <w:p>
            <w:pPr>
              <w:pStyle w:val="Compact"/>
              <w:jc w:val="left"/>
            </w:pPr>
            <w:r>
              <w:t xml:space="preserve">MAE, trained on other room (ppm)</w:t>
            </w:r>
          </w:p>
        </w:tc>
      </w:tr>
      <w:tr>
        <w:tc>
          <w:tcPr/>
          <w:p>
            <w:pPr>
              <w:pStyle w:val="Compact"/>
              <w:jc w:val="left"/>
            </w:pPr>
            <w:r>
              <w:t xml:space="preserve">Persistence</w:t>
            </w:r>
          </w:p>
        </w:tc>
        <w:tc>
          <w:tcPr/>
          <w:p>
            <w:pPr>
              <w:pStyle w:val="Compact"/>
              <w:jc w:val="left"/>
            </w:pPr>
            <w:r>
              <w:t xml:space="preserve">7.749</w:t>
            </w:r>
          </w:p>
        </w:tc>
        <w:tc>
          <w:tcPr/>
          <w:p>
            <w:pPr>
              <w:pStyle w:val="Compact"/>
              <w:jc w:val="left"/>
            </w:pPr>
            <w:r>
              <w:t xml:space="preserve">7.749</w:t>
            </w:r>
          </w:p>
        </w:tc>
      </w:tr>
      <w:tr>
        <w:tc>
          <w:tcPr/>
          <w:p>
            <w:pPr>
              <w:pStyle w:val="Compact"/>
              <w:jc w:val="left"/>
            </w:pPr>
            <w:r>
              <w:t xml:space="preserve">Linear Regression</w:t>
            </w:r>
          </w:p>
        </w:tc>
        <w:tc>
          <w:tcPr/>
          <w:p>
            <w:pPr>
              <w:pStyle w:val="Compact"/>
              <w:jc w:val="left"/>
            </w:pPr>
            <w:r>
              <w:t xml:space="preserve">7.295</w:t>
            </w:r>
          </w:p>
        </w:tc>
        <w:tc>
          <w:tcPr/>
          <w:p>
            <w:pPr>
              <w:pStyle w:val="Compact"/>
              <w:jc w:val="left"/>
            </w:pPr>
            <w:r>
              <w:t xml:space="preserve">7.797</w:t>
            </w:r>
          </w:p>
        </w:tc>
      </w:tr>
      <w:tr>
        <w:tc>
          <w:tcPr/>
          <w:p>
            <w:pPr>
              <w:pStyle w:val="Compact"/>
              <w:jc w:val="left"/>
            </w:pPr>
            <w:r>
              <w:t xml:space="preserve">Decision Tree</w:t>
            </w:r>
          </w:p>
        </w:tc>
        <w:tc>
          <w:tcPr/>
          <w:p>
            <w:pPr>
              <w:pStyle w:val="Compact"/>
              <w:jc w:val="left"/>
            </w:pPr>
            <w:r>
              <w:t xml:space="preserve">7.355</w:t>
            </w:r>
          </w:p>
        </w:tc>
        <w:tc>
          <w:tcPr/>
          <w:p>
            <w:pPr>
              <w:pStyle w:val="Compact"/>
              <w:jc w:val="left"/>
            </w:pPr>
            <w:r>
              <w:t xml:space="preserve">10.238</w:t>
            </w:r>
          </w:p>
        </w:tc>
      </w:tr>
      <w:tr>
        <w:tc>
          <w:tcPr/>
          <w:p>
            <w:pPr>
              <w:pStyle w:val="Compact"/>
              <w:jc w:val="left"/>
            </w:pPr>
            <w:r>
              <w:rPr>
                <w:bCs/>
                <w:b/>
              </w:rPr>
              <w:t xml:space="preserve">SVR</w:t>
            </w:r>
          </w:p>
        </w:tc>
        <w:tc>
          <w:tcPr/>
          <w:p>
            <w:pPr>
              <w:pStyle w:val="Compact"/>
              <w:jc w:val="left"/>
            </w:pPr>
            <w:r>
              <w:rPr>
                <w:bCs/>
                <w:b/>
              </w:rPr>
              <w:t xml:space="preserve">6.994</w:t>
            </w:r>
          </w:p>
        </w:tc>
        <w:tc>
          <w:tcPr/>
          <w:p>
            <w:pPr>
              <w:pStyle w:val="Compact"/>
              <w:jc w:val="left"/>
            </w:pPr>
            <w:r>
              <w:t xml:space="preserve">8.070</w:t>
            </w:r>
          </w:p>
        </w:tc>
      </w:tr>
      <w:tr>
        <w:tc>
          <w:tcPr/>
          <w:p>
            <w:pPr>
              <w:pStyle w:val="Compact"/>
              <w:jc w:val="left"/>
            </w:pPr>
            <w:r>
              <w:t xml:space="preserve">Neural Network</w:t>
            </w:r>
          </w:p>
        </w:tc>
        <w:tc>
          <w:tcPr/>
          <w:p>
            <w:pPr>
              <w:pStyle w:val="Compact"/>
              <w:jc w:val="left"/>
            </w:pPr>
            <w:r>
              <w:t xml:space="preserve">7.456</w:t>
            </w:r>
          </w:p>
        </w:tc>
        <w:tc>
          <w:tcPr/>
          <w:p>
            <w:pPr>
              <w:pStyle w:val="Compact"/>
              <w:jc w:val="left"/>
            </w:pPr>
            <w:r>
              <w:t xml:space="preserve">8.035</w:t>
            </w:r>
          </w:p>
        </w:tc>
      </w:tr>
    </w:tbl>
    <w:p>
      <w:pPr>
        <w:pStyle w:val="CaptionedFigure"/>
      </w:pPr>
      <w:r>
        <w:drawing>
          <wp:inline>
            <wp:extent cx="4754880" cy="1682496"/>
            <wp:effectExtent b="0" l="0" r="0" t="0"/>
            <wp:docPr descr="MAE for Experiment A (left) and Experiment B (right)" title="" id="37" name="Picture"/>
            <a:graphic>
              <a:graphicData uri="http://schemas.openxmlformats.org/drawingml/2006/picture">
                <pic:pic>
                  <pic:nvPicPr>
                    <pic:cNvPr descr="chart16_multi_sensor_results.png" id="38" name="Picture"/>
                    <pic:cNvPicPr>
                      <a:picLocks noChangeArrowheads="1" noChangeAspect="1"/>
                    </pic:cNvPicPr>
                  </pic:nvPicPr>
                  <pic:blipFill>
                    <a:blip r:embed="rId36"/>
                    <a:stretch>
                      <a:fillRect/>
                    </a:stretch>
                  </pic:blipFill>
                  <pic:spPr bwMode="auto">
                    <a:xfrm>
                      <a:off x="0" y="0"/>
                      <a:ext cx="4754880" cy="1682496"/>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and SVR is again the best method (MAE 6.99 ppm, R² 0.78). Trained on the other room, every model is</w:t>
      </w:r>
      <w:r>
        <w:t xml:space="preserve"> </w:t>
      </w:r>
      <w:r>
        <w:rPr>
          <w:iCs/>
          <w:i/>
        </w:rPr>
        <w:t xml:space="preserve">worse than persistence</w:t>
      </w:r>
      <w:r>
        <w:t xml:space="preserve">. The models learn room-specific behaviour — the typical CO₂ level each room settles to and how quickly it returns there — so a model from one room pulls its forecasts toward the wrong baseline in another. The two rooms are driven differently: G.38 follows its occupants (a weekday midday peak), while sensor</w:t>
      </w:r>
      <w:r>
        <w:t xml:space="preserve"> </w:t>
      </w:r>
      <w:r>
        <w:rPr>
          <w:rStyle w:val="VerbatimChar"/>
        </w:rPr>
        <w:t xml:space="preserve">6012002000326</w:t>
      </w:r>
      <w:r>
        <w:t xml:space="preserve"> </w:t>
      </w:r>
      <w:r>
        <w:t xml:space="preserve">follows the ventilation schedule (Section 4). The practical conclusion is that a forecaster of this kind must be trained per room (or per sensor); it cannot simply be copied between rooms.</w:t>
      </w:r>
    </w:p>
    <w:bookmarkEnd w:id="39"/>
    <w:bookmarkEnd w:id="40"/>
    <w:bookmarkStart w:id="45" w:name="validation"/>
    <w:p>
      <w:pPr>
        <w:pStyle w:val="Heading2"/>
      </w:pPr>
      <w:r>
        <w:t xml:space="preserve">5. Validation</w:t>
      </w:r>
    </w:p>
    <w:bookmarkStart w:id="41" w:name="traintest-split"/>
    <w:p>
      <w:pPr>
        <w:pStyle w:val="Heading3"/>
      </w:pPr>
      <w:r>
        <w:t xml:space="preserve">5.1 Train/Test Split</w:t>
      </w:r>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 (timeline figure in Appendix A).</w:t>
      </w:r>
    </w:p>
    <w:bookmarkEnd w:id="41"/>
    <w:bookmarkStart w:id="42"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bookmarkEnd w:id="42"/>
    <w:bookmarkStart w:id="43" w:name="Xd8f2789288cdc47fb919a2a3d44a84a474eb10b"/>
    <w:p>
      <w:pPr>
        <w:pStyle w:val="Heading3"/>
      </w:pPr>
      <w:r>
        <w:t xml:space="preserve">5.3 Sensor Validation Against External Records</w:t>
      </w:r>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bookmarkEnd w:id="43"/>
    <w:bookmarkStart w:id="44" w:name="numerical-integration-convergence"/>
    <w:p>
      <w:pPr>
        <w:pStyle w:val="Heading3"/>
      </w:pPr>
      <w:r>
        <w:t xml:space="preserve">5.4 Numerical Integration Convergence</w:t>
      </w:r>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bookmarkEnd w:id="44"/>
    <w:bookmarkEnd w:id="45"/>
    <w:bookmarkStart w:id="49"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so there is no way to determine from metadata which room it monitors or which occupancy zone covers that room. Instead, a data-driven sensor-matching analysis was run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the zone’s binary occupancy and the sensor’s reading were resampled to 15-minute bins, and Pearson’s</w:t>
      </w:r>
      <w:r>
        <w:t xml:space="preserve"> </w:t>
      </w:r>
      <m:oMath>
        <m:r>
          <m:t>r</m:t>
        </m:r>
      </m:oMath>
      <w:r>
        <w:t xml:space="preserve"> </w:t>
      </w:r>
      <w:r>
        <w:t xml:space="preserve">was computed between occupancy and the</w:t>
      </w:r>
      <w:r>
        <w:t xml:space="preserve"> </w:t>
      </w:r>
      <w:r>
        <w:rPr>
          <w:iCs/>
          <w:i/>
        </w:rPr>
        <w:t xml:space="preserve">change</w:t>
      </w:r>
      <w:r>
        <w:t xml:space="preserve"> </w:t>
      </w:r>
      <w:r>
        <w:t xml:space="preserve">in the reading from one bin to the next (its first difference). Using the change rather than the level matters: every room’s CO₂ and temperature follow the same working-day cycle, so correlating raw levels would make every pair look related. Lags of up to ±4 bins (±1 hour) were searched and the strongest absolute correlation kept. The test was repeated for CO₂, temperature and humidity (results in</w:t>
      </w:r>
      <w:r>
        <w:t xml:space="preserve"> </w:t>
      </w:r>
      <w:r>
        <w:rPr>
          <w:rStyle w:val="VerbatimChar"/>
        </w:rPr>
        <w:t xml:space="preserve">reports/sensor_matching_results.json</w:t>
      </w:r>
      <w:r>
        <w:t xml:space="preserve">).</w:t>
      </w:r>
    </w:p>
    <w:p>
      <w:pPr>
        <w:pStyle w:val="CaptionedFigure"/>
      </w:pPr>
      <w:r>
        <w:drawing>
          <wp:inline>
            <wp:extent cx="4754880" cy="2099870"/>
            <wp:effectExtent b="0" l="0" r="0" t="0"/>
            <wp:docPr descr="Best-lag correlation between each zone’s occupancy and the 15-minute change in each sensor’s reading" title="" id="47" name="Picture"/>
            <a:graphic>
              <a:graphicData uri="http://schemas.openxmlformats.org/drawingml/2006/picture">
                <pic:pic>
                  <pic:nvPicPr>
                    <pic:cNvPr descr="chart10_zone_matching.png" id="48" name="Picture"/>
                    <pic:cNvPicPr>
                      <a:picLocks noChangeArrowheads="1" noChangeAspect="1"/>
                    </pic:cNvPicPr>
                  </pic:nvPicPr>
                  <pic:blipFill>
                    <a:blip r:embed="rId46"/>
                    <a:stretch>
                      <a:fillRect/>
                    </a:stretch>
                  </pic:blipFill>
                  <pic:spPr bwMode="auto">
                    <a:xfrm>
                      <a:off x="0" y="0"/>
                      <a:ext cx="4754880" cy="2099870"/>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essentially no relationship with any zone:</w:t>
      </w:r>
      <w:r>
        <w:t xml:space="preserve"> </w:t>
      </w:r>
      <m:oMath>
        <m:d>
          <m:dPr>
            <m:begChr m:val="|"/>
            <m:endChr m:val="|"/>
            <m:sepChr m:val=""/>
            <m:grow/>
          </m:dPr>
          <m:e>
            <m:r>
              <m:t>r</m:t>
            </m:r>
          </m:e>
        </m:d>
        <m:r>
          <m:rPr>
            <m:sty m:val="p"/>
          </m:rPr>
          <m:t>≤</m:t>
        </m:r>
        <m:r>
          <m:t>0.03</m:t>
        </m:r>
      </m:oMath>
      <w:r>
        <w:t xml:space="preserve"> </w:t>
      </w:r>
      <w:r>
        <w:t xml:space="preserve">for all four zones with overlapping data (the fifth zone has no overlap with this sensor’s genuine readings). No sensor exceeds</w:t>
      </w:r>
      <w:r>
        <w:t xml:space="preserve"> </w:t>
      </w:r>
      <m:oMath>
        <m:d>
          <m:dPr>
            <m:begChr m:val="|"/>
            <m:endChr m:val="|"/>
            <m:sepChr m:val=""/>
            <m:grow/>
          </m:dPr>
          <m:e>
            <m:r>
              <m:t>r</m:t>
            </m:r>
          </m:e>
        </m:d>
        <m:r>
          <m:rPr>
            <m:sty m:val="p"/>
          </m:rPr>
          <m:t>=</m:t>
        </m:r>
        <m:r>
          <m:t>0.06</m:t>
        </m:r>
      </m:oMath>
      <w:r>
        <w:t xml:space="preserve"> </w:t>
      </w:r>
      <w:r>
        <w:t xml:space="preserve">for CO₂. Temperature shows weak positive correlations for this sensor (</w:t>
      </w:r>
      <m:oMath>
        <m:r>
          <m:t>r</m:t>
        </m:r>
      </m:oMath>
      <w:r>
        <w:t xml:space="preserve"> </w:t>
      </w:r>
      <w:r>
        <w:t xml:space="preserve">up to 0.27), but at a lag of −3 to −4 bins: the temperature rise</w:t>
      </w:r>
      <w:r>
        <w:t xml:space="preserve"> </w:t>
      </w:r>
      <w:r>
        <w:rPr>
          <w:iCs/>
          <w:i/>
        </w:rPr>
        <w:t xml:space="preserve">precedes</w:t>
      </w:r>
      <w:r>
        <w:t xml:space="preserve"> </w:t>
      </w:r>
      <w:r>
        <w:t xml:space="preserve">occupancy by 45–60 minutes, which points to a building-wide morning HVAC warm-up rather than to people in a shared room. A correlation search of this kind cannot prove that the sensor is outside every zone, but it finds no evidence linking it to any of them. This is a property of the dataset, not a failure of the modelling approach.</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were initially described as having frozen clocks, because every row carries the same internal timestamp. Comparing with the server receive time (</w:t>
      </w:r>
      <w:r>
        <w:rPr>
          <w:rStyle w:val="VerbatimChar"/>
        </w:rPr>
        <w:t xml:space="preserve">createdate</w:t>
      </w:r>
      <w:r>
        <w:t xml:space="preserve">) shows the fault is more fundamental: the rows arrive regularly, but every one is the same stale packet re-sent, with an identical CO₂ value (for example, 666 ppm in all 21,363 rows of</w:t>
      </w:r>
      <w:r>
        <w:t xml:space="preserve"> </w:t>
      </w:r>
      <w:r>
        <w:rPr>
          <w:rStyle w:val="VerbatimChar"/>
        </w:rPr>
        <w:t xml:space="preserve">6012002000227</w:t>
      </w:r>
      <w:r>
        <w:t xml:space="preserve">). No interval of any length can be formed, so these sensors cannot contribute data under any policy. The same fault affects the two usable sensors outside their genuine periods (Section 4.1). Sensor</w:t>
      </w:r>
      <w:r>
        <w:t xml:space="preserve"> </w:t>
      </w:r>
      <w:r>
        <w:rPr>
          <w:rStyle w:val="VerbatimChar"/>
        </w:rPr>
        <w:t xml:space="preserve">6012002000869</w:t>
      </w:r>
      <w:r>
        <w:t xml:space="preserve"> </w:t>
      </w:r>
      <w:r>
        <w:t xml:space="preserve">has only three and a half months of genuine data, which is why it was not used for the main analysis; it is used for the pooled and cross-sensor experiments in Section 4.1. None of these issues is documented in the dataset description; they were identified by inspecting the raw timestamps and values.</w:t>
      </w:r>
    </w:p>
    <w:p>
      <w:pPr>
        <w:pStyle w:val="BodyText"/>
      </w:pPr>
      <w:r>
        <w:rPr>
          <w:bCs/>
          <w:b/>
        </w:rPr>
        <w:t xml:space="preserve">Most candidate rows are discarded.</w:t>
      </w:r>
      <w:r>
        <w:t xml:space="preserve"> </w:t>
      </w:r>
      <w:r>
        <w:t xml:space="preserve">A 636-day gap in genuine readings reduces the usable dataset from 84,576 candidate rows to 17,010 (20.1%). This is a direct consequence of the sensor fault and the correct handling of missing data; imputing values across a gap of this length would produce a fabricated dataset with no physical basis. Adding every usable interval from a second sensor raises the training set by 56% but does not measurably improve accuracy (Section 4.1).</w:t>
      </w:r>
    </w:p>
    <w:p>
      <w:pPr>
        <w:pStyle w:val="BodyText"/>
      </w:pPr>
      <w:r>
        <w:rPr>
          <w:bCs/>
          <w:b/>
        </w:rPr>
        <w:t xml:space="preserve">Models do not transfer between rooms.</w:t>
      </w:r>
      <w:r>
        <w:t xml:space="preserve"> </w:t>
      </w:r>
      <w:r>
        <w:t xml:space="preserve">A model trained on one sensor performs worse than a naive persistence forecast on another (Section 4.1). Each room needs its own training data.</w:t>
      </w:r>
    </w:p>
    <w:p>
      <w:pPr>
        <w:pStyle w:val="BodyText"/>
      </w:pPr>
      <w:r>
        <w:rPr>
          <w:bCs/>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Cs/>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bookmarkEnd w:id="49"/>
    <w:bookmarkStart w:id="50"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4.1),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Repository maintenance:</w:t>
      </w:r>
      <w:r>
        <w:t xml:space="preserve"> </w:t>
      </w:r>
      <w:r>
        <w:t xml:space="preserve">Claude also restored a module and tests that an earlier cleanup had deleted, regenerated the API documentation and test report, and corrected this report’s description of the zone-matching analysis so that it matches the code in</w:t>
      </w:r>
      <w:r>
        <w:t xml:space="preserve"> </w:t>
      </w:r>
      <w:r>
        <w:rPr>
          <w:rStyle w:val="VerbatimChar"/>
        </w:rPr>
        <w:t xml:space="preserve">occupancy.sensor_matching</w:t>
      </w:r>
      <w:r>
        <w:t xml:space="preserv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w:t>
      </w:r>
      <w:r>
        <w:t xml:space="preserve"> </w:t>
      </w:r>
      <w:r>
        <w:rPr>
          <w:rStyle w:val="VerbatimChar"/>
        </w:rPr>
        <w:t xml:space="preserve">reports/sensor_matching_results.json</w:t>
      </w:r>
      <w:r>
        <w:t xml:space="preserve">,</w:t>
      </w:r>
      <w:r>
        <w:t xml:space="preserve"> </w:t>
      </w:r>
      <w:r>
        <w:rPr>
          <w:rStyle w:val="VerbatimChar"/>
        </w:rPr>
        <w:t xml:space="preserve">reports/weekday_weekend_results.json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50"/>
    <w:bookmarkStart w:id="51" w:name="references"/>
    <w:p>
      <w:pPr>
        <w:pStyle w:val="Heading2"/>
      </w:pPr>
      <w:r>
        <w:t xml:space="preserve">References</w:t>
      </w:r>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ASHRAE Position Document on Indoor Carbon Dioxide. American Society of Heating, Refrigerating and Air-Conditioning Engineers, 2022.</w:t>
      </w:r>
    </w:p>
    <w:p>
      <w:pPr>
        <w:numPr>
          <w:ilvl w:val="0"/>
          <w:numId w:val="1002"/>
        </w:numPr>
        <w:pStyle w:val="Compact"/>
      </w:pPr>
      <w:r>
        <w:t xml:space="preserve">Persily, A. &amp; de Jonge, L. (2017). Carbon dioxide generation rates for building occupants.</w:t>
      </w:r>
      <w:r>
        <w:t xml:space="preserve"> </w:t>
      </w:r>
      <w:r>
        <w:rPr>
          <w:iCs/>
          <w:i/>
        </w:rPr>
        <w:t xml:space="preserve">Indoor Air</w:t>
      </w:r>
      <w:r>
        <w:t xml:space="preserve">, 27(5), 868–879.</w:t>
      </w:r>
    </w:p>
    <w:p>
      <w:pPr>
        <w:numPr>
          <w:ilvl w:val="0"/>
          <w:numId w:val="1002"/>
        </w:numPr>
        <w:pStyle w:val="Compact"/>
      </w:pPr>
      <w:r>
        <w:t xml:space="preserve">Satish, U. et al. (2012). Is CO₂ an indoor pollutant? Direct effects of low-to-moderate CO₂ concentrations on human decision-making performance.</w:t>
      </w:r>
      <w:r>
        <w:t xml:space="preserve"> </w:t>
      </w:r>
      <w:r>
        <w:rPr>
          <w:iCs/>
          <w:i/>
        </w:rPr>
        <w:t xml:space="preserve">Environmental Health Perspectives</w:t>
      </w:r>
      <w:r>
        <w:t xml:space="preserve">, 120(12), 1671–1677.</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p>
      <w:r>
        <w:pict>
          <v:rect style="width:0;height:1.5pt" o:hralign="center" o:hrstd="t" o:hr="t"/>
        </w:pict>
      </w:r>
    </w:p>
    <w:bookmarkEnd w:id="51"/>
    <w:bookmarkStart w:id="67" w:name="appendix-a-additional-figures"/>
    <w:p>
      <w:pPr>
        <w:pStyle w:val="Heading2"/>
      </w:pPr>
      <w:r>
        <w:t xml:space="preserve">Appendix A: Additional Figures</w:t>
      </w:r>
    </w:p>
    <w:p>
      <w:pPr>
        <w:pStyle w:val="CaptionedFigure"/>
      </w:pPr>
      <w:r>
        <w:drawing>
          <wp:inline>
            <wp:extent cx="3931919" cy="1924484"/>
            <wp:effectExtent b="0" l="0" r="0" t="0"/>
            <wp:docPr descr="Data pipeline: raw candidate timestamps versus dropped rows versus rows retained for modelling" title="" id="53" name="Picture"/>
            <a:graphic>
              <a:graphicData uri="http://schemas.openxmlformats.org/drawingml/2006/picture">
                <pic:pic>
                  <pic:nvPicPr>
                    <pic:cNvPr descr="chart_data_pipeline.png" id="54" name="Picture"/>
                    <pic:cNvPicPr>
                      <a:picLocks noChangeArrowheads="1" noChangeAspect="1"/>
                    </pic:cNvPicPr>
                  </pic:nvPicPr>
                  <pic:blipFill>
                    <a:blip r:embed="rId52"/>
                    <a:stretch>
                      <a:fillRect/>
                    </a:stretch>
                  </pic:blipFill>
                  <pic:spPr bwMode="auto">
                    <a:xfrm>
                      <a:off x="0" y="0"/>
                      <a:ext cx="3931919" cy="192448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CaptionedFigure"/>
      </w:pPr>
      <w:r>
        <w:drawing>
          <wp:inline>
            <wp:extent cx="3931919" cy="967857"/>
            <wp:effectExtent b="0" l="0" r="0" t="0"/>
            <wp:docPr descr="Chronological train/test split over the full sensor history for sensor 6012002000326" title="" id="56" name="Picture"/>
            <a:graphic>
              <a:graphicData uri="http://schemas.openxmlformats.org/drawingml/2006/picture">
                <pic:pic>
                  <pic:nvPicPr>
                    <pic:cNvPr descr="chart14_train_test_split.png" id="57" name="Picture"/>
                    <pic:cNvPicPr>
                      <a:picLocks noChangeArrowheads="1" noChangeAspect="1"/>
                    </pic:cNvPicPr>
                  </pic:nvPicPr>
                  <pic:blipFill>
                    <a:blip r:embed="rId55"/>
                    <a:stretch>
                      <a:fillRect/>
                    </a:stretch>
                  </pic:blipFill>
                  <pic:spPr bwMode="auto">
                    <a:xfrm>
                      <a:off x="0" y="0"/>
                      <a:ext cx="3931919" cy="967857"/>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p>
      <w:pPr>
        <w:pStyle w:val="BodyText"/>
      </w:pPr>
      <w:r>
        <w:t xml:space="preserve">The comparison table in Section 4 is aggregate; the plots below show what it looks like row by row (Linear Regression, Decision Tree, SVR and Neural Network, with occupancy, on the 0326 test set).</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59" name="Picture"/>
            <a:graphic>
              <a:graphicData uri="http://schemas.openxmlformats.org/drawingml/2006/picture">
                <pic:pic>
                  <pic:nvPicPr>
                    <pic:cNvPr descr="chart11_predictions_timeseries.png" id="60" name="Picture"/>
                    <pic:cNvPicPr>
                      <a:picLocks noChangeArrowheads="1" noChangeAspect="1"/>
                    </pic:cNvPicPr>
                  </pic:nvPicPr>
                  <pic:blipFill>
                    <a:blip r:embed="rId58"/>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3931919" cy="3931919"/>
            <wp:effectExtent b="0" l="0" r="0" t="0"/>
            <wp:docPr descr="Predicted vs. actual CO2 for each model on the held-out test set, with a y=x reference line" title="" id="62" name="Picture"/>
            <a:graphic>
              <a:graphicData uri="http://schemas.openxmlformats.org/drawingml/2006/picture">
                <pic:pic>
                  <pic:nvPicPr>
                    <pic:cNvPr descr="chart12_predicted_vs_actual.png" id="63" name="Picture"/>
                    <pic:cNvPicPr>
                      <a:picLocks noChangeArrowheads="1" noChangeAspect="1"/>
                    </pic:cNvPicPr>
                  </pic:nvPicPr>
                  <pic:blipFill>
                    <a:blip r:embed="rId61"/>
                    <a:stretch>
                      <a:fillRect/>
                    </a:stretch>
                  </pic:blipFill>
                  <pic:spPr bwMode="auto">
                    <a:xfrm>
                      <a:off x="0" y="0"/>
                      <a:ext cx="3931919" cy="3931919"/>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3931919" cy="3538727"/>
            <wp:effectExtent b="0" l="0" r="0" t="0"/>
            <wp:docPr descr="Residual (predicted minus actual) vs. predicted CO2 for each model" title="" id="65" name="Picture"/>
            <a:graphic>
              <a:graphicData uri="http://schemas.openxmlformats.org/drawingml/2006/picture">
                <pic:pic>
                  <pic:nvPicPr>
                    <pic:cNvPr descr="chart13_residuals.png" id="66" name="Picture"/>
                    <pic:cNvPicPr>
                      <a:picLocks noChangeArrowheads="1" noChangeAspect="1"/>
                    </pic:cNvPicPr>
                  </pic:nvPicPr>
                  <pic:blipFill>
                    <a:blip r:embed="rId64"/>
                    <a:stretch>
                      <a:fillRect/>
                    </a:stretch>
                  </pic:blipFill>
                  <pic:spPr bwMode="auto">
                    <a:xfrm>
                      <a:off x="0" y="0"/>
                      <a:ext cx="3931919" cy="3538727"/>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bookmarkEnd w:id="67"/>
    <w:bookmarkEnd w:id="68"/>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2026-10-16T09:00:55Z</dcterms:created>
  <dcterms:modified xsi:type="dcterms:W3CDTF">2026-10-16T09:00:55Z</dcterms:modified>
</cp:coreProperties>
</file>

<file path=docProps/custom.xml><?xml version="1.0" encoding="utf-8"?>
<Properties xmlns="http://schemas.openxmlformats.org/officeDocument/2006/custom-properties" xmlns:vt="http://schemas.openxmlformats.org/officeDocument/2006/docPropsVTypes"/>
</file>