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2.png" ContentType="image/png"/>
  <Override PartName="/word/media/rId36.png" ContentType="image/png"/>
  <Override PartName="/word/media/rId39.png" ContentType="image/png"/>
  <Override PartName="/word/media/rId42.png" ContentType="image/png"/>
  <Override PartName="/word/media/rId54.png" ContentType="image/png"/>
  <Override PartName="/word/media/rId46.png" ContentType="image/png"/>
  <Override PartName="/word/media/rId49.png" ContentType="image/png"/>
  <Override PartName="/word/media/rId26.png" ContentType="image/png"/>
  <Override PartName="/word/media/rId37.png" ContentType="image/png"/>
  <Override PartName="/word/media/rId38.png" ContentType="image/png"/>
  <Override PartName="/word/media/rId39.png" ContentType="image/png"/>
  <Override PartName="/word/media/rId42.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8" w:name="Xb2a4a157712687ea76caa24e9e6d630db0597d8"/>
    <w:p>
      <w:pPr>
        <w:pStyle w:val="Heading1"/>
      </w:pPr>
      <w:r>
        <w:t xml:space="preserve">Predicting Indoor CO₂ Concentration from Sensor History and Building Occupancy</w:t>
      </w:r>
    </w:p>
    <w:p>
      <w:pPr>
        <w:pStyle w:val="FirstParagraph"/>
      </w:pPr>
      <w:r>
        <w:rPr>
          <w:bCs/>
          <w:b/>
        </w:rPr>
        <w:t xml:space="preserve">MMA3001 — Numerical Methods and Machine Learning, Project Report</w:t>
      </w:r>
      <w:r>
        <w:t xml:space="preserve"> </w:t>
      </w:r>
      <w:r>
        <w:rPr>
          <w:bCs/>
          <w:b/>
        </w:rPr>
        <w:t xml:space="preserve">Dataset:</w:t>
      </w:r>
      <w:r>
        <w:t xml:space="preserve"> </w:t>
      </w:r>
      <w:r>
        <w:t xml:space="preserve">MMA3001 Dataset 2 — Monash Smart Infrastructure Occupancy and Environmental Data</w:t>
      </w:r>
      <w:r>
        <w:t xml:space="preserve"> </w:t>
      </w:r>
      <w:r>
        <w:rPr>
          <w:bCs/>
          <w:b/>
        </w:rPr>
        <w:t xml:space="preserve">Repository:</w:t>
      </w:r>
      <w:r>
        <w:t xml:space="preserve"> </w:t>
      </w:r>
      <w:r>
        <w:t xml:space="preserve">https://github.com/tgup0010-bot/MMA3001_FINAL</w:t>
      </w:r>
    </w:p>
    <w:p>
      <w:r>
        <w:pict>
          <v:rect style="width:0;height:1.5pt" o:hralign="center" o:hrstd="t" o:hr="t"/>
        </w:pict>
      </w:r>
    </w:p>
    <w:bookmarkStart w:id="23" w:name="engineering-problem"/>
    <w:p>
      <w:pPr>
        <w:pStyle w:val="Heading2"/>
      </w:pPr>
      <w:r>
        <w:t xml:space="preserve">1. Engineering Problem</w:t>
      </w:r>
    </w:p>
    <w:bookmarkStart w:id="20" w:name="background"/>
    <w:p>
      <w:pPr>
        <w:pStyle w:val="Heading3"/>
      </w:pPr>
      <w:r>
        <w:t xml:space="preserve">1.1 Background</w:t>
      </w:r>
    </w:p>
    <w:p>
      <w:pPr>
        <w:pStyle w:val="FirstParagraph"/>
      </w:pPr>
      <w:r>
        <w:t xml:space="preserve">Indoor air quality in office buildings deteriorates primarily through the accumulation of carbon dioxide (CO₂). Human respiration releases CO₂ continuously at approximately 0.2–0.3 litres per minute per person. In an enclosed, well-mixed space, the indoor concentration evolves according to a first-order mass balance — the standard single-zone model used in ventilation engineering (Persily &amp; de Jonge, 2017):</w:t>
      </w:r>
    </w:p>
    <w:p>
      <w:pPr>
        <w:pStyle w:val="BodyText"/>
      </w:pPr>
      <m:oMathPara>
        <m:oMathParaPr>
          <m:jc m:val="center"/>
        </m:oMathParaPr>
        <m:oMath>
          <m:f>
            <m:fPr>
              <m:type m:val="bar"/>
            </m:fPr>
            <m:num>
              <m:r>
                <m:t>d</m:t>
              </m:r>
              <m:r>
                <m:t>C</m:t>
              </m:r>
            </m:num>
            <m:den>
              <m:r>
                <m:t>d</m:t>
              </m:r>
              <m:r>
                <m:t>t</m:t>
              </m:r>
            </m:den>
          </m:f>
          <m:r>
            <m:rPr>
              <m:sty m:val="p"/>
            </m:rPr>
            <m:t>=</m:t>
          </m:r>
          <m:f>
            <m:fPr>
              <m:type m:val="bar"/>
            </m:fPr>
            <m:num>
              <m:r>
                <m:t>G</m:t>
              </m:r>
              <m:r>
                <m:rPr>
                  <m:sty m:val="p"/>
                </m:rPr>
                <m:t>⋅</m:t>
              </m:r>
              <m:r>
                <m:t>N</m:t>
              </m:r>
            </m:num>
            <m:den>
              <m:r>
                <m:t>V</m:t>
              </m:r>
            </m:den>
          </m:f>
          <m:r>
            <m:rPr>
              <m:sty m:val="p"/>
            </m:rPr>
            <m:t>−</m:t>
          </m:r>
          <m:r>
            <m:t>λ</m:t>
          </m:r>
          <m:d>
            <m:dPr>
              <m:begChr m:val="("/>
              <m:endChr m:val=")"/>
              <m:sepChr m:val=""/>
              <m:grow/>
            </m:dPr>
            <m:e>
              <m:r>
                <m:t>C</m:t>
              </m:r>
              <m:r>
                <m:rPr>
                  <m:sty m:val="p"/>
                </m:rPr>
                <m:t>−</m:t>
              </m:r>
              <m:sSub>
                <m:e>
                  <m:r>
                    <m:t>C</m:t>
                  </m:r>
                </m:e>
                <m:sub>
                  <m:r>
                    <m:rPr>
                      <m:nor/>
                      <m:sty m:val="p"/>
                    </m:rPr>
                    <m:t>out</m:t>
                  </m:r>
                </m:sub>
              </m:sSub>
            </m:e>
          </m:d>
        </m:oMath>
      </m:oMathPara>
    </w:p>
    <w:p>
      <w:pPr>
        <w:pStyle w:val="FirstParagraph"/>
      </w:pPr>
      <w:r>
        <w:t xml:space="preserve">where</w:t>
      </w:r>
      <w:r>
        <w:t xml:space="preserve"> </w:t>
      </w:r>
      <m:oMath>
        <m:r>
          <m:t>C</m:t>
        </m:r>
      </m:oMath>
      <w:r>
        <w:t xml:space="preserve"> </w:t>
      </w:r>
      <w:r>
        <w:t xml:space="preserve">is indoor CO₂ concentration (ppm),</w:t>
      </w:r>
      <w:r>
        <w:t xml:space="preserve"> </w:t>
      </w:r>
      <m:oMath>
        <m:r>
          <m:t>G</m:t>
        </m:r>
      </m:oMath>
      <w:r>
        <w:t xml:space="preserve"> </w:t>
      </w:r>
      <w:r>
        <w:t xml:space="preserve">is the per-person CO₂ generation rate,</w:t>
      </w:r>
      <w:r>
        <w:t xml:space="preserve"> </w:t>
      </w:r>
      <m:oMath>
        <m:r>
          <m:t>N</m:t>
        </m:r>
      </m:oMath>
      <w:r>
        <w:t xml:space="preserve"> </w:t>
      </w:r>
      <w:r>
        <w:t xml:space="preserve">is the number of occupants,</w:t>
      </w:r>
      <w:r>
        <w:t xml:space="preserve"> </w:t>
      </w:r>
      <m:oMath>
        <m:r>
          <m:t>V</m:t>
        </m:r>
      </m:oMath>
      <w:r>
        <w:t xml:space="preserve"> </w:t>
      </w:r>
      <w:r>
        <w:t xml:space="preserve">is the room volume,</w:t>
      </w:r>
      <w:r>
        <w:t xml:space="preserve"> </w:t>
      </w:r>
      <m:oMath>
        <m:r>
          <m:t>λ</m:t>
        </m:r>
      </m:oMath>
      <w:r>
        <w:t xml:space="preserve"> </w:t>
      </w:r>
      <w:r>
        <w:t xml:space="preserve">is the ventilation rate (air changes per hour), and</w:t>
      </w:r>
      <w:r>
        <w:t xml:space="preserve"> </w:t>
      </w:r>
      <m:oMath>
        <m:sSub>
          <m:e>
            <m:r>
              <m:t>C</m:t>
            </m:r>
          </m:e>
          <m:sub>
            <m:r>
              <m:rPr>
                <m:nor/>
                <m:sty m:val="p"/>
              </m:rPr>
              <m:t>out</m:t>
            </m:r>
          </m:sub>
        </m:sSub>
      </m:oMath>
      <w:r>
        <w:t xml:space="preserve"> </w:t>
      </w:r>
      <w:r>
        <w:t xml:space="preserve">is the ambient outdoor concentration (approximately 420 ppm). When occupancy is high and ventilation is insufficient,</w:t>
      </w:r>
      <w:r>
        <w:t xml:space="preserve"> </w:t>
      </w:r>
      <m:oMath>
        <m:r>
          <m:t>C</m:t>
        </m:r>
      </m:oMath>
      <w:r>
        <w:t xml:space="preserve"> </w:t>
      </w:r>
      <w:r>
        <w:t xml:space="preserve">rises. When the HVAC system increases</w:t>
      </w:r>
      <w:r>
        <w:t xml:space="preserve"> </w:t>
      </w:r>
      <m:oMath>
        <m:r>
          <m:t>λ</m:t>
        </m:r>
      </m:oMath>
      <w:r>
        <w:t xml:space="preserve">,</w:t>
      </w:r>
      <w:r>
        <w:t xml:space="preserve"> </w:t>
      </w:r>
      <m:oMath>
        <m:r>
          <m:t>C</m:t>
        </m:r>
      </m:oMath>
      <w:r>
        <w:t xml:space="preserve"> </w:t>
      </w:r>
      <w:r>
        <w:t xml:space="preserve">falls.</w:t>
      </w:r>
    </w:p>
    <w:p>
      <w:pPr>
        <w:pStyle w:val="BodyText"/>
      </w:pPr>
      <w:r>
        <w:t xml:space="preserve">CO₂ concentration is therefore a direct, measurable proxy for both occupancy load and ventilation adequacy. A commonly used guideline, derived from earlier ASHRAE ventilation guidance, treats sustained indoor CO₂ above about 1000 ppm (roughly 700 ppm above outdoor levels) as a sign of inadequate ventilation. Satish et al. (2012) measured reductions in decision-making performance at 1000 ppm and larger effects at 2500 ppm, although later studies have not all replicated the effect.</w:t>
      </w:r>
    </w:p>
    <w:bookmarkEnd w:id="20"/>
    <w:bookmarkStart w:id="21" w:name="the-problem-being-solved"/>
    <w:p>
      <w:pPr>
        <w:pStyle w:val="Heading3"/>
      </w:pPr>
      <w:r>
        <w:t xml:space="preserve">1.2 The Problem Being Solved</w:t>
      </w:r>
    </w:p>
    <w:p>
      <w:pPr>
        <w:pStyle w:val="FirstParagraph"/>
      </w:pPr>
      <w:r>
        <w:t xml:space="preserve">Most building management systems control ventilation reactively: when CO₂ exceeds a threshold, ventilation increases. By then occupants are already breathing degraded air, and fans tend to overshoot to full capacity, using more energy than a smooth, anticipatory response.</w:t>
      </w:r>
    </w:p>
    <w:p>
      <w:pPr>
        <w:pStyle w:val="BodyText"/>
      </w:pPr>
      <w:r>
        <w:t xml:space="preserve">This project addresses the question:</w:t>
      </w:r>
      <w:r>
        <w:t xml:space="preserve"> </w:t>
      </w:r>
      <w:r>
        <w:rPr>
          <w:bCs/>
          <w:b/>
        </w:rPr>
        <w:t xml:space="preserve">can CO₂ concentration 15 minutes from now be predicted accurately from current sensor readings and building state?</w:t>
      </w:r>
      <w:r>
        <w:t xml:space="preserve"> </w:t>
      </w:r>
      <w:r>
        <w:t xml:space="preserve">A 15-minute forecast gives a building management system time to raise ventilation before a threshold is crossed. This is a</w:t>
      </w:r>
      <w:r>
        <w:t xml:space="preserve"> </w:t>
      </w:r>
      <w:r>
        <w:rPr>
          <w:bCs/>
          <w:b/>
        </w:rPr>
        <w:t xml:space="preserve">supervised regression problem</w:t>
      </w:r>
      <w:r>
        <w:t xml:space="preserve">: a function is learned from current measurements and engineered time features to one predicted CO₂ value. The four Week 5 regression methods are compared, and the value of building occupancy data is tested explicitly.</w:t>
      </w:r>
    </w:p>
    <w:bookmarkEnd w:id="21"/>
    <w:bookmarkStart w:id="22" w:name="scope"/>
    <w:p>
      <w:pPr>
        <w:pStyle w:val="Heading3"/>
      </w:pPr>
      <w:r>
        <w:t xml:space="preserve">1.3 Scope</w:t>
      </w:r>
    </w:p>
    <w:p>
      <w:pPr>
        <w:pStyle w:val="FirstParagraph"/>
      </w:pPr>
      <w:r>
        <w:t xml:space="preserve">The main analysis uses environmental sensor</w:t>
      </w:r>
      <w:r>
        <w:t xml:space="preserve"> </w:t>
      </w:r>
      <w:r>
        <w:rPr>
          <w:rStyle w:val="VerbatimChar"/>
        </w:rPr>
        <w:t xml:space="preserve">6012002000326</w:t>
      </w:r>
      <w:r>
        <w:t xml:space="preserve">, which has the longest record of genuine readings but no documented room (Section 6), limiting how well occupancy can be linked to it. Section 4.2 extends the analysis to every sensor’s usable intervals, adding sensor</w:t>
      </w:r>
      <w:r>
        <w:t xml:space="preserve"> </w:t>
      </w:r>
      <w:r>
        <w:rPr>
          <w:rStyle w:val="VerbatimChar"/>
        </w:rPr>
        <w:t xml:space="preserve">6012002000869</w:t>
      </w:r>
      <w:r>
        <w:t xml:space="preserve"> </w:t>
      </w:r>
      <w:r>
        <w:t xml:space="preserve">to test whether pooling sensors helps and whether a model transfers between rooms.</w:t>
      </w:r>
    </w:p>
    <w:p>
      <w:r>
        <w:pict>
          <v:rect style="width:0;height:1.5pt" o:hralign="center" o:hrstd="t" o:hr="t"/>
        </w:pict>
      </w:r>
    </w:p>
    <w:bookmarkEnd w:id="22"/>
    <w:bookmarkEnd w:id="23"/>
    <w:bookmarkStart w:id="31" w:name="inputs-and-outputs"/>
    <w:p>
      <w:pPr>
        <w:pStyle w:val="Heading2"/>
      </w:pPr>
      <w:r>
        <w:t xml:space="preserve">2. Inputs and Outputs</w:t>
      </w:r>
    </w:p>
    <w:bookmarkStart w:id="24" w:name="problem-formulation"/>
    <w:p>
      <w:pPr>
        <w:pStyle w:val="Heading3"/>
      </w:pPr>
      <w:r>
        <w:t xml:space="preserve">2.1 Problem Formulation</w:t>
      </w:r>
    </w:p>
    <w:p>
      <w:pPr>
        <w:pStyle w:val="FirstParagraph"/>
      </w:pPr>
      <w:r>
        <w:t xml:space="preserve">The prediction task can be stated formally as: learn a function</w:t>
      </w:r>
      <w:r>
        <w:t xml:space="preserve"> </w:t>
      </w:r>
      <m:oMath>
        <m:r>
          <m:t>f</m:t>
        </m:r>
      </m:oMath>
      <w:r>
        <w:t xml:space="preserve"> </w:t>
      </w:r>
      <w:r>
        <w:t xml:space="preserve">such that</w:t>
      </w:r>
    </w:p>
    <w:p>
      <w:pPr>
        <w:pStyle w:val="BodyText"/>
      </w:pPr>
      <m:oMathPara>
        <m:oMathParaPr>
          <m:jc m:val="center"/>
        </m:oMathParaPr>
        <m:oMath>
          <m:sSub>
            <m:e>
              <m:acc>
                <m:accPr>
                  <m:chr m:val="̂"/>
                </m:accPr>
                <m:e>
                  <m:r>
                    <m:t>C</m:t>
                  </m:r>
                </m:e>
              </m:acc>
            </m:e>
            <m:sub>
              <m:r>
                <m:t>t</m:t>
              </m:r>
              <m:r>
                <m:rPr>
                  <m:sty m:val="p"/>
                </m:rPr>
                <m:t>+</m:t>
              </m:r>
              <m:r>
                <m:t>1</m:t>
              </m:r>
            </m:sub>
          </m:sSub>
          <m:r>
            <m:rPr>
              <m:sty m:val="p"/>
            </m:rPr>
            <m:t>=</m:t>
          </m:r>
          <m:r>
            <m:t>f</m:t>
          </m:r>
          <m:r>
            <m:t>​</m:t>
          </m:r>
          <m:d>
            <m:dPr>
              <m:begChr m:val="("/>
              <m:endChr m:val=")"/>
              <m:sepChr m:val=""/>
              <m:grow/>
            </m:dPr>
            <m:e>
              <m:sSub>
                <m:e>
                  <m:r>
                    <m:t>C</m:t>
                  </m:r>
                </m:e>
                <m:sub>
                  <m:r>
                    <m:t>t</m:t>
                  </m:r>
                </m:sub>
              </m:sSub>
              <m:r>
                <m:rPr>
                  <m:sty m:val="p"/>
                </m:rPr>
                <m:t>,</m:t>
              </m:r>
              <m:r>
                <m:t> </m:t>
              </m:r>
              <m:sSub>
                <m:e>
                  <m:r>
                    <m:t>C</m:t>
                  </m:r>
                </m:e>
                <m:sub>
                  <m:r>
                    <m:t>t</m:t>
                  </m:r>
                  <m:r>
                    <m:rPr>
                      <m:sty m:val="p"/>
                    </m:rPr>
                    <m:t>−</m:t>
                  </m:r>
                  <m:r>
                    <m:t>1</m:t>
                  </m:r>
                </m:sub>
              </m:sSub>
              <m:r>
                <m:rPr>
                  <m:sty m:val="p"/>
                </m:rPr>
                <m:t>,</m:t>
              </m:r>
              <m:r>
                <m:t> </m:t>
              </m:r>
              <m:sSub>
                <m:e>
                  <m:acc>
                    <m:accPr>
                      <m:chr m:val="‾"/>
                    </m:accPr>
                    <m:e>
                      <m:r>
                        <m:t>C</m:t>
                      </m:r>
                    </m:e>
                  </m:acc>
                </m:e>
                <m:sub>
                  <m:r>
                    <m:t>t</m:t>
                  </m:r>
                  <m:r>
                    <m:rPr>
                      <m:sty m:val="p"/>
                    </m:rPr>
                    <m:t>−</m:t>
                  </m:r>
                  <m:r>
                    <m:t>1</m:t>
                  </m:r>
                  <m:r>
                    <m:rPr>
                      <m:nor/>
                      <m:sty m:val="p"/>
                    </m:rPr>
                    <m:t>h</m:t>
                  </m:r>
                </m:sub>
              </m:sSub>
              <m:r>
                <m:rPr>
                  <m:sty m:val="p"/>
                </m:rPr>
                <m:t>,</m:t>
              </m:r>
              <m:r>
                <m:t> </m:t>
              </m:r>
              <m:sSub>
                <m:e>
                  <m:r>
                    <m:t>O</m:t>
                  </m:r>
                </m:e>
                <m:sub>
                  <m:r>
                    <m:t>t</m:t>
                  </m:r>
                </m:sub>
              </m:sSub>
              <m:r>
                <m:rPr>
                  <m:sty m:val="p"/>
                </m:rPr>
                <m:t>,</m:t>
              </m:r>
              <m:r>
                <m:t> </m:t>
              </m:r>
              <m:sSub>
                <m:e>
                  <m:r>
                    <m:t>τ</m:t>
                  </m:r>
                </m:e>
                <m:sub>
                  <m:r>
                    <m:t>t</m:t>
                  </m:r>
                </m:sub>
              </m:sSub>
            </m:e>
          </m:d>
        </m:oMath>
      </m:oMathPara>
    </w:p>
    <w:p>
      <w:pPr>
        <w:pStyle w:val="FirstParagraph"/>
      </w:pPr>
      <w:r>
        <w:t xml:space="preserve">where</w:t>
      </w:r>
      <w:r>
        <w:t xml:space="preserve"> </w:t>
      </w:r>
      <m:oMath>
        <m:sSub>
          <m:e>
            <m:r>
              <m:t>C</m:t>
            </m:r>
          </m:e>
          <m:sub>
            <m:r>
              <m:t>t</m:t>
            </m:r>
          </m:sub>
        </m:sSub>
      </m:oMath>
      <w:r>
        <w:t xml:space="preserve"> </w:t>
      </w:r>
      <w:r>
        <w:t xml:space="preserve">is the current CO₂ reading,</w:t>
      </w:r>
      <w:r>
        <w:t xml:space="preserve"> </w:t>
      </w:r>
      <m:oMath>
        <m:sSub>
          <m:e>
            <m:r>
              <m:t>C</m:t>
            </m:r>
          </m:e>
          <m:sub>
            <m:r>
              <m:t>t</m:t>
            </m:r>
            <m:r>
              <m:rPr>
                <m:sty m:val="p"/>
              </m:rPr>
              <m:t>−</m:t>
            </m:r>
            <m:r>
              <m:t>1</m:t>
            </m:r>
          </m:sub>
        </m:sSub>
      </m:oMath>
      <w:r>
        <w:t xml:space="preserve"> </w:t>
      </w:r>
      <w:r>
        <w:t xml:space="preserve">is the reading from 15 minutes ago,</w:t>
      </w:r>
      <w:r>
        <w:t xml:space="preserve"> </w:t>
      </w:r>
      <m:oMath>
        <m:sSub>
          <m:e>
            <m:acc>
              <m:accPr>
                <m:chr m:val="‾"/>
              </m:accPr>
              <m:e>
                <m:r>
                  <m:t>C</m:t>
                </m:r>
              </m:e>
            </m:acc>
          </m:e>
          <m:sub>
            <m:r>
              <m:t>t</m:t>
            </m:r>
            <m:r>
              <m:rPr>
                <m:sty m:val="p"/>
              </m:rPr>
              <m:t>−</m:t>
            </m:r>
            <m:r>
              <m:t>1</m:t>
            </m:r>
            <m:r>
              <m:rPr>
                <m:nor/>
                <m:sty m:val="p"/>
              </m:rPr>
              <m:t>h</m:t>
            </m:r>
          </m:sub>
        </m:sSub>
      </m:oMath>
      <w:r>
        <w:t xml:space="preserve"> </w:t>
      </w:r>
      <w:r>
        <w:t xml:space="preserve">is the 1-hour rolling mean,</w:t>
      </w:r>
      <w:r>
        <w:t xml:space="preserve"> </w:t>
      </w:r>
      <m:oMath>
        <m:sSub>
          <m:e>
            <m:r>
              <m:t>O</m:t>
            </m:r>
          </m:e>
          <m:sub>
            <m:r>
              <m:t>t</m:t>
            </m:r>
          </m:sub>
        </m:sSub>
      </m:oMath>
      <w:r>
        <w:t xml:space="preserve"> </w:t>
      </w:r>
      <w:r>
        <w:t xml:space="preserve">is the number of occupied building zones at time</w:t>
      </w:r>
      <w:r>
        <w:t xml:space="preserve"> </w:t>
      </w:r>
      <m:oMath>
        <m:r>
          <m:t>t</m:t>
        </m:r>
      </m:oMath>
      <w:r>
        <w:t xml:space="preserve">, and</w:t>
      </w:r>
      <w:r>
        <w:t xml:space="preserve"> </w:t>
      </w:r>
      <m:oMath>
        <m:sSub>
          <m:e>
            <m:r>
              <m:t>τ</m:t>
            </m:r>
          </m:e>
          <m:sub>
            <m:r>
              <m:t>t</m:t>
            </m:r>
          </m:sub>
        </m:sSub>
      </m:oMath>
      <w:r>
        <w:t xml:space="preserve"> </w:t>
      </w:r>
      <w:r>
        <w:t xml:space="preserve">encodes the temporal context (time of day, day of week). The output</w:t>
      </w:r>
      <w:r>
        <w:t xml:space="preserve"> </w:t>
      </w:r>
      <m:oMath>
        <m:sSub>
          <m:e>
            <m:acc>
              <m:accPr>
                <m:chr m:val="̂"/>
              </m:accPr>
              <m:e>
                <m:r>
                  <m:t>C</m:t>
                </m:r>
              </m:e>
            </m:acc>
          </m:e>
          <m:sub>
            <m:r>
              <m:t>t</m:t>
            </m:r>
            <m:r>
              <m:rPr>
                <m:sty m:val="p"/>
              </m:rPr>
              <m:t>+</m:t>
            </m:r>
            <m:r>
              <m:t>1</m:t>
            </m:r>
          </m:sub>
        </m:sSub>
      </m:oMath>
      <w:r>
        <w:t xml:space="preserve"> </w:t>
      </w:r>
      <w:r>
        <w:t xml:space="preserve">is the predicted CO₂ concentration one 15-minute bin (15 minutes) ahead.</w:t>
      </w:r>
    </w:p>
    <w:p>
      <w:pPr>
        <w:pStyle w:val="BodyText"/>
      </w:pPr>
      <w:r>
        <w:t xml:space="preserve">This formulation uses CO₂ as an</w:t>
      </w:r>
      <w:r>
        <w:t xml:space="preserve"> </w:t>
      </w:r>
      <w:r>
        <w:rPr>
          <w:bCs/>
          <w:b/>
        </w:rPr>
        <w:t xml:space="preserve">autoregressive</w:t>
      </w:r>
      <w:r>
        <w:t xml:space="preserve"> </w:t>
      </w:r>
      <w:r>
        <w:t xml:space="preserve">predictor of itself. The physical justification comes from the mass-balance equation: solving it over one 15-minute step</w:t>
      </w:r>
      <w:r>
        <w:t xml:space="preserve"> </w:t>
      </w:r>
      <m:oMath>
        <m:r>
          <m:t>Δ</m:t>
        </m:r>
        <m:r>
          <m:t>t</m:t>
        </m:r>
      </m:oMath>
      <w:r>
        <w:t xml:space="preserve"> </w:t>
      </w:r>
      <w:r>
        <w:t xml:space="preserve">with occupancy and ventilation held constant gives</w:t>
      </w:r>
      <w:r>
        <w:t xml:space="preserve"> </w:t>
      </w:r>
      <m:oMath>
        <m:sSub>
          <m:e>
            <m:r>
              <m:t>C</m:t>
            </m:r>
          </m:e>
          <m:sub>
            <m:r>
              <m:t>t</m:t>
            </m:r>
            <m:r>
              <m:rPr>
                <m:sty m:val="p"/>
              </m:rPr>
              <m:t>+</m:t>
            </m:r>
            <m:r>
              <m:t>1</m:t>
            </m:r>
          </m:sub>
        </m:sSub>
        <m:r>
          <m:rPr>
            <m:sty m:val="p"/>
          </m:rPr>
          <m:t>=</m:t>
        </m:r>
        <m:sSup>
          <m:e>
            <m:r>
              <m:t>e</m:t>
            </m:r>
          </m:e>
          <m:sup>
            <m:r>
              <m:rPr>
                <m:sty m:val="p"/>
              </m:rPr>
              <m:t>−</m:t>
            </m:r>
            <m:r>
              <m:t>λ</m:t>
            </m:r>
            <m:r>
              <m:t>Δ</m:t>
            </m:r>
            <m:r>
              <m:t>t</m:t>
            </m:r>
          </m:sup>
        </m:sSup>
        <m:r>
          <m:t> </m:t>
        </m:r>
        <m:sSub>
          <m:e>
            <m:r>
              <m:t>C</m:t>
            </m:r>
          </m:e>
          <m:sub>
            <m:r>
              <m:t>t</m:t>
            </m:r>
          </m:sub>
        </m:sSub>
        <m:r>
          <m:rPr>
            <m:sty m:val="p"/>
          </m:rPr>
          <m:t>+</m:t>
        </m:r>
        <m:d>
          <m:dPr>
            <m:begChr m:val="("/>
            <m:endChr m:val=")"/>
            <m:sepChr m:val=""/>
            <m:grow/>
          </m:dPr>
          <m:e>
            <m:r>
              <m:t>1</m:t>
            </m:r>
            <m:r>
              <m:rPr>
                <m:sty m:val="p"/>
              </m:rPr>
              <m:t>−</m:t>
            </m:r>
            <m:sSup>
              <m:e>
                <m:r>
                  <m:t>e</m:t>
                </m:r>
              </m:e>
              <m:sup>
                <m:r>
                  <m:rPr>
                    <m:sty m:val="p"/>
                  </m:rPr>
                  <m:t>−</m:t>
                </m:r>
                <m:r>
                  <m:t>λ</m:t>
                </m:r>
                <m:r>
                  <m:t>Δ</m:t>
                </m:r>
                <m:r>
                  <m:t>t</m:t>
                </m:r>
              </m:sup>
            </m:sSup>
          </m:e>
        </m:d>
        <m:r>
          <m:t> </m:t>
        </m:r>
        <m:sSub>
          <m:e>
            <m:r>
              <m:t>C</m:t>
            </m:r>
          </m:e>
          <m:sub>
            <m:r>
              <m:t>s</m:t>
            </m:r>
            <m:r>
              <m:t>s</m:t>
            </m:r>
          </m:sub>
        </m:sSub>
      </m:oMath>
      <w:r>
        <w:t xml:space="preserve">, where</w:t>
      </w:r>
      <w:r>
        <w:t xml:space="preserve"> </w:t>
      </w:r>
      <m:oMath>
        <m:sSub>
          <m:e>
            <m:r>
              <m:t>C</m:t>
            </m:r>
          </m:e>
          <m:sub>
            <m:r>
              <m:t>s</m:t>
            </m:r>
            <m:r>
              <m:t>s</m:t>
            </m:r>
          </m:sub>
        </m:sSub>
        <m:r>
          <m:rPr>
            <m:sty m:val="p"/>
          </m:rPr>
          <m:t>=</m:t>
        </m:r>
        <m:sSub>
          <m:e>
            <m:r>
              <m:t>C</m:t>
            </m:r>
          </m:e>
          <m:sub>
            <m:r>
              <m:rPr>
                <m:nor/>
                <m:sty m:val="p"/>
              </m:rPr>
              <m:t>out</m:t>
            </m:r>
          </m:sub>
        </m:sSub>
        <m:r>
          <m:rPr>
            <m:sty m:val="p"/>
          </m:rPr>
          <m:t>+</m:t>
        </m:r>
        <m:r>
          <m:t>G</m:t>
        </m:r>
        <m:r>
          <m:t>N</m:t>
        </m:r>
        <m:r>
          <m:rPr>
            <m:sty m:val="p"/>
          </m:rPr>
          <m:t>/</m:t>
        </m:r>
        <m:d>
          <m:dPr>
            <m:begChr m:val="("/>
            <m:endChr m:val=")"/>
            <m:sepChr m:val=""/>
            <m:grow/>
          </m:dPr>
          <m:e>
            <m:r>
              <m:t>λ</m:t>
            </m:r>
            <m:r>
              <m:t>V</m:t>
            </m:r>
          </m:e>
        </m:d>
      </m:oMath>
      <w:r>
        <w:t xml:space="preserve"> </w:t>
      </w:r>
      <w:r>
        <w:t xml:space="preserve">is the steady-state level. The next value is a scaled copy of the current one plus a term that depends on occupancy and ventilation — so the current level, its recent trend and the time of day (a proxy for the occupancy and ventilation schedule) are the natural inputs. With a typical</w:t>
      </w:r>
      <w:r>
        <w:t xml:space="preserve"> </w:t>
      </w:r>
      <m:oMath>
        <m:r>
          <m:t>λ</m:t>
        </m:r>
      </m:oMath>
      <w:r>
        <w:t xml:space="preserve"> </w:t>
      </w:r>
      <w:r>
        <w:t xml:space="preserve">of about 2 air changes per hour, the room’s time constant</w:t>
      </w:r>
      <w:r>
        <w:t xml:space="preserve"> </w:t>
      </w:r>
      <m:oMath>
        <m:r>
          <m:t>1</m:t>
        </m:r>
        <m:r>
          <m:rPr>
            <m:sty m:val="p"/>
          </m:rPr>
          <m:t>/</m:t>
        </m:r>
        <m:r>
          <m:t>λ</m:t>
        </m:r>
      </m:oMath>
      <w:r>
        <w:t xml:space="preserve"> </w:t>
      </w:r>
      <w:r>
        <w:t xml:space="preserve">is about 30 minutes, which is why a 15-minute horizon is both actionable and predictable from recent history.</w:t>
      </w:r>
    </w:p>
    <w:bookmarkEnd w:id="24"/>
    <w:bookmarkStart w:id="25" w:name="input-features"/>
    <w:p>
      <w:pPr>
        <w:pStyle w:val="Heading3"/>
      </w:pPr>
      <w:r>
        <w:t xml:space="preserve">2.2 Input Features</w:t>
      </w:r>
    </w:p>
    <w:tbl>
      <w:tblPr>
        <w:tblStyle w:val="Table"/>
        <w:tblW w:type="pct" w:w="5000"/>
        <w:tblLook w:firstRow="1" w:lastRow="0" w:firstColumn="0" w:lastColumn="0" w:noHBand="0" w:noVBand="0" w:val="0020"/>
        <w:jc w:val="start"/>
      </w:tblPr>
      <w:tblGrid>
        <w:gridCol w:w="1466"/>
        <w:gridCol w:w="1026"/>
        <w:gridCol w:w="733"/>
        <w:gridCol w:w="4693"/>
      </w:tblGrid>
      <w:tr>
        <w:trPr>
          <w:tblHeader w:val="true"/>
        </w:trPr>
        <w:tc>
          <w:tcPr/>
          <w:p>
            <w:pPr>
              <w:pStyle w:val="Compact"/>
              <w:jc w:val="left"/>
            </w:pPr>
            <w:r>
              <w:t xml:space="preserve">Feature</w:t>
            </w:r>
          </w:p>
        </w:tc>
        <w:tc>
          <w:tcPr/>
          <w:p>
            <w:pPr>
              <w:pStyle w:val="Compact"/>
              <w:jc w:val="left"/>
            </w:pPr>
            <w:r>
              <w:t xml:space="preserve">Units / Type</w:t>
            </w:r>
          </w:p>
        </w:tc>
        <w:tc>
          <w:tcPr/>
          <w:p>
            <w:pPr>
              <w:pStyle w:val="Compact"/>
              <w:jc w:val="left"/>
            </w:pPr>
            <w:r>
              <w:t xml:space="preserve">Domain</w:t>
            </w:r>
          </w:p>
        </w:tc>
        <w:tc>
          <w:tcPr/>
          <w:p>
            <w:pPr>
              <w:pStyle w:val="Compact"/>
              <w:jc w:val="left"/>
            </w:pPr>
            <w:r>
              <w:t xml:space="preserve">Description</w:t>
            </w:r>
          </w:p>
        </w:tc>
      </w:tr>
      <w:tr>
        <w:tc>
          <w:tcPr/>
          <w:p>
            <w:pPr>
              <w:pStyle w:val="Compact"/>
              <w:jc w:val="left"/>
            </w:pPr>
            <w:r>
              <w:rPr>
                <w:rStyle w:val="VerbatimChar"/>
              </w:rPr>
              <w:t xml:space="preserve">co2_now</w:t>
            </w:r>
          </w:p>
        </w:tc>
        <w:tc>
          <w:tcPr/>
          <w:p>
            <w:pPr>
              <w:pStyle w:val="Compact"/>
              <w:jc w:val="left"/>
            </w:pPr>
            <w:r>
              <w:t xml:space="preserve">ppm, continuous</w:t>
            </w:r>
          </w:p>
        </w:tc>
        <w:tc>
          <w:tcPr/>
          <w:p>
            <w:pPr>
              <w:pStyle w:val="Compact"/>
              <w:jc w:val="left"/>
            </w:pPr>
            <w:r>
              <w:t xml:space="preserve">400–5000</w:t>
            </w:r>
          </w:p>
        </w:tc>
        <w:tc>
          <w:tcPr/>
          <w:p>
            <w:pPr>
              <w:pStyle w:val="Compact"/>
              <w:jc w:val="left"/>
            </w:pPr>
            <w:r>
              <w:t xml:space="preserve">CO₂ at the current 15-minute bin. The strongest single predictor of the next reading, because CO₂ dynamics are strongly autoregressive over short horizons.</w:t>
            </w:r>
          </w:p>
        </w:tc>
      </w:tr>
      <w:tr>
        <w:tc>
          <w:tcPr/>
          <w:p>
            <w:pPr>
              <w:pStyle w:val="Compact"/>
              <w:jc w:val="left"/>
            </w:pPr>
            <w:r>
              <w:rPr>
                <w:rStyle w:val="VerbatimChar"/>
              </w:rPr>
              <w:t xml:space="preserve">co2_lag1</w:t>
            </w:r>
          </w:p>
        </w:tc>
        <w:tc>
          <w:tcPr/>
          <w:p>
            <w:pPr>
              <w:pStyle w:val="Compact"/>
              <w:jc w:val="left"/>
            </w:pPr>
            <w:r>
              <w:t xml:space="preserve">ppm, continuous</w:t>
            </w:r>
          </w:p>
        </w:tc>
        <w:tc>
          <w:tcPr/>
          <w:p>
            <w:pPr>
              <w:pStyle w:val="Compact"/>
              <w:jc w:val="left"/>
            </w:pPr>
            <w:r>
              <w:t xml:space="preserve">400–5000</w:t>
            </w:r>
          </w:p>
        </w:tc>
        <w:tc>
          <w:tcPr/>
          <w:p>
            <w:pPr>
              <w:pStyle w:val="Compact"/>
              <w:jc w:val="left"/>
            </w:pPr>
            <w:r>
              <w:t xml:space="preserve">CO₂ from 15 minutes ago. Combined with</w:t>
            </w:r>
            <w:r>
              <w:t xml:space="preserve"> </w:t>
            </w:r>
            <w:r>
              <w:rPr>
                <w:rStyle w:val="VerbatimChar"/>
              </w:rPr>
              <w:t xml:space="preserve">co2_now</w:t>
            </w:r>
            <w:r>
              <w:t xml:space="preserve">, this gives the average rate of change over the last 15 minutes (a backward finite difference) — whether CO₂ is rising, falling, or stable at the moment of prediction.</w:t>
            </w:r>
          </w:p>
        </w:tc>
      </w:tr>
      <w:tr>
        <w:tc>
          <w:tcPr/>
          <w:p>
            <w:pPr>
              <w:pStyle w:val="Compact"/>
              <w:jc w:val="left"/>
            </w:pPr>
            <w:r>
              <w:rPr>
                <w:rStyle w:val="VerbatimChar"/>
              </w:rPr>
              <w:t xml:space="preserve">co2_rolling_1h</w:t>
            </w:r>
          </w:p>
        </w:tc>
        <w:tc>
          <w:tcPr/>
          <w:p>
            <w:pPr>
              <w:pStyle w:val="Compact"/>
              <w:jc w:val="left"/>
            </w:pPr>
            <w:r>
              <w:t xml:space="preserve">ppm, continuous</w:t>
            </w:r>
          </w:p>
        </w:tc>
        <w:tc>
          <w:tcPr/>
          <w:p>
            <w:pPr>
              <w:pStyle w:val="Compact"/>
              <w:jc w:val="left"/>
            </w:pPr>
            <w:r>
              <w:t xml:space="preserve">400–5000</w:t>
            </w:r>
          </w:p>
        </w:tc>
        <w:tc>
          <w:tcPr/>
          <w:p>
            <w:pPr>
              <w:pStyle w:val="Compact"/>
              <w:jc w:val="left"/>
            </w:pPr>
            <w:r>
              <w:t xml:space="preserve">Mean of the last four 15-minute bins, including the current one (the hour ending now). Captures the medium-term trend — whether CO₂ has been consistently rising through the morning, plateauing, or declining as ventilation increases.</w:t>
            </w:r>
          </w:p>
        </w:tc>
      </w:tr>
      <w:tr>
        <w:tc>
          <w:tcPr/>
          <w:p>
            <w:pPr>
              <w:pStyle w:val="Compact"/>
              <w:jc w:val="left"/>
            </w:pPr>
            <w:r>
              <w:rPr>
                <w:rStyle w:val="VerbatimChar"/>
              </w:rPr>
              <w:t xml:space="preserve">building_occupancy</w:t>
            </w:r>
          </w:p>
        </w:tc>
        <w:tc>
          <w:tcPr/>
          <w:p>
            <w:pPr>
              <w:pStyle w:val="Compact"/>
              <w:jc w:val="left"/>
            </w:pPr>
            <w:r>
              <w:t xml:space="preserve">integer, discrete</w:t>
            </w:r>
          </w:p>
        </w:tc>
        <w:tc>
          <w:tcPr/>
          <w:p>
            <w:pPr>
              <w:pStyle w:val="Compact"/>
              <w:jc w:val="left"/>
            </w:pPr>
            <w:r>
              <w:t xml:space="preserve">0–5</w:t>
            </w:r>
          </w:p>
        </w:tc>
        <w:tc>
          <w:tcPr/>
          <w:p>
            <w:pPr>
              <w:pStyle w:val="Compact"/>
              <w:jc w:val="left"/>
            </w:pPr>
            <w:r>
              <w:t xml:space="preserve">Number of the five monitored occupancy zones currently occupied. Included because, from the mass-balance equation,</w:t>
            </w:r>
            <w:r>
              <w:t xml:space="preserve"> </w:t>
            </w:r>
            <m:oMath>
              <m:r>
                <m:t>N</m:t>
              </m:r>
            </m:oMath>
            <w:r>
              <w:t xml:space="preserve"> </w:t>
            </w:r>
            <w:r>
              <w:t xml:space="preserve">directly drives CO₂ generation. Whether this variable is actually useful depends on whether the sensor is co-located with a monitored zone — this is tested empirically in Section 4.</w:t>
            </w:r>
          </w:p>
        </w:tc>
      </w:tr>
      <w:tr>
        <w:tc>
          <w:tcPr/>
          <w:p>
            <w:pPr>
              <w:pStyle w:val="Compact"/>
              <w:jc w:val="left"/>
            </w:pPr>
            <w:r>
              <w:rPr>
                <w:rStyle w:val="VerbatimChar"/>
              </w:rPr>
              <w:t xml:space="preserve">hour_sin</w:t>
            </w:r>
            <w:r>
              <w:t xml:space="preserve">,</w:t>
            </w:r>
            <w:r>
              <w:t xml:space="preserve"> </w:t>
            </w:r>
            <w:r>
              <w:rPr>
                <w:rStyle w:val="VerbatimChar"/>
              </w:rPr>
              <w:t xml:space="preserve">hour_cos</w:t>
            </w:r>
          </w:p>
        </w:tc>
        <w:tc>
          <w:tcPr/>
          <w:p>
            <w:pPr>
              <w:pStyle w:val="Compact"/>
              <w:jc w:val="left"/>
            </w:pPr>
            <w:r>
              <w:t xml:space="preserve">float, continuous</w:t>
            </w:r>
          </w:p>
        </w:tc>
        <w:tc>
          <w:tcPr/>
          <w:p>
            <w:pPr>
              <w:pStyle w:val="Compact"/>
              <w:jc w:val="left"/>
            </w:pPr>
            <w:r>
              <w:t xml:space="preserve">−1 to +1</w:t>
            </w:r>
          </w:p>
        </w:tc>
        <w:tc>
          <w:tcPr/>
          <w:p>
            <w:pPr>
              <w:pStyle w:val="Compact"/>
              <w:jc w:val="left"/>
            </w:pPr>
            <w:r>
              <w:t xml:space="preserve">Cyclic encoding of hour-of-day:</w:t>
            </w:r>
            <w:r>
              <w:t xml:space="preserve"> </w:t>
            </w:r>
            <m:oMath>
              <m:d>
                <m:dPr>
                  <m:begChr m:val="("/>
                  <m:endChr m:val=")"/>
                  <m:sepChr m:val=""/>
                  <m:grow/>
                </m:dPr>
                <m:e>
                  <m:r>
                    <m:rPr>
                      <m:sty m:val="p"/>
                    </m:rPr>
                    <m:t>sin</m:t>
                  </m:r>
                  <m:d>
                    <m:dPr>
                      <m:begChr m:val="("/>
                      <m:endChr m:val=")"/>
                      <m:sepChr m:val=""/>
                      <m:grow/>
                    </m:dPr>
                    <m:e>
                      <m:r>
                        <m:t>2</m:t>
                      </m:r>
                      <m:r>
                        <m:t>π</m:t>
                      </m:r>
                      <m:r>
                        <m:t>h</m:t>
                      </m:r>
                      <m:r>
                        <m:rPr>
                          <m:sty m:val="p"/>
                        </m:rPr>
                        <m:t>/</m:t>
                      </m:r>
                      <m:r>
                        <m:t>24</m:t>
                      </m:r>
                    </m:e>
                  </m:d>
                  <m:r>
                    <m:rPr>
                      <m:sty m:val="p"/>
                    </m:rPr>
                    <m:t>,</m:t>
                  </m:r>
                  <m:r>
                    <m:t> </m:t>
                  </m:r>
                  <m:r>
                    <m:rPr>
                      <m:sty m:val="p"/>
                    </m:rPr>
                    <m:t>cos</m:t>
                  </m:r>
                  <m:d>
                    <m:dPr>
                      <m:begChr m:val="("/>
                      <m:endChr m:val=")"/>
                      <m:sepChr m:val=""/>
                      <m:grow/>
                    </m:dPr>
                    <m:e>
                      <m:r>
                        <m:t>2</m:t>
                      </m:r>
                      <m:r>
                        <m:t>π</m:t>
                      </m:r>
                      <m:r>
                        <m:t>h</m:t>
                      </m:r>
                      <m:r>
                        <m:rPr>
                          <m:sty m:val="p"/>
                        </m:rPr>
                        <m:t>/</m:t>
                      </m:r>
                      <m:r>
                        <m:t>24</m:t>
                      </m:r>
                    </m:e>
                  </m:d>
                </m:e>
              </m:d>
            </m:oMath>
            <w:r>
              <w:t xml:space="preserve">. A plain integer hour would represent hour 23 and hour 0 as 23 steps apart; this encoding preserves the fact that they are actually 1 hour apart on a 24-hour cycle.</w:t>
            </w:r>
          </w:p>
        </w:tc>
      </w:tr>
      <w:tr>
        <w:tc>
          <w:tcPr/>
          <w:p>
            <w:pPr>
              <w:pStyle w:val="Compact"/>
              <w:jc w:val="left"/>
            </w:pPr>
            <w:r>
              <w:rPr>
                <w:rStyle w:val="VerbatimChar"/>
              </w:rPr>
              <w:t xml:space="preserve">dow_sin</w:t>
            </w:r>
            <w:r>
              <w:t xml:space="preserve">,</w:t>
            </w:r>
            <w:r>
              <w:t xml:space="preserve"> </w:t>
            </w:r>
            <w:r>
              <w:rPr>
                <w:rStyle w:val="VerbatimChar"/>
              </w:rPr>
              <w:t xml:space="preserve">dow_cos</w:t>
            </w:r>
          </w:p>
        </w:tc>
        <w:tc>
          <w:tcPr/>
          <w:p>
            <w:pPr>
              <w:pStyle w:val="Compact"/>
              <w:jc w:val="left"/>
            </w:pPr>
            <w:r>
              <w:t xml:space="preserve">float, continuous</w:t>
            </w:r>
          </w:p>
        </w:tc>
        <w:tc>
          <w:tcPr/>
          <w:p>
            <w:pPr>
              <w:pStyle w:val="Compact"/>
              <w:jc w:val="left"/>
            </w:pPr>
            <w:r>
              <w:t xml:space="preserve">−1 to +1</w:t>
            </w:r>
          </w:p>
        </w:tc>
        <w:tc>
          <w:tcPr/>
          <w:p>
            <w:pPr>
              <w:pStyle w:val="Compact"/>
              <w:jc w:val="left"/>
            </w:pPr>
            <w:r>
              <w:t xml:space="preserve">Cyclic encoding of day-of-week, for the same reason. Different weekdays carry different occupancy and ventilation patterns.</w:t>
            </w:r>
          </w:p>
        </w:tc>
      </w:tr>
      <w:tr>
        <w:tc>
          <w:tcPr/>
          <w:p>
            <w:pPr>
              <w:pStyle w:val="Compact"/>
              <w:jc w:val="left"/>
            </w:pPr>
            <w:r>
              <w:rPr>
                <w:rStyle w:val="VerbatimChar"/>
              </w:rPr>
              <w:t xml:space="preserve">is_weekend</w:t>
            </w:r>
          </w:p>
        </w:tc>
        <w:tc>
          <w:tcPr/>
          <w:p>
            <w:pPr>
              <w:pStyle w:val="Compact"/>
              <w:jc w:val="left"/>
            </w:pPr>
            <w:r>
              <w:t xml:space="preserve">binary</w:t>
            </w:r>
          </w:p>
        </w:tc>
        <w:tc>
          <w:tcPr/>
          <w:p>
            <w:pPr>
              <w:pStyle w:val="Compact"/>
              <w:jc w:val="left"/>
            </w:pPr>
            <w:r>
              <w:t xml:space="preserve">{0, 1}</w:t>
            </w:r>
          </w:p>
        </w:tc>
        <w:tc>
          <w:tcPr/>
          <w:p>
            <w:pPr>
              <w:pStyle w:val="Compact"/>
              <w:jc w:val="left"/>
            </w:pPr>
            <w:r>
              <w:t xml:space="preserve">1 if Saturday or Sunday, computed from each row’s timestamp. Included because weekend occupancy and ventilation are expected to differ, and a binary flag makes that easy for linear models to learn. For this sensor the expected difference does not appear: weekday and weekend CO₂ are the same (Section 4).</w:t>
            </w:r>
          </w:p>
        </w:tc>
      </w:tr>
    </w:tbl>
    <w:p>
      <w:pPr>
        <w:pStyle w:val="BodyText"/>
      </w:pPr>
      <w:r>
        <w:rPr>
          <w:bCs/>
          <w:b/>
        </w:rPr>
        <w:t xml:space="preserve">Total:</w:t>
      </w:r>
      <w:r>
        <w:t xml:space="preserve"> </w:t>
      </w:r>
      <w:r>
        <w:t xml:space="preserve">9 features (each cyclic pair contributes two).</w:t>
      </w:r>
    </w:p>
    <w:bookmarkEnd w:id="25"/>
    <w:bookmarkStart w:id="29" w:name="handling-missing-and-invalid-inputs"/>
    <w:p>
      <w:pPr>
        <w:pStyle w:val="Heading3"/>
      </w:pPr>
      <w:r>
        <w:t xml:space="preserve">2.3 Handling Missing and Invalid Inputs</w:t>
      </w:r>
    </w:p>
    <w:p>
      <w:pPr>
        <w:pStyle w:val="FirstParagraph"/>
      </w:pPr>
      <w:r>
        <w:t xml:space="preserve">The dominant data loss is a 636-day gap in genuine readings (11 December 2023 to 7 September 2025); for about eight months of it the sensor re-sent one stale packet every 11 minutes (Section 6). Genuine readings run from 7 September 2025 to 22 April 2026. Any row with a missing input or target is</w:t>
      </w:r>
      <w:r>
        <w:t xml:space="preserve"> </w:t>
      </w:r>
      <w:r>
        <w:rPr>
          <w:bCs/>
          <w:b/>
        </w:rPr>
        <w:t xml:space="preserve">dropped</w:t>
      </w:r>
      <w:r>
        <w:t xml:space="preserve">, never filled: imputing across a 636-day gap would invent hundreds of thousands of readings.</w:t>
      </w:r>
    </w:p>
    <w:p>
      <w:pPr>
        <w:pStyle w:val="BodyText"/>
      </w:pPr>
      <w:r>
        <w:t xml:space="preserve">Of 84,576 candidate 15-minute timestamps in the raw log, 17,010 (20.1%) have all nine inputs and the target present and are retained for modelling. The remaining 67,566 rows (79.9%) are dropped.</w:t>
      </w:r>
    </w:p>
    <w:p>
      <w:pPr>
        <w:pStyle w:val="CaptionedFigure"/>
      </w:pPr>
      <w:r>
        <w:drawing>
          <wp:inline>
            <wp:extent cx="3291840" cy="1611195"/>
            <wp:effectExtent b="0" l="0" r="0" t="0"/>
            <wp:docPr descr="Data pipeline: raw candidate timestamps versus dropped rows versus rows retained for modelling" title="" id="27" name="Picture"/>
            <a:graphic>
              <a:graphicData uri="http://schemas.openxmlformats.org/drawingml/2006/picture">
                <pic:pic>
                  <pic:nvPicPr>
                    <pic:cNvPr descr="chart_data_pipeline.png" id="28" name="Picture"/>
                    <pic:cNvPicPr>
                      <a:picLocks noChangeArrowheads="1" noChangeAspect="1"/>
                    </pic:cNvPicPr>
                  </pic:nvPicPr>
                  <pic:blipFill>
                    <a:blip r:embed="rId26"/>
                    <a:stretch>
                      <a:fillRect/>
                    </a:stretch>
                  </pic:blipFill>
                  <pic:spPr bwMode="auto">
                    <a:xfrm>
                      <a:off x="0" y="0"/>
                      <a:ext cx="3291840" cy="1611195"/>
                    </a:xfrm>
                    <a:prstGeom prst="rect">
                      <a:avLst/>
                    </a:prstGeom>
                    <a:noFill/>
                    <a:ln w="9525">
                      <a:noFill/>
                      <a:headEnd/>
                      <a:tailEnd/>
                    </a:ln>
                  </pic:spPr>
                </pic:pic>
              </a:graphicData>
            </a:graphic>
          </wp:inline>
        </w:drawing>
      </w:r>
    </w:p>
    <w:p>
      <w:pPr>
        <w:pStyle w:val="ImageCaption"/>
      </w:pPr>
      <w:r>
        <w:t xml:space="preserve">Data pipeline: raw candidate timestamps versus dropped rows versus rows retained for modelling</w:t>
      </w:r>
    </w:p>
    <w:p>
      <w:pPr>
        <w:pStyle w:val="BodyText"/>
      </w:pPr>
      <w:r>
        <w:t xml:space="preserve">In effect, this policy keeps only the</w:t>
      </w:r>
      <w:r>
        <w:t xml:space="preserve"> </w:t>
      </w:r>
      <w:r>
        <w:rPr>
          <w:iCs/>
          <w:i/>
        </w:rPr>
        <w:t xml:space="preserve">unbroken intervals</w:t>
      </w:r>
      <w:r>
        <w:t xml:space="preserve"> </w:t>
      </w:r>
      <w:r>
        <w:t xml:space="preserve">of the record: runs of consecutive 15-minute bins with no gap. A row needs four bins of history (the 1-hour rolling mean) plus the next bin as its target, so any unbroken interval of at least 75 minutes contributes training data, and an interval of</w:t>
      </w:r>
      <w:r>
        <w:t xml:space="preserve"> </w:t>
      </w:r>
      <m:oMath>
        <m:r>
          <m:t>n</m:t>
        </m:r>
      </m:oMath>
      <w:r>
        <w:t xml:space="preserve"> </w:t>
      </w:r>
      <w:r>
        <w:t xml:space="preserve">bins yields</w:t>
      </w:r>
      <w:r>
        <w:t xml:space="preserve"> </w:t>
      </w:r>
      <m:oMath>
        <m:r>
          <m:t>n</m:t>
        </m:r>
        <m:r>
          <m:rPr>
            <m:sty m:val="p"/>
          </m:rPr>
          <m:t>−</m:t>
        </m:r>
        <m:r>
          <m:t>4</m:t>
        </m:r>
      </m:oMath>
      <w:r>
        <w:t xml:space="preserve"> </w:t>
      </w:r>
      <w:r>
        <w:t xml:space="preserve">rows. For sensor</w:t>
      </w:r>
      <w:r>
        <w:t xml:space="preserve"> </w:t>
      </w:r>
      <w:r>
        <w:rPr>
          <w:rStyle w:val="VerbatimChar"/>
        </w:rPr>
        <w:t xml:space="preserve">6012002000326</w:t>
      </w:r>
      <w:r>
        <w:t xml:space="preserve"> </w:t>
      </w:r>
      <w:r>
        <w:t xml:space="preserve">there are 649 such intervals covering 4,978 hours. Section 4.2 applies the same rule to every sensor.</w:t>
      </w:r>
    </w:p>
    <w:bookmarkEnd w:id="29"/>
    <w:bookmarkStart w:id="30" w:name="output"/>
    <w:p>
      <w:pPr>
        <w:pStyle w:val="Heading3"/>
      </w:pPr>
      <w:r>
        <w:t xml:space="preserve">2.4 Output</w:t>
      </w:r>
    </w:p>
    <w:tbl>
      <w:tblPr>
        <w:tblStyle w:val="Table"/>
        <w:tblW w:type="pct" w:w="5000"/>
        <w:tblLook w:firstRow="1" w:lastRow="0" w:firstColumn="0" w:lastColumn="0" w:noHBand="0" w:noVBand="0" w:val="0020"/>
        <w:jc w:val="start"/>
      </w:tblPr>
      <w:tblGrid>
        <w:gridCol w:w="1188"/>
        <w:gridCol w:w="792"/>
        <w:gridCol w:w="5940"/>
      </w:tblGrid>
      <w:tr>
        <w:trPr>
          <w:tblHeader w:val="true"/>
        </w:trPr>
        <w:tc>
          <w:tcPr/>
          <w:p>
            <w:pPr>
              <w:pStyle w:val="Compact"/>
              <w:jc w:val="left"/>
            </w:pPr>
            <w:r>
              <w:t xml:space="preserve">Output</w:t>
            </w:r>
          </w:p>
        </w:tc>
        <w:tc>
          <w:tcPr/>
          <w:p>
            <w:pPr>
              <w:pStyle w:val="Compact"/>
              <w:jc w:val="left"/>
            </w:pPr>
            <w:r>
              <w:t xml:space="preserve">Units</w:t>
            </w:r>
          </w:p>
        </w:tc>
        <w:tc>
          <w:tcPr/>
          <w:p>
            <w:pPr>
              <w:pStyle w:val="Compact"/>
              <w:jc w:val="left"/>
            </w:pPr>
            <w:r>
              <w:t xml:space="preserve">Description</w:t>
            </w:r>
          </w:p>
        </w:tc>
      </w:tr>
      <w:tr>
        <w:tc>
          <w:tcPr/>
          <w:p>
            <w:pPr>
              <w:pStyle w:val="Compact"/>
              <w:jc w:val="left"/>
            </w:pPr>
            <w:r>
              <w:t xml:space="preserve">Predicted CO₂</w:t>
            </w:r>
          </w:p>
        </w:tc>
        <w:tc>
          <w:tcPr/>
          <w:p>
            <w:pPr>
              <w:pStyle w:val="Compact"/>
              <w:jc w:val="left"/>
            </w:pPr>
            <w:r>
              <w:t xml:space="preserve">ppm, continuous</w:t>
            </w:r>
          </w:p>
        </w:tc>
        <w:tc>
          <w:tcPr/>
          <w:p>
            <w:pPr>
              <w:pStyle w:val="Compact"/>
              <w:jc w:val="left"/>
            </w:pPr>
            <w:r>
              <w:t xml:space="preserve">Forecast CO₂ concentration 15 minutes ahead of the current reading</w:t>
            </w:r>
          </w:p>
        </w:tc>
      </w:tr>
    </w:tbl>
    <w:p>
      <w:pPr>
        <w:pStyle w:val="BodyText"/>
      </w:pPr>
      <w:r>
        <w:t xml:space="preserve">The model only forecasts; thresholds and ventilation commands belong to the building management system. A practical deployment rule might set an early-warning trigger at 750 ppm — 50 ppm below 800 ppm, a common stricter indoor-air-quality target than the 1000 ppm guideline in Section 1.1. The 50 ppm margin is about six times the MAE and twice the RMSE (Section 4), and matters most at high CO₂, where the models under-predict (Section 4.1).</w:t>
      </w:r>
    </w:p>
    <w:p>
      <w:r>
        <w:pict>
          <v:rect style="width:0;height:1.5pt" o:hralign="center" o:hrstd="t" o:hr="t"/>
        </w:pict>
      </w:r>
    </w:p>
    <w:bookmarkEnd w:id="30"/>
    <w:bookmarkEnd w:id="31"/>
    <w:bookmarkStart w:id="35" w:name="computational-solution"/>
    <w:p>
      <w:pPr>
        <w:pStyle w:val="Heading2"/>
      </w:pPr>
      <w:r>
        <w:t xml:space="preserve">3. Computational Solution</w:t>
      </w:r>
    </w:p>
    <w:bookmarkStart w:id="32" w:name="implementation"/>
    <w:p>
      <w:pPr>
        <w:pStyle w:val="Heading3"/>
      </w:pPr>
      <w:r>
        <w:t xml:space="preserve">3.1 Implementation</w:t>
      </w:r>
    </w:p>
    <w:p>
      <w:pPr>
        <w:pStyle w:val="FirstParagraph"/>
      </w:pPr>
      <w:r>
        <w:t xml:space="preserve">All four models are scikit-learn</w:t>
      </w:r>
      <w:r>
        <w:t xml:space="preserve"> </w:t>
      </w:r>
      <w:r>
        <w:rPr>
          <w:rStyle w:val="VerbatimChar"/>
        </w:rPr>
        <w:t xml:space="preserve">Pipeline</w:t>
      </w:r>
      <w:r>
        <w:t xml:space="preserve"> </w:t>
      </w:r>
      <w:r>
        <w:t xml:space="preserve">objects with a</w:t>
      </w:r>
      <w:r>
        <w:t xml:space="preserve"> </w:t>
      </w:r>
      <w:r>
        <w:rPr>
          <w:rStyle w:val="VerbatimChar"/>
        </w:rPr>
        <w:t xml:space="preserve">StandardScaler</w:t>
      </w:r>
      <w:r>
        <w:t xml:space="preserve"> </w:t>
      </w:r>
      <w:r>
        <w:t xml:space="preserve">step (zero mean, unit variance per feature) before the estimator. Scaling is essential for SVR and the neural network: the RBF kernel uses Euclidean distances, which unscaled features (CO₂ in ppm beside a 0/1 weekend flag) would distort. Using the same preprocessing for all four keeps the comparison fair.</w:t>
      </w:r>
    </w:p>
    <w:bookmarkEnd w:id="32"/>
    <w:bookmarkStart w:id="33" w:name="how-each-method-works"/>
    <w:p>
      <w:pPr>
        <w:pStyle w:val="Heading3"/>
      </w:pPr>
      <w:r>
        <w:t xml:space="preserve">3.2 How Each Method Works</w:t>
      </w:r>
    </w:p>
    <w:p>
      <w:pPr>
        <w:pStyle w:val="FirstParagraph"/>
      </w:pPr>
      <w:r>
        <w:rPr>
          <w:bCs/>
          <w:b/>
        </w:rPr>
        <w:t xml:space="preserve">Linear Regression</w:t>
      </w:r>
      <w:r>
        <w:t xml:space="preserve"> </w:t>
      </w:r>
      <w:r>
        <w:t xml:space="preserve">fits a hyperplane through the training data by minimising the sum of squared residuals:</w:t>
      </w:r>
    </w:p>
    <w:p>
      <w:pPr>
        <w:pStyle w:val="BodyText"/>
      </w:pPr>
      <m:oMathPara>
        <m:oMathParaPr>
          <m:jc m:val="center"/>
        </m:oMathParaPr>
        <m:oMath>
          <m:sSub>
            <m:e>
              <m:acc>
                <m:accPr>
                  <m:chr m:val="̂"/>
                </m:accPr>
                <m:e>
                  <m:r>
                    <m:t>C</m:t>
                  </m:r>
                </m:e>
              </m:acc>
            </m:e>
            <m:sub>
              <m:r>
                <m:t>t</m:t>
              </m:r>
              <m:r>
                <m:rPr>
                  <m:sty m:val="p"/>
                </m:rPr>
                <m:t>+</m:t>
              </m:r>
              <m:r>
                <m:t>1</m:t>
              </m:r>
            </m:sub>
          </m:sSub>
          <m:r>
            <m:rPr>
              <m:sty m:val="p"/>
            </m:rPr>
            <m:t>=</m:t>
          </m:r>
          <m:sSub>
            <m:e>
              <m:r>
                <m:t>β</m:t>
              </m:r>
            </m:e>
            <m:sub>
              <m:r>
                <m:t>0</m:t>
              </m:r>
            </m:sub>
          </m:sSub>
          <m:r>
            <m:rPr>
              <m:sty m:val="p"/>
            </m:rPr>
            <m:t>+</m:t>
          </m:r>
          <m:nary>
            <m:naryPr>
              <m:chr m:val="∑"/>
              <m:limLoc m:val="undOvr"/>
              <m:subHide m:val="off"/>
              <m:supHide m:val="off"/>
            </m:naryPr>
            <m:sub>
              <m:r>
                <m:t>i</m:t>
              </m:r>
              <m:r>
                <m:rPr>
                  <m:sty m:val="p"/>
                </m:rPr>
                <m:t>=</m:t>
              </m:r>
              <m:r>
                <m:t>1</m:t>
              </m:r>
            </m:sub>
            <m:sup>
              <m:r>
                <m:t>9</m:t>
              </m:r>
            </m:sup>
            <m:e>
              <m:sSub>
                <m:e>
                  <m:r>
                    <m:t>β</m:t>
                  </m:r>
                </m:e>
                <m:sub>
                  <m:r>
                    <m:t>i</m:t>
                  </m:r>
                </m:sub>
              </m:sSub>
            </m:e>
          </m:nary>
          <m:sSub>
            <m:e>
              <m:r>
                <m:t>x</m:t>
              </m:r>
            </m:e>
            <m:sub>
              <m:r>
                <m:t>i</m:t>
              </m:r>
            </m:sub>
          </m:sSub>
        </m:oMath>
      </m:oMathPara>
    </w:p>
    <w:p>
      <w:pPr>
        <w:pStyle w:val="FirstParagraph"/>
      </w:pPr>
      <w:r>
        <w:t xml:space="preserve">It assumes each feature contributes linearly and additively, so it cannot capture interactions (e.g. high CO₂ on a weekday morning rising faster than on a Sunday). It is the interpretable baseline the other methods must beat.</w:t>
      </w:r>
    </w:p>
    <w:p>
      <w:pPr>
        <w:pStyle w:val="BodyText"/>
      </w:pPr>
      <w:r>
        <w:rPr>
          <w:bCs/>
          <w:b/>
        </w:rPr>
        <w:t xml:space="preserve">Decision Tree Regression</w:t>
      </w:r>
      <w:r>
        <w:t xml:space="preserve"> </w:t>
      </w:r>
      <w:r>
        <w:t xml:space="preserve">splits the feature space into rectangular regions with binary splits that minimise target variance; each leaf predicts the mean CO₂ of its training points. It captures non-linearity and interactions but tends to overfit, so maximum depth was limited to 8.</w:t>
      </w:r>
    </w:p>
    <w:p>
      <w:pPr>
        <w:pStyle w:val="BodyText"/>
      </w:pPr>
      <w:r>
        <w:rPr>
          <w:bCs/>
          <w:b/>
        </w:rPr>
        <w:t xml:space="preserve">Support Vector Regression (SVR)</w:t>
      </w:r>
      <w:r>
        <w:t xml:space="preserve"> </w:t>
      </w:r>
      <w:r>
        <w:t xml:space="preserve">fits a smooth function that keeps most residuals inside an ε-wide tube and penalises points outside it, working in a high-dimensional space defined implicitly by the RBF kernel</w:t>
      </w:r>
    </w:p>
    <w:p>
      <w:pPr>
        <w:pStyle w:val="BodyText"/>
      </w:pPr>
      <m:oMathPara>
        <m:oMathParaPr>
          <m:jc m:val="center"/>
        </m:oMathParaPr>
        <m:oMath>
          <m:r>
            <m:t>K</m:t>
          </m:r>
          <m:d>
            <m:dPr>
              <m:begChr m:val="("/>
              <m:endChr m:val=")"/>
              <m:sepChr m:val=""/>
              <m:grow/>
            </m:dPr>
            <m:e>
              <m:sSub>
                <m:e>
                  <m:r>
                    <m:rPr>
                      <m:sty m:val="b"/>
                    </m:rPr>
                    <m:t>x</m:t>
                  </m:r>
                </m:e>
                <m:sub>
                  <m:r>
                    <m:t>i</m:t>
                  </m:r>
                </m:sub>
              </m:sSub>
              <m:r>
                <m:rPr>
                  <m:sty m:val="p"/>
                </m:rPr>
                <m:t>,</m:t>
              </m:r>
              <m:sSub>
                <m:e>
                  <m:r>
                    <m:rPr>
                      <m:sty m:val="b"/>
                    </m:rPr>
                    <m:t>x</m:t>
                  </m:r>
                </m:e>
                <m:sub>
                  <m:r>
                    <m:t>j</m:t>
                  </m:r>
                </m:sub>
              </m:sSub>
            </m:e>
          </m:d>
          <m:r>
            <m:rPr>
              <m:sty m:val="p"/>
            </m:rPr>
            <m:t>=</m:t>
          </m:r>
          <m:r>
            <m:rPr>
              <m:sty m:val="p"/>
            </m:rPr>
            <m:t>exp</m:t>
          </m:r>
          <m:r>
            <m:t>​</m:t>
          </m:r>
          <m:d>
            <m:dPr>
              <m:begChr m:val="("/>
              <m:endChr m:val=")"/>
              <m:sepChr m:val=""/>
              <m:grow/>
            </m:dPr>
            <m:e>
              <m:r>
                <m:rPr>
                  <m:sty m:val="p"/>
                </m:rPr>
                <m:t>−</m:t>
              </m:r>
              <m:r>
                <m:t>γ</m:t>
              </m:r>
              <m:r>
                <m:rPr>
                  <m:sty m:val="p"/>
                </m:rPr>
                <m:t>∥</m:t>
              </m:r>
              <m:sSub>
                <m:e>
                  <m:r>
                    <m:rPr>
                      <m:sty m:val="b"/>
                    </m:rPr>
                    <m:t>x</m:t>
                  </m:r>
                </m:e>
                <m:sub>
                  <m:r>
                    <m:t>i</m:t>
                  </m:r>
                </m:sub>
              </m:sSub>
              <m:r>
                <m:rPr>
                  <m:sty m:val="p"/>
                </m:rPr>
                <m:t>−</m:t>
              </m:r>
              <m:sSub>
                <m:e>
                  <m:r>
                    <m:rPr>
                      <m:sty m:val="b"/>
                    </m:rPr>
                    <m:t>x</m:t>
                  </m:r>
                </m:e>
                <m:sub>
                  <m:r>
                    <m:t>j</m:t>
                  </m:r>
                </m:sub>
              </m:sSub>
              <m:sSup>
                <m:e>
                  <m:r>
                    <m:rPr>
                      <m:sty m:val="p"/>
                    </m:rPr>
                    <m:t>∥</m:t>
                  </m:r>
                </m:e>
                <m:sup>
                  <m:r>
                    <m:t>2</m:t>
                  </m:r>
                </m:sup>
              </m:sSup>
            </m:e>
          </m:d>
        </m:oMath>
      </m:oMathPara>
    </w:p>
    <w:p>
      <w:pPr>
        <w:pStyle w:val="FirstParagraph"/>
      </w:pPr>
      <w:r>
        <w:t xml:space="preserve">Training is a convex optimisation with no local minima, so it is more stable than the neural network.</w:t>
      </w:r>
      <w:r>
        <w:t xml:space="preserve"> </w:t>
      </w:r>
      <m:oMath>
        <m:r>
          <m:t>C</m:t>
        </m:r>
        <m:r>
          <m:rPr>
            <m:sty m:val="p"/>
          </m:rPr>
          <m:t>=</m:t>
        </m:r>
        <m:r>
          <m:t>10</m:t>
        </m:r>
      </m:oMath>
      <w:r>
        <w:t xml:space="preserve"> </w:t>
      </w:r>
      <w:r>
        <w:t xml:space="preserve">sets the penalty for leaving the tube;</w:t>
      </w:r>
      <w:r>
        <w:t xml:space="preserve"> </w:t>
      </w:r>
      <m:oMath>
        <m:r>
          <m:t>ε</m:t>
        </m:r>
        <m:r>
          <m:rPr>
            <m:sty m:val="p"/>
          </m:rPr>
          <m:t>=</m:t>
        </m:r>
        <m:r>
          <m:t>0.5</m:t>
        </m:r>
      </m:oMath>
      <w:r>
        <w:t xml:space="preserve"> </w:t>
      </w:r>
      <w:r>
        <w:t xml:space="preserve">ppm is the tube half-width.</w:t>
      </w:r>
    </w:p>
    <w:p>
      <w:pPr>
        <w:pStyle w:val="BodyText"/>
      </w:pPr>
      <w:r>
        <w:rPr>
          <w:bCs/>
          <w:b/>
        </w:rPr>
        <w:t xml:space="preserve">Neural Network Regression</w:t>
      </w:r>
      <w:r>
        <w:t xml:space="preserve"> </w:t>
      </w:r>
      <w:r>
        <w:t xml:space="preserve">is a multilayer perceptron with two ReLU hidden layers (32 then 16 units) and a linear output, trained with Adam and early stopping (patience of 10 epochs). It is the most expressive method, but the least interpretable and the most data-hungry.</w:t>
      </w:r>
    </w:p>
    <w:bookmarkEnd w:id="33"/>
    <w:bookmarkStart w:id="34" w:name="parameters"/>
    <w:p>
      <w:pPr>
        <w:pStyle w:val="Heading3"/>
      </w:pPr>
      <w:r>
        <w:t xml:space="preserve">3.3 Parameters</w:t>
      </w:r>
    </w:p>
    <w:tbl>
      <w:tblPr>
        <w:tblStyle w:val="Table"/>
        <w:tblW w:type="pct" w:w="5000"/>
        <w:tblLook w:firstRow="1" w:lastRow="0" w:firstColumn="0" w:lastColumn="0" w:noHBand="0" w:noVBand="0" w:val="0020"/>
        <w:jc w:val="start"/>
      </w:tblPr>
      <w:tblGrid>
        <w:gridCol w:w="1782"/>
        <w:gridCol w:w="1386"/>
        <w:gridCol w:w="4752"/>
      </w:tblGrid>
      <w:tr>
        <w:trPr>
          <w:tblHeader w:val="true"/>
        </w:trPr>
        <w:tc>
          <w:tcPr/>
          <w:p>
            <w:pPr>
              <w:pStyle w:val="Compact"/>
              <w:jc w:val="left"/>
            </w:pPr>
            <w:r>
              <w:t xml:space="preserve">Parameter</w:t>
            </w:r>
          </w:p>
        </w:tc>
        <w:tc>
          <w:tcPr/>
          <w:p>
            <w:pPr>
              <w:pStyle w:val="Compact"/>
              <w:jc w:val="left"/>
            </w:pPr>
            <w:r>
              <w:t xml:space="preserve">Value</w:t>
            </w:r>
          </w:p>
        </w:tc>
        <w:tc>
          <w:tcPr/>
          <w:p>
            <w:pPr>
              <w:pStyle w:val="Compact"/>
              <w:jc w:val="left"/>
            </w:pPr>
            <w:r>
              <w:t xml:space="preserve">Rationale</w:t>
            </w:r>
          </w:p>
        </w:tc>
      </w:tr>
      <w:tr>
        <w:tc>
          <w:tcPr/>
          <w:p>
            <w:pPr>
              <w:pStyle w:val="Compact"/>
              <w:jc w:val="left"/>
            </w:pPr>
            <w:r>
              <w:t xml:space="preserve">Bin size</w:t>
            </w:r>
          </w:p>
        </w:tc>
        <w:tc>
          <w:tcPr/>
          <w:p>
            <w:pPr>
              <w:pStyle w:val="Compact"/>
              <w:jc w:val="left"/>
            </w:pPr>
            <w:r>
              <w:t xml:space="preserve">15 minutes</w:t>
            </w:r>
          </w:p>
        </w:tc>
        <w:tc>
          <w:tcPr/>
          <w:p>
            <w:pPr>
              <w:pStyle w:val="Compact"/>
              <w:jc w:val="left"/>
            </w:pPr>
            <w:r>
              <w:t xml:space="preserve">Matches sensor reporting cadence</w:t>
            </w:r>
          </w:p>
        </w:tc>
      </w:tr>
      <w:tr>
        <w:tc>
          <w:tcPr/>
          <w:p>
            <w:pPr>
              <w:pStyle w:val="Compact"/>
              <w:jc w:val="left"/>
            </w:pPr>
            <w:r>
              <w:t xml:space="preserve">Prediction horizon</w:t>
            </w:r>
          </w:p>
        </w:tc>
        <w:tc>
          <w:tcPr/>
          <w:p>
            <w:pPr>
              <w:pStyle w:val="Compact"/>
              <w:jc w:val="left"/>
            </w:pPr>
            <w:r>
              <w:t xml:space="preserve">15 minutes ahead</w:t>
            </w:r>
          </w:p>
        </w:tc>
        <w:tc>
          <w:tcPr/>
          <w:p>
            <w:pPr>
              <w:pStyle w:val="Compact"/>
              <w:jc w:val="left"/>
            </w:pPr>
            <w:r>
              <w:t xml:space="preserve">Minimum lead time for meaningful ventilation pre-emption</w:t>
            </w:r>
          </w:p>
        </w:tc>
      </w:tr>
      <w:tr>
        <w:tc>
          <w:tcPr/>
          <w:p>
            <w:pPr>
              <w:pStyle w:val="Compact"/>
              <w:jc w:val="left"/>
            </w:pPr>
            <w:r>
              <w:t xml:space="preserve">Train/test split</w:t>
            </w:r>
          </w:p>
        </w:tc>
        <w:tc>
          <w:tcPr/>
          <w:p>
            <w:pPr>
              <w:pStyle w:val="Compact"/>
              <w:jc w:val="left"/>
            </w:pPr>
            <w:r>
              <w:t xml:space="preserve">80 % / 20 %, chronological</w:t>
            </w:r>
          </w:p>
        </w:tc>
        <w:tc>
          <w:tcPr/>
          <w:p>
            <w:pPr>
              <w:pStyle w:val="Compact"/>
              <w:jc w:val="left"/>
            </w:pPr>
            <w:r>
              <w:t xml:space="preserve">Reflects deployment: model only sees past data</w:t>
            </w:r>
          </w:p>
        </w:tc>
      </w:tr>
      <w:tr>
        <w:tc>
          <w:tcPr/>
          <w:p>
            <w:pPr>
              <w:pStyle w:val="Compact"/>
              <w:jc w:val="left"/>
            </w:pPr>
            <w:r>
              <w:t xml:space="preserve">Training cutoff</w:t>
            </w:r>
          </w:p>
        </w:tc>
        <w:tc>
          <w:tcPr/>
          <w:p>
            <w:pPr>
              <w:pStyle w:val="Compact"/>
              <w:jc w:val="left"/>
            </w:pPr>
            <w:r>
              <w:t xml:space="preserve">11 March 2026</w:t>
            </w:r>
          </w:p>
        </w:tc>
        <w:tc>
          <w:tcPr/>
          <w:p>
            <w:pPr>
              <w:pStyle w:val="Compact"/>
              <w:jc w:val="left"/>
            </w:pPr>
            <w:r>
              <w:t xml:space="preserve">80th-percentile row in the 17,010-row dataset</w:t>
            </w:r>
          </w:p>
        </w:tc>
      </w:tr>
      <w:tr>
        <w:tc>
          <w:tcPr/>
          <w:p>
            <w:pPr>
              <w:pStyle w:val="Compact"/>
              <w:jc w:val="left"/>
            </w:pPr>
            <w:r>
              <w:t xml:space="preserve">Decision Tree max depth</w:t>
            </w:r>
          </w:p>
        </w:tc>
        <w:tc>
          <w:tcPr/>
          <w:p>
            <w:pPr>
              <w:pStyle w:val="Compact"/>
              <w:jc w:val="left"/>
            </w:pPr>
            <w:r>
              <w:t xml:space="preserve">8</w:t>
            </w:r>
          </w:p>
        </w:tc>
        <w:tc>
          <w:tcPr/>
          <w:p>
            <w:pPr>
              <w:pStyle w:val="Compact"/>
              <w:jc w:val="left"/>
            </w:pPr>
            <w:r>
              <w:t xml:space="preserve">Limits leaf count; prevents memorisation of training period</w:t>
            </w:r>
          </w:p>
        </w:tc>
      </w:tr>
      <w:tr>
        <w:tc>
          <w:tcPr/>
          <w:p>
            <w:pPr>
              <w:pStyle w:val="Compact"/>
              <w:jc w:val="left"/>
            </w:pPr>
            <w:r>
              <w:t xml:space="preserve">SVR kernel</w:t>
            </w:r>
          </w:p>
        </w:tc>
        <w:tc>
          <w:tcPr/>
          <w:p>
            <w:pPr>
              <w:pStyle w:val="Compact"/>
              <w:jc w:val="left"/>
            </w:pPr>
            <w:r>
              <w:t xml:space="preserve">RBF</w:t>
            </w:r>
          </w:p>
        </w:tc>
        <w:tc>
          <w:tcPr/>
          <w:p>
            <w:pPr>
              <w:pStyle w:val="Compact"/>
              <w:jc w:val="left"/>
            </w:pPr>
            <w:r>
              <w:t xml:space="preserve">Handles smooth non-linearity without specifying a basis</w:t>
            </w:r>
          </w:p>
        </w:tc>
      </w:tr>
      <w:tr>
        <w:tc>
          <w:tcPr/>
          <w:p>
            <w:pPr>
              <w:pStyle w:val="Compact"/>
              <w:jc w:val="left"/>
            </w:pPr>
            <w:r>
              <w:t xml:space="preserve">SVR</w:t>
            </w:r>
            <w:r>
              <w:t xml:space="preserve"> </w:t>
            </w:r>
            <m:oMath>
              <m:r>
                <m:t>C</m:t>
              </m:r>
            </m:oMath>
          </w:p>
        </w:tc>
        <w:tc>
          <w:tcPr/>
          <w:p>
            <w:pPr>
              <w:pStyle w:val="Compact"/>
              <w:jc w:val="left"/>
            </w:pPr>
            <w:r>
              <w:t xml:space="preserve">10</w:t>
            </w:r>
          </w:p>
        </w:tc>
        <w:tc>
          <w:tcPr/>
          <w:p>
            <w:pPr>
              <w:pStyle w:val="Compact"/>
              <w:jc w:val="left"/>
            </w:pPr>
            <w:r>
              <w:t xml:space="preserve">Moderate regularisation; less restrictive than scikit-learn default</w:t>
            </w:r>
          </w:p>
        </w:tc>
      </w:tr>
      <w:tr>
        <w:tc>
          <w:tcPr/>
          <w:p>
            <w:pPr>
              <w:pStyle w:val="Compact"/>
              <w:jc w:val="left"/>
            </w:pPr>
            <w:r>
              <w:t xml:space="preserve">SVR</w:t>
            </w:r>
            <w:r>
              <w:t xml:space="preserve"> </w:t>
            </w:r>
            <m:oMath>
              <m:r>
                <m:t>ε</m:t>
              </m:r>
            </m:oMath>
          </w:p>
        </w:tc>
        <w:tc>
          <w:tcPr/>
          <w:p>
            <w:pPr>
              <w:pStyle w:val="Compact"/>
              <w:jc w:val="left"/>
            </w:pPr>
            <w:r>
              <w:t xml:space="preserve">0.5</w:t>
            </w:r>
          </w:p>
        </w:tc>
        <w:tc>
          <w:tcPr/>
          <w:p>
            <w:pPr>
              <w:pStyle w:val="Compact"/>
              <w:jc w:val="left"/>
            </w:pPr>
            <w:r>
              <w:t xml:space="preserve">Tube width matched to sensor noise level</w:t>
            </w:r>
          </w:p>
        </w:tc>
      </w:tr>
      <w:tr>
        <w:tc>
          <w:tcPr/>
          <w:p>
            <w:pPr>
              <w:pStyle w:val="Compact"/>
              <w:jc w:val="left"/>
            </w:pPr>
            <w:r>
              <w:t xml:space="preserve">NN hidden layers</w:t>
            </w:r>
          </w:p>
        </w:tc>
        <w:tc>
          <w:tcPr/>
          <w:p>
            <w:pPr>
              <w:pStyle w:val="Compact"/>
              <w:jc w:val="left"/>
            </w:pPr>
            <w:r>
              <w:t xml:space="preserve">32 → 16 units</w:t>
            </w:r>
          </w:p>
        </w:tc>
        <w:tc>
          <w:tcPr/>
          <w:p>
            <w:pPr>
              <w:pStyle w:val="Compact"/>
              <w:jc w:val="left"/>
            </w:pPr>
            <w:r>
              <w:t xml:space="preserve">Sufficient capacity for 9 inputs; small enough to avoid overfitting 13,608 rows</w:t>
            </w:r>
          </w:p>
        </w:tc>
      </w:tr>
      <w:tr>
        <w:tc>
          <w:tcPr/>
          <w:p>
            <w:pPr>
              <w:pStyle w:val="Compact"/>
              <w:jc w:val="left"/>
            </w:pPr>
            <w:r>
              <w:t xml:space="preserve">NN early stopping patience</w:t>
            </w:r>
          </w:p>
        </w:tc>
        <w:tc>
          <w:tcPr/>
          <w:p>
            <w:pPr>
              <w:pStyle w:val="Compact"/>
              <w:jc w:val="left"/>
            </w:pPr>
            <w:r>
              <w:t xml:space="preserve">10 epochs</w:t>
            </w:r>
          </w:p>
        </w:tc>
        <w:tc>
          <w:tcPr/>
          <w:p>
            <w:pPr>
              <w:pStyle w:val="Compact"/>
              <w:jc w:val="left"/>
            </w:pPr>
            <w:r>
              <w:t xml:space="preserve">Halts training when validation loss stops improving</w:t>
            </w:r>
          </w:p>
        </w:tc>
      </w:tr>
    </w:tbl>
    <w:p>
      <w:r>
        <w:pict>
          <v:rect style="width:0;height:1.5pt" o:hralign="center" o:hrstd="t" o:hr="t"/>
        </w:pict>
      </w:r>
    </w:p>
    <w:bookmarkEnd w:id="34"/>
    <w:bookmarkEnd w:id="35"/>
    <w:bookmarkStart w:id="53" w:name="alternative-solutions-and-comparison"/>
    <w:p>
      <w:pPr>
        <w:pStyle w:val="Heading2"/>
      </w:pPr>
      <w:r>
        <w:t xml:space="preserve">4. Alternative Solutions and Comparison</w:t>
      </w:r>
    </w:p>
    <w:p>
      <w:pPr>
        <w:pStyle w:val="FirstParagraph"/>
      </w:pPr>
      <w:r>
        <w:t xml:space="preserve">The four methods were evaluated on the held-out test set (3,402 rows, the final 20% in time order).</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Method</w:t>
            </w:r>
          </w:p>
        </w:tc>
        <w:tc>
          <w:tcPr/>
          <w:p>
            <w:pPr>
              <w:pStyle w:val="Compact"/>
              <w:jc w:val="left"/>
            </w:pPr>
            <w:r>
              <w:t xml:space="preserve">MAE (ppm)</w:t>
            </w:r>
          </w:p>
        </w:tc>
        <w:tc>
          <w:tcPr/>
          <w:p>
            <w:pPr>
              <w:pStyle w:val="Compact"/>
              <w:jc w:val="left"/>
            </w:pPr>
            <w:r>
              <w:t xml:space="preserve">RMSE (ppm)</w:t>
            </w:r>
          </w:p>
        </w:tc>
        <w:tc>
          <w:tcPr/>
          <w:p>
            <w:pPr>
              <w:pStyle w:val="Compact"/>
              <w:jc w:val="left"/>
            </w:pPr>
            <w:r>
              <w:t xml:space="preserve">R²</w:t>
            </w:r>
          </w:p>
        </w:tc>
        <w:tc>
          <w:tcPr/>
          <w:p>
            <w:pPr>
              <w:pStyle w:val="Compact"/>
              <w:jc w:val="left"/>
            </w:pPr>
            <w:r>
              <w:t xml:space="preserve">Fit time (s)</w:t>
            </w:r>
          </w:p>
        </w:tc>
        <w:tc>
          <w:tcPr/>
          <w:p>
            <w:pPr>
              <w:pStyle w:val="Compact"/>
              <w:jc w:val="left"/>
            </w:pPr>
            <w:r>
              <w:t xml:space="preserve">Predict time (ms)</w:t>
            </w:r>
          </w:p>
        </w:tc>
        <w:tc>
          <w:tcPr/>
          <w:p>
            <w:pPr>
              <w:pStyle w:val="Compact"/>
              <w:jc w:val="left"/>
            </w:pPr>
            <w:r>
              <w:t xml:space="preserve">Interpretability</w:t>
            </w:r>
          </w:p>
        </w:tc>
      </w:tr>
      <w:tr>
        <w:tc>
          <w:tcPr/>
          <w:p>
            <w:pPr>
              <w:pStyle w:val="Compact"/>
              <w:jc w:val="left"/>
            </w:pPr>
            <w:r>
              <w:t xml:space="preserve">Linear Regression</w:t>
            </w:r>
          </w:p>
        </w:tc>
        <w:tc>
          <w:tcPr/>
          <w:p>
            <w:pPr>
              <w:pStyle w:val="Compact"/>
              <w:jc w:val="left"/>
            </w:pPr>
            <w:r>
              <w:t xml:space="preserve">9.012</w:t>
            </w:r>
          </w:p>
        </w:tc>
        <w:tc>
          <w:tcPr/>
          <w:p>
            <w:pPr>
              <w:pStyle w:val="Compact"/>
              <w:jc w:val="left"/>
            </w:pPr>
            <w:r>
              <w:t xml:space="preserve">25.579</w:t>
            </w:r>
          </w:p>
        </w:tc>
        <w:tc>
          <w:tcPr/>
          <w:p>
            <w:pPr>
              <w:pStyle w:val="Compact"/>
              <w:jc w:val="left"/>
            </w:pPr>
            <w:r>
              <w:t xml:space="preserve">0.358</w:t>
            </w:r>
          </w:p>
        </w:tc>
        <w:tc>
          <w:tcPr/>
          <w:p>
            <w:pPr>
              <w:pStyle w:val="Compact"/>
              <w:jc w:val="left"/>
            </w:pPr>
            <w:r>
              <w:t xml:space="preserve">0.005</w:t>
            </w:r>
          </w:p>
        </w:tc>
        <w:tc>
          <w:tcPr/>
          <w:p>
            <w:pPr>
              <w:pStyle w:val="Compact"/>
              <w:jc w:val="left"/>
            </w:pPr>
            <w:r>
              <w:t xml:space="preserve">1.7</w:t>
            </w:r>
          </w:p>
        </w:tc>
        <w:tc>
          <w:tcPr/>
          <w:p>
            <w:pPr>
              <w:pStyle w:val="Compact"/>
              <w:jc w:val="left"/>
            </w:pPr>
            <w:r>
              <w:t xml:space="preserve">High</w:t>
            </w:r>
          </w:p>
        </w:tc>
      </w:tr>
      <w:tr>
        <w:tc>
          <w:tcPr/>
          <w:p>
            <w:pPr>
              <w:pStyle w:val="Compact"/>
              <w:jc w:val="left"/>
            </w:pPr>
            <w:r>
              <w:t xml:space="preserve">Decision Tree</w:t>
            </w:r>
          </w:p>
        </w:tc>
        <w:tc>
          <w:tcPr/>
          <w:p>
            <w:pPr>
              <w:pStyle w:val="Compact"/>
              <w:jc w:val="left"/>
            </w:pPr>
            <w:r>
              <w:t xml:space="preserve">9.353</w:t>
            </w:r>
          </w:p>
        </w:tc>
        <w:tc>
          <w:tcPr/>
          <w:p>
            <w:pPr>
              <w:pStyle w:val="Compact"/>
              <w:jc w:val="left"/>
            </w:pPr>
            <w:r>
              <w:t xml:space="preserve">28.708</w:t>
            </w:r>
          </w:p>
        </w:tc>
        <w:tc>
          <w:tcPr/>
          <w:p>
            <w:pPr>
              <w:pStyle w:val="Compact"/>
              <w:jc w:val="left"/>
            </w:pPr>
            <w:r>
              <w:t xml:space="preserve">0.191</w:t>
            </w:r>
          </w:p>
        </w:tc>
        <w:tc>
          <w:tcPr/>
          <w:p>
            <w:pPr>
              <w:pStyle w:val="Compact"/>
              <w:jc w:val="left"/>
            </w:pPr>
            <w:r>
              <w:t xml:space="preserve">0.023</w:t>
            </w:r>
          </w:p>
        </w:tc>
        <w:tc>
          <w:tcPr/>
          <w:p>
            <w:pPr>
              <w:pStyle w:val="Compact"/>
              <w:jc w:val="left"/>
            </w:pPr>
            <w:r>
              <w:t xml:space="preserve">2.5</w:t>
            </w:r>
          </w:p>
        </w:tc>
        <w:tc>
          <w:tcPr/>
          <w:p>
            <w:pPr>
              <w:pStyle w:val="Compact"/>
              <w:jc w:val="left"/>
            </w:pPr>
            <w:r>
              <w:t xml:space="preserve">Medium</w:t>
            </w:r>
          </w:p>
        </w:tc>
      </w:tr>
      <w:tr>
        <w:tc>
          <w:tcPr/>
          <w:p>
            <w:pPr>
              <w:pStyle w:val="Compact"/>
              <w:jc w:val="left"/>
            </w:pPr>
            <w:r>
              <w:rPr>
                <w:bCs/>
                <w:b/>
              </w:rPr>
              <w:t xml:space="preserve">SVR</w:t>
            </w:r>
          </w:p>
        </w:tc>
        <w:tc>
          <w:tcPr/>
          <w:p>
            <w:pPr>
              <w:pStyle w:val="Compact"/>
              <w:jc w:val="left"/>
            </w:pPr>
            <w:r>
              <w:rPr>
                <w:bCs/>
                <w:b/>
              </w:rPr>
              <w:t xml:space="preserve">8.350</w:t>
            </w:r>
          </w:p>
        </w:tc>
        <w:tc>
          <w:tcPr/>
          <w:p>
            <w:pPr>
              <w:pStyle w:val="Compact"/>
              <w:jc w:val="left"/>
            </w:pPr>
            <w:r>
              <w:rPr>
                <w:bCs/>
                <w:b/>
              </w:rPr>
              <w:t xml:space="preserve">25.894</w:t>
            </w:r>
          </w:p>
        </w:tc>
        <w:tc>
          <w:tcPr/>
          <w:p>
            <w:pPr>
              <w:pStyle w:val="Compact"/>
              <w:jc w:val="left"/>
            </w:pPr>
            <w:r>
              <w:rPr>
                <w:bCs/>
                <w:b/>
              </w:rPr>
              <w:t xml:space="preserve">0.342</w:t>
            </w:r>
          </w:p>
        </w:tc>
        <w:tc>
          <w:tcPr/>
          <w:p>
            <w:pPr>
              <w:pStyle w:val="Compact"/>
              <w:jc w:val="left"/>
            </w:pPr>
            <w:r>
              <w:t xml:space="preserve">4.26</w:t>
            </w:r>
          </w:p>
        </w:tc>
        <w:tc>
          <w:tcPr/>
          <w:p>
            <w:pPr>
              <w:pStyle w:val="Compact"/>
              <w:jc w:val="left"/>
            </w:pPr>
            <w:r>
              <w:t xml:space="preserve">2854</w:t>
            </w:r>
          </w:p>
        </w:tc>
        <w:tc>
          <w:tcPr/>
          <w:p>
            <w:pPr>
              <w:pStyle w:val="Compact"/>
              <w:jc w:val="left"/>
            </w:pPr>
            <w:r>
              <w:t xml:space="preserve">Low</w:t>
            </w:r>
          </w:p>
        </w:tc>
      </w:tr>
      <w:tr>
        <w:tc>
          <w:tcPr/>
          <w:p>
            <w:pPr>
              <w:pStyle w:val="Compact"/>
              <w:jc w:val="left"/>
            </w:pPr>
            <w:r>
              <w:t xml:space="preserve">Neural Network</w:t>
            </w:r>
          </w:p>
        </w:tc>
        <w:tc>
          <w:tcPr/>
          <w:p>
            <w:pPr>
              <w:pStyle w:val="Compact"/>
              <w:jc w:val="left"/>
            </w:pPr>
            <w:r>
              <w:t xml:space="preserve">9.350</w:t>
            </w:r>
          </w:p>
        </w:tc>
        <w:tc>
          <w:tcPr/>
          <w:p>
            <w:pPr>
              <w:pStyle w:val="Compact"/>
              <w:jc w:val="left"/>
            </w:pPr>
            <w:r>
              <w:t xml:space="preserve">26.015</w:t>
            </w:r>
          </w:p>
        </w:tc>
        <w:tc>
          <w:tcPr/>
          <w:p>
            <w:pPr>
              <w:pStyle w:val="Compact"/>
              <w:jc w:val="left"/>
            </w:pPr>
            <w:r>
              <w:t xml:space="preserve">0.336</w:t>
            </w:r>
          </w:p>
        </w:tc>
        <w:tc>
          <w:tcPr/>
          <w:p>
            <w:pPr>
              <w:pStyle w:val="Compact"/>
              <w:jc w:val="left"/>
            </w:pPr>
            <w:r>
              <w:t xml:space="preserve">2.36</w:t>
            </w:r>
          </w:p>
        </w:tc>
        <w:tc>
          <w:tcPr/>
          <w:p>
            <w:pPr>
              <w:pStyle w:val="Compact"/>
              <w:jc w:val="left"/>
            </w:pPr>
            <w:r>
              <w:t xml:space="preserve">2.3</w:t>
            </w:r>
          </w:p>
        </w:tc>
        <w:tc>
          <w:tcPr/>
          <w:p>
            <w:pPr>
              <w:pStyle w:val="Compact"/>
              <w:jc w:val="left"/>
            </w:pPr>
            <w:r>
              <w:t xml:space="preserve">Very low</w:t>
            </w:r>
          </w:p>
        </w:tc>
      </w:tr>
    </w:tbl>
    <w:p>
      <w:pPr>
        <w:pStyle w:val="BodyText"/>
      </w:pPr>
      <w:r>
        <w:rPr>
          <w:bCs/>
          <w:b/>
        </w:rPr>
        <w:t xml:space="preserve">SVR</w:t>
      </w:r>
      <w:r>
        <w:t xml:space="preserve"> </w:t>
      </w:r>
      <w:r>
        <w:t xml:space="preserve">has the lowest MAE (8.35 ppm). Linear Regression has the highest R² (0.358), is close in MAE, and is the better choice where interpretability or speed matters. The Decision Tree is weakest (R² 0.191), likely overfitting, as its large RMSE relative to MAE suggests. SVR’s prediction time (about 2.85 s per batch) is no constraint for a 15-minute task.</w:t>
      </w:r>
    </w:p>
    <w:p>
      <w:pPr>
        <w:pStyle w:val="BodyText"/>
      </w:pPr>
      <w:r>
        <w:rPr>
          <w:bCs/>
          <w:b/>
        </w:rPr>
        <w:t xml:space="preserve">Effect of building occupancy on prediction accuracy:</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Method</w:t>
            </w:r>
          </w:p>
        </w:tc>
        <w:tc>
          <w:tcPr/>
          <w:p>
            <w:pPr>
              <w:pStyle w:val="Compact"/>
              <w:jc w:val="left"/>
            </w:pPr>
            <w:r>
              <w:t xml:space="preserve">R² with occupancy</w:t>
            </w:r>
          </w:p>
        </w:tc>
        <w:tc>
          <w:tcPr/>
          <w:p>
            <w:pPr>
              <w:pStyle w:val="Compact"/>
              <w:jc w:val="left"/>
            </w:pPr>
            <w:r>
              <w:t xml:space="preserve">R² without occupancy</w:t>
            </w:r>
          </w:p>
        </w:tc>
        <w:tc>
          <w:tcPr/>
          <w:p>
            <w:pPr>
              <w:pStyle w:val="Compact"/>
              <w:jc w:val="left"/>
            </w:pPr>
            <w:r>
              <w:t xml:space="preserve">Change</w:t>
            </w:r>
          </w:p>
        </w:tc>
      </w:tr>
      <w:tr>
        <w:tc>
          <w:tcPr/>
          <w:p>
            <w:pPr>
              <w:pStyle w:val="Compact"/>
              <w:jc w:val="left"/>
            </w:pPr>
            <w:r>
              <w:t xml:space="preserve">Linear Regression</w:t>
            </w:r>
          </w:p>
        </w:tc>
        <w:tc>
          <w:tcPr/>
          <w:p>
            <w:pPr>
              <w:pStyle w:val="Compact"/>
              <w:jc w:val="left"/>
            </w:pPr>
            <w:r>
              <w:t xml:space="preserve">0.358</w:t>
            </w:r>
          </w:p>
        </w:tc>
        <w:tc>
          <w:tcPr/>
          <w:p>
            <w:pPr>
              <w:pStyle w:val="Compact"/>
              <w:jc w:val="left"/>
            </w:pPr>
            <w:r>
              <w:t xml:space="preserve">0.358</w:t>
            </w:r>
          </w:p>
        </w:tc>
        <w:tc>
          <w:tcPr/>
          <w:p>
            <w:pPr>
              <w:pStyle w:val="Compact"/>
              <w:jc w:val="left"/>
            </w:pPr>
            <w:r>
              <w:t xml:space="preserve">0.000</w:t>
            </w:r>
          </w:p>
        </w:tc>
      </w:tr>
      <w:tr>
        <w:tc>
          <w:tcPr/>
          <w:p>
            <w:pPr>
              <w:pStyle w:val="Compact"/>
              <w:jc w:val="left"/>
            </w:pPr>
            <w:r>
              <w:t xml:space="preserve">Decision Tree</w:t>
            </w:r>
          </w:p>
        </w:tc>
        <w:tc>
          <w:tcPr/>
          <w:p>
            <w:pPr>
              <w:pStyle w:val="Compact"/>
              <w:jc w:val="left"/>
            </w:pPr>
            <w:r>
              <w:t xml:space="preserve">0.191</w:t>
            </w:r>
          </w:p>
        </w:tc>
        <w:tc>
          <w:tcPr/>
          <w:p>
            <w:pPr>
              <w:pStyle w:val="Compact"/>
              <w:jc w:val="left"/>
            </w:pPr>
            <w:r>
              <w:t xml:space="preserve">0.331</w:t>
            </w:r>
          </w:p>
        </w:tc>
        <w:tc>
          <w:tcPr/>
          <w:p>
            <w:pPr>
              <w:pStyle w:val="Compact"/>
              <w:jc w:val="left"/>
            </w:pPr>
            <w:r>
              <w:t xml:space="preserve">−0.140</w:t>
            </w:r>
          </w:p>
        </w:tc>
      </w:tr>
      <w:tr>
        <w:tc>
          <w:tcPr/>
          <w:p>
            <w:pPr>
              <w:pStyle w:val="Compact"/>
              <w:jc w:val="left"/>
            </w:pPr>
            <w:r>
              <w:t xml:space="preserve">SVR</w:t>
            </w:r>
          </w:p>
        </w:tc>
        <w:tc>
          <w:tcPr/>
          <w:p>
            <w:pPr>
              <w:pStyle w:val="Compact"/>
              <w:jc w:val="left"/>
            </w:pPr>
            <w:r>
              <w:t xml:space="preserve">0.342</w:t>
            </w:r>
          </w:p>
        </w:tc>
        <w:tc>
          <w:tcPr/>
          <w:p>
            <w:pPr>
              <w:pStyle w:val="Compact"/>
              <w:jc w:val="left"/>
            </w:pPr>
            <w:r>
              <w:t xml:space="preserve">0.344</w:t>
            </w:r>
          </w:p>
        </w:tc>
        <w:tc>
          <w:tcPr/>
          <w:p>
            <w:pPr>
              <w:pStyle w:val="Compact"/>
              <w:jc w:val="left"/>
            </w:pPr>
            <w:r>
              <w:t xml:space="preserve">−0.002</w:t>
            </w:r>
          </w:p>
        </w:tc>
      </w:tr>
      <w:tr>
        <w:tc>
          <w:tcPr/>
          <w:p>
            <w:pPr>
              <w:pStyle w:val="Compact"/>
              <w:jc w:val="left"/>
            </w:pPr>
            <w:r>
              <w:t xml:space="preserve">Neural Network</w:t>
            </w:r>
          </w:p>
        </w:tc>
        <w:tc>
          <w:tcPr/>
          <w:p>
            <w:pPr>
              <w:pStyle w:val="Compact"/>
              <w:jc w:val="left"/>
            </w:pPr>
            <w:r>
              <w:t xml:space="preserve">0.336</w:t>
            </w:r>
          </w:p>
        </w:tc>
        <w:tc>
          <w:tcPr/>
          <w:p>
            <w:pPr>
              <w:pStyle w:val="Compact"/>
              <w:jc w:val="left"/>
            </w:pPr>
            <w:r>
              <w:t xml:space="preserve">0.335</w:t>
            </w:r>
          </w:p>
        </w:tc>
        <w:tc>
          <w:tcPr/>
          <w:p>
            <w:pPr>
              <w:pStyle w:val="Compact"/>
              <w:jc w:val="left"/>
            </w:pPr>
            <w:r>
              <w:t xml:space="preserve">+0.001</w:t>
            </w:r>
          </w:p>
        </w:tc>
      </w:tr>
    </w:tbl>
    <w:p>
      <w:pPr>
        <w:pStyle w:val="BodyText"/>
      </w:pPr>
      <w:r>
        <w:t xml:space="preserve">Occupancy gives no measurable improvement for any model, and the Decision Tree gets worse (R² 0.331 to 0.191) by wasting splits on it. Occupancy matters in principle (the mass balance), but nothing links this sensor to any of the five monitored zones (Section 6), so the building-wide count says nothing about this room.</w:t>
      </w:r>
    </w:p>
    <w:p>
      <w:pPr>
        <w:pStyle w:val="BodyText"/>
      </w:pPr>
      <w:r>
        <w:t xml:space="preserve">The daily pattern agrees (</w:t>
      </w:r>
      <w:r>
        <w:rPr>
          <w:rStyle w:val="VerbatimChar"/>
        </w:rPr>
        <w:t xml:space="preserve">scripts/weekday_weekend_comparison.py</w:t>
      </w:r>
      <w:r>
        <w:t xml:space="preserve">). In room G.38 (sensor</w:t>
      </w:r>
      <w:r>
        <w:t xml:space="preserve"> </w:t>
      </w:r>
      <w:r>
        <w:rPr>
          <w:rStyle w:val="VerbatimChar"/>
        </w:rPr>
        <w:t xml:space="preserve">6012002000869</w:t>
      </w:r>
      <w:r>
        <w:t xml:space="preserve">), weekday CO₂ peaks at 13:00 and averages 505 ppm in working hours (9 am–5 pm) against 450 ppm at weekends — an occupied room. Sensor</w:t>
      </w:r>
      <w:r>
        <w:t xml:space="preserve"> </w:t>
      </w:r>
      <w:r>
        <w:rPr>
          <w:rStyle w:val="VerbatimChar"/>
        </w:rPr>
        <w:t xml:space="preserve">6012002000326</w:t>
      </w:r>
      <w:r>
        <w:t xml:space="preserve"> </w:t>
      </w:r>
      <w:r>
        <w:t xml:space="preserve">peaks at 07:00, is lowest at 15:00, and has identical weekday and weekend working-hours means (436 ppm): it follows the ventilation schedule, not occupants, so neither occupancy nor the weekend flag helps.</w:t>
      </w:r>
    </w:p>
    <w:bookmarkStart w:id="45" w:name="diagnostic-plots"/>
    <w:p>
      <w:pPr>
        <w:pStyle w:val="Heading3"/>
      </w:pPr>
      <w:r>
        <w:t xml:space="preserve">4.1 Diagnostic plots</w:t>
      </w:r>
    </w:p>
    <w:p>
      <w:pPr>
        <w:pStyle w:val="FirstParagraph"/>
      </w:pPr>
      <w:r>
        <w:t xml:space="preserve">The comparison table above is aggregate; the plots below show what it looks like row by row.</w:t>
      </w:r>
    </w:p>
    <w:p>
      <w:pPr>
        <w:pStyle w:val="CaptionedFigure"/>
      </w:pPr>
      <w:r>
        <w:drawing>
          <wp:inline>
            <wp:extent cx="3931919" cy="2948940"/>
            <wp:effectExtent b="0" l="0" r="0" t="0"/>
            <wp:docPr descr="Ground truth CO2 vs. all four models’ predictions — full test set (daily mean) and a representative 5-day detail window at native 15-minute resolution" title="" id="37" name="Picture"/>
            <a:graphic>
              <a:graphicData uri="http://schemas.openxmlformats.org/drawingml/2006/picture">
                <pic:pic>
                  <pic:nvPicPr>
                    <pic:cNvPr descr="chart11_predictions_timeseries.png" id="38" name="Picture"/>
                    <pic:cNvPicPr>
                      <a:picLocks noChangeArrowheads="1" noChangeAspect="1"/>
                    </pic:cNvPicPr>
                  </pic:nvPicPr>
                  <pic:blipFill>
                    <a:blip r:embed="rId36"/>
                    <a:stretch>
                      <a:fillRect/>
                    </a:stretch>
                  </pic:blipFill>
                  <pic:spPr bwMode="auto">
                    <a:xfrm>
                      <a:off x="0" y="0"/>
                      <a:ext cx="3931919" cy="2948940"/>
                    </a:xfrm>
                    <a:prstGeom prst="rect">
                      <a:avLst/>
                    </a:prstGeom>
                    <a:noFill/>
                    <a:ln w="9525">
                      <a:noFill/>
                      <a:headEnd/>
                      <a:tailEnd/>
                    </a:ln>
                  </pic:spPr>
                </pic:pic>
              </a:graphicData>
            </a:graphic>
          </wp:inline>
        </w:drawing>
      </w:r>
    </w:p>
    <w:p>
      <w:pPr>
        <w:pStyle w:val="ImageCaption"/>
      </w:pPr>
      <w:r>
        <w:t xml:space="preserve">Ground truth CO2 vs. all four models’ predictions — full test set (daily mean) and a representative 5-day detail window at native 15-minute resolution</w:t>
      </w:r>
    </w:p>
    <w:p>
      <w:pPr>
        <w:pStyle w:val="BodyText"/>
      </w:pPr>
      <w:r>
        <w:t xml:space="preserve">All four track the everyday CO2 trend closely; they diverge at the sharp spikes in the detail panel (14-19 March), where every model lags or flattens the peak — the Decision Tree even overshoots into a spike the sensor never reached (15 March), a symptom of its piecewise-constant leaves extrapolating from a small high-CO2 training leaf.</w:t>
      </w:r>
    </w:p>
    <w:p>
      <w:pPr>
        <w:pStyle w:val="CaptionedFigure"/>
      </w:pPr>
      <w:r>
        <w:drawing>
          <wp:inline>
            <wp:extent cx="5760720" cy="1656207"/>
            <wp:effectExtent b="0" l="0" r="0" t="0"/>
            <wp:docPr descr="Predicted vs. actual CO2 for each model on the held-out test set, with a y=x reference line" title="" id="40" name="Picture"/>
            <a:graphic>
              <a:graphicData uri="http://schemas.openxmlformats.org/drawingml/2006/picture">
                <pic:pic>
                  <pic:nvPicPr>
                    <pic:cNvPr descr="chart12_predicted_vs_actual.png" id="41" name="Picture"/>
                    <pic:cNvPicPr>
                      <a:picLocks noChangeArrowheads="1" noChangeAspect="1"/>
                    </pic:cNvPicPr>
                  </pic:nvPicPr>
                  <pic:blipFill>
                    <a:blip r:embed="rId39"/>
                    <a:stretch>
                      <a:fillRect/>
                    </a:stretch>
                  </pic:blipFill>
                  <pic:spPr bwMode="auto">
                    <a:xfrm>
                      <a:off x="0" y="0"/>
                      <a:ext cx="5760720" cy="1656207"/>
                    </a:xfrm>
                    <a:prstGeom prst="rect">
                      <a:avLst/>
                    </a:prstGeom>
                    <a:noFill/>
                    <a:ln w="9525">
                      <a:noFill/>
                      <a:headEnd/>
                      <a:tailEnd/>
                    </a:ln>
                  </pic:spPr>
                </pic:pic>
              </a:graphicData>
            </a:graphic>
          </wp:inline>
        </w:drawing>
      </w:r>
    </w:p>
    <w:p>
      <w:pPr>
        <w:pStyle w:val="ImageCaption"/>
      </w:pPr>
      <w:r>
        <w:t xml:space="preserve">Predicted vs. actual CO2 for each model on the held-out test set, with a y=x reference line</w:t>
      </w:r>
    </w:p>
    <w:p>
      <w:pPr>
        <w:pStyle w:val="CaptionedFigure"/>
      </w:pPr>
      <w:r>
        <w:drawing>
          <wp:inline>
            <wp:extent cx="5760720" cy="1512189"/>
            <wp:effectExtent b="0" l="0" r="0" t="0"/>
            <wp:docPr descr="Residual (predicted minus actual) vs. predicted CO2 for each model" title="" id="43" name="Picture"/>
            <a:graphic>
              <a:graphicData uri="http://schemas.openxmlformats.org/drawingml/2006/picture">
                <pic:pic>
                  <pic:nvPicPr>
                    <pic:cNvPr descr="chart13_residuals.png" id="44" name="Picture"/>
                    <pic:cNvPicPr>
                      <a:picLocks noChangeArrowheads="1" noChangeAspect="1"/>
                    </pic:cNvPicPr>
                  </pic:nvPicPr>
                  <pic:blipFill>
                    <a:blip r:embed="rId42"/>
                    <a:stretch>
                      <a:fillRect/>
                    </a:stretch>
                  </pic:blipFill>
                  <pic:spPr bwMode="auto">
                    <a:xfrm>
                      <a:off x="0" y="0"/>
                      <a:ext cx="5760720" cy="1512189"/>
                    </a:xfrm>
                    <a:prstGeom prst="rect">
                      <a:avLst/>
                    </a:prstGeom>
                    <a:noFill/>
                    <a:ln w="9525">
                      <a:noFill/>
                      <a:headEnd/>
                      <a:tailEnd/>
                    </a:ln>
                  </pic:spPr>
                </pic:pic>
              </a:graphicData>
            </a:graphic>
          </wp:inline>
        </w:drawing>
      </w:r>
    </w:p>
    <w:p>
      <w:pPr>
        <w:pStyle w:val="ImageCaption"/>
      </w:pPr>
      <w:r>
        <w:t xml:space="preserve">Residual (predicted minus actual) vs. predicted CO2 for each model</w:t>
      </w:r>
    </w:p>
    <w:p>
      <w:pPr>
        <w:pStyle w:val="BodyText"/>
      </w:pPr>
      <w:r>
        <w:t xml:space="preserve">Predicted-vs-actual makes the R² numbers concrete: all four point clouds hug y=x below 550 ppm, then fall well short of it as actual CO2 rises past 600 ppm. The residual plots show the same effect directionally: residuals sit near zero typically but turn increasingly negative as predicted CO2 rises, rather than scattering symmetrically — a model under-responding to its most extreme inputs, consistent with the training data being dominated by the 400-550 ppm range (Section 2.3).</w:t>
      </w:r>
    </w:p>
    <w:bookmarkEnd w:id="45"/>
    <w:bookmarkStart w:id="52" w:name="Xf965eae6f400442b87f8df1b02fb52bece3b127"/>
    <w:p>
      <w:pPr>
        <w:pStyle w:val="Heading3"/>
      </w:pPr>
      <w:r>
        <w:t xml:space="preserve">4.2 Using every usable interval from all sensors</w:t>
      </w:r>
    </w:p>
    <w:p>
      <w:pPr>
        <w:pStyle w:val="FirstParagraph"/>
      </w:pPr>
      <w:r>
        <w:t xml:space="preserve">Rather than accepting or rejecting whole sensors, the unbroken-interval rule (Section 2.3) was applied to all five: any interval of at least 75 minutes is usable. Comparing each reading’s timestamp with the server receive time (</w:t>
      </w:r>
      <w:r>
        <w:rPr>
          <w:rStyle w:val="VerbatimChar"/>
        </w:rPr>
        <w:t xml:space="preserve">createdate</w:t>
      </w:r>
      <w:r>
        <w:t xml:space="preserve">) showed that a sensor which stops measuring keeps re-sending its last packet about every 11 minutes.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Sensor (last 4 digits)</w:t>
            </w:r>
          </w:p>
        </w:tc>
        <w:tc>
          <w:tcPr/>
          <w:p>
            <w:pPr>
              <w:pStyle w:val="Compact"/>
              <w:jc w:val="left"/>
            </w:pPr>
            <w:r>
              <w:t xml:space="preserve">Raw rows</w:t>
            </w:r>
          </w:p>
        </w:tc>
        <w:tc>
          <w:tcPr/>
          <w:p>
            <w:pPr>
              <w:pStyle w:val="Compact"/>
              <w:jc w:val="left"/>
            </w:pPr>
            <w:r>
              <w:t xml:space="preserve">Distinct readings</w:t>
            </w:r>
          </w:p>
        </w:tc>
        <w:tc>
          <w:tcPr/>
          <w:p>
            <w:pPr>
              <w:pStyle w:val="Compact"/>
              <w:jc w:val="left"/>
            </w:pPr>
            <w:r>
              <w:t xml:space="preserve">Stale re-sent rows</w:t>
            </w:r>
          </w:p>
        </w:tc>
        <w:tc>
          <w:tcPr/>
          <w:p>
            <w:pPr>
              <w:pStyle w:val="Compact"/>
              <w:jc w:val="left"/>
            </w:pPr>
            <w:r>
              <w:t xml:space="preserve">Usable intervals</w:t>
            </w:r>
          </w:p>
        </w:tc>
        <w:tc>
          <w:tcPr/>
          <w:p>
            <w:pPr>
              <w:pStyle w:val="Compact"/>
              <w:jc w:val="left"/>
            </w:pPr>
            <w:r>
              <w:t xml:space="preserve">Hours</w:t>
            </w:r>
          </w:p>
        </w:tc>
        <w:tc>
          <w:tcPr/>
          <w:p>
            <w:pPr>
              <w:pStyle w:val="Compact"/>
              <w:jc w:val="left"/>
            </w:pPr>
            <w:r>
              <w:t xml:space="preserve">Usable rows</w:t>
            </w:r>
          </w:p>
        </w:tc>
      </w:tr>
      <w:tr>
        <w:tc>
          <w:tcPr/>
          <w:p>
            <w:pPr>
              <w:pStyle w:val="Compact"/>
              <w:jc w:val="left"/>
            </w:pPr>
            <w:r>
              <w:t xml:space="preserve">0326</w:t>
            </w:r>
          </w:p>
        </w:tc>
        <w:tc>
          <w:tcPr/>
          <w:p>
            <w:pPr>
              <w:pStyle w:val="Compact"/>
              <w:jc w:val="left"/>
            </w:pPr>
            <w:r>
              <w:t xml:space="preserve">58,909</w:t>
            </w:r>
          </w:p>
        </w:tc>
        <w:tc>
          <w:tcPr/>
          <w:p>
            <w:pPr>
              <w:pStyle w:val="Compact"/>
              <w:jc w:val="left"/>
            </w:pPr>
            <w:r>
              <w:t xml:space="preserve">29,039</w:t>
            </w:r>
          </w:p>
        </w:tc>
        <w:tc>
          <w:tcPr/>
          <w:p>
            <w:pPr>
              <w:pStyle w:val="Compact"/>
              <w:jc w:val="left"/>
            </w:pPr>
            <w:r>
              <w:t xml:space="preserve">29,342</w:t>
            </w:r>
          </w:p>
        </w:tc>
        <w:tc>
          <w:tcPr/>
          <w:p>
            <w:pPr>
              <w:pStyle w:val="Compact"/>
              <w:jc w:val="left"/>
            </w:pPr>
            <w:r>
              <w:t xml:space="preserve">649</w:t>
            </w:r>
          </w:p>
        </w:tc>
        <w:tc>
          <w:tcPr/>
          <w:p>
            <w:pPr>
              <w:pStyle w:val="Compact"/>
              <w:jc w:val="left"/>
            </w:pPr>
            <w:r>
              <w:t xml:space="preserve">4,978</w:t>
            </w:r>
          </w:p>
        </w:tc>
        <w:tc>
          <w:tcPr/>
          <w:p>
            <w:pPr>
              <w:pStyle w:val="Compact"/>
              <w:jc w:val="left"/>
            </w:pPr>
            <w:r>
              <w:t xml:space="preserve">17,317</w:t>
            </w:r>
          </w:p>
        </w:tc>
      </w:tr>
      <w:tr>
        <w:tc>
          <w:tcPr/>
          <w:p>
            <w:pPr>
              <w:pStyle w:val="Compact"/>
              <w:jc w:val="left"/>
            </w:pPr>
            <w:r>
              <w:t xml:space="preserve">0869</w:t>
            </w:r>
          </w:p>
        </w:tc>
        <w:tc>
          <w:tcPr/>
          <w:p>
            <w:pPr>
              <w:pStyle w:val="Compact"/>
              <w:jc w:val="left"/>
            </w:pPr>
            <w:r>
              <w:t xml:space="preserve">29,341</w:t>
            </w:r>
          </w:p>
        </w:tc>
        <w:tc>
          <w:tcPr/>
          <w:p>
            <w:pPr>
              <w:pStyle w:val="Compact"/>
              <w:jc w:val="left"/>
            </w:pPr>
            <w:r>
              <w:t xml:space="preserve">13,800</w:t>
            </w:r>
          </w:p>
        </w:tc>
        <w:tc>
          <w:tcPr/>
          <w:p>
            <w:pPr>
              <w:pStyle w:val="Compact"/>
              <w:jc w:val="left"/>
            </w:pPr>
            <w:r>
              <w:t xml:space="preserve">15,297</w:t>
            </w:r>
          </w:p>
        </w:tc>
        <w:tc>
          <w:tcPr/>
          <w:p>
            <w:pPr>
              <w:pStyle w:val="Compact"/>
              <w:jc w:val="left"/>
            </w:pPr>
            <w:r>
              <w:t xml:space="preserve">458</w:t>
            </w:r>
          </w:p>
        </w:tc>
        <w:tc>
          <w:tcPr/>
          <w:p>
            <w:pPr>
              <w:pStyle w:val="Compact"/>
              <w:jc w:val="left"/>
            </w:pPr>
            <w:r>
              <w:t xml:space="preserve">2,403</w:t>
            </w:r>
          </w:p>
        </w:tc>
        <w:tc>
          <w:tcPr/>
          <w:p>
            <w:pPr>
              <w:pStyle w:val="Compact"/>
              <w:jc w:val="left"/>
            </w:pPr>
            <w:r>
              <w:t xml:space="preserve">7,781</w:t>
            </w:r>
          </w:p>
        </w:tc>
      </w:tr>
      <w:tr>
        <w:tc>
          <w:tcPr/>
          <w:p>
            <w:pPr>
              <w:pStyle w:val="Compact"/>
              <w:jc w:val="left"/>
            </w:pPr>
            <w:r>
              <w:t xml:space="preserve">0241</w:t>
            </w:r>
          </w:p>
        </w:tc>
        <w:tc>
          <w:tcPr/>
          <w:p>
            <w:pPr>
              <w:pStyle w:val="Compact"/>
              <w:jc w:val="left"/>
            </w:pPr>
            <w:r>
              <w:t xml:space="preserve">58,908</w:t>
            </w:r>
          </w:p>
        </w:tc>
        <w:tc>
          <w:tcPr/>
          <w:p>
            <w:pPr>
              <w:pStyle w:val="Compact"/>
              <w:jc w:val="left"/>
            </w:pPr>
            <w:r>
              <w:t xml:space="preserve">2</w:t>
            </w:r>
          </w:p>
        </w:tc>
        <w:tc>
          <w:tcPr/>
          <w:p>
            <w:pPr>
              <w:pStyle w:val="Compact"/>
              <w:jc w:val="left"/>
            </w:pPr>
            <w:r>
              <w:t xml:space="preserve">58,908</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0227</w:t>
            </w:r>
          </w:p>
        </w:tc>
        <w:tc>
          <w:tcPr/>
          <w:p>
            <w:pPr>
              <w:pStyle w:val="Compact"/>
              <w:jc w:val="left"/>
            </w:pPr>
            <w:r>
              <w:t xml:space="preserve">21,363</w:t>
            </w:r>
          </w:p>
        </w:tc>
        <w:tc>
          <w:tcPr/>
          <w:p>
            <w:pPr>
              <w:pStyle w:val="Compact"/>
              <w:jc w:val="left"/>
            </w:pPr>
            <w:r>
              <w:t xml:space="preserve">1</w:t>
            </w:r>
          </w:p>
        </w:tc>
        <w:tc>
          <w:tcPr/>
          <w:p>
            <w:pPr>
              <w:pStyle w:val="Compact"/>
              <w:jc w:val="left"/>
            </w:pPr>
            <w:r>
              <w:t xml:space="preserve">21,363</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0777</w:t>
            </w:r>
          </w:p>
        </w:tc>
        <w:tc>
          <w:tcPr/>
          <w:p>
            <w:pPr>
              <w:pStyle w:val="Compact"/>
              <w:jc w:val="left"/>
            </w:pPr>
            <w:r>
              <w:t xml:space="preserve">10,926</w:t>
            </w:r>
          </w:p>
        </w:tc>
        <w:tc>
          <w:tcPr/>
          <w:p>
            <w:pPr>
              <w:pStyle w:val="Compact"/>
              <w:jc w:val="left"/>
            </w:pPr>
            <w:r>
              <w:t xml:space="preserve">1</w:t>
            </w:r>
          </w:p>
        </w:tc>
        <w:tc>
          <w:tcPr/>
          <w:p>
            <w:pPr>
              <w:pStyle w:val="Compact"/>
              <w:jc w:val="left"/>
            </w:pPr>
            <w:r>
              <w:t xml:space="preserve">10,926</w:t>
            </w:r>
          </w:p>
        </w:tc>
        <w:tc>
          <w:tcPr/>
          <w:p>
            <w:pPr>
              <w:pStyle w:val="Compact"/>
              <w:jc w:val="left"/>
            </w:pPr>
            <w:r>
              <w:t xml:space="preserve">0</w:t>
            </w:r>
          </w:p>
        </w:tc>
        <w:tc>
          <w:tcPr/>
          <w:p>
            <w:pPr>
              <w:pStyle w:val="Compact"/>
              <w:jc w:val="left"/>
            </w:pPr>
            <w:r>
              <w:t xml:space="preserve">0</w:t>
            </w:r>
          </w:p>
        </w:tc>
        <w:tc>
          <w:tcPr/>
          <w:p>
            <w:pPr>
              <w:pStyle w:val="Compact"/>
              <w:jc w:val="left"/>
            </w:pPr>
            <w:r>
              <w:t xml:space="preserve">0</w:t>
            </w:r>
          </w:p>
        </w:tc>
      </w:tr>
    </w:tbl>
    <w:p>
      <w:pPr>
        <w:pStyle w:val="CaptionedFigure"/>
      </w:pPr>
      <w:r>
        <w:drawing>
          <wp:inline>
            <wp:extent cx="4754880" cy="1536192"/>
            <wp:effectExtent b="0" l="0" r="0" t="0"/>
            <wp:docPr descr="Usable unbroken intervals (green) and re-transmitted stale packets (grey) for each sensor" title="" id="47" name="Picture"/>
            <a:graphic>
              <a:graphicData uri="http://schemas.openxmlformats.org/drawingml/2006/picture">
                <pic:pic>
                  <pic:nvPicPr>
                    <pic:cNvPr descr="chart15_sensor_intervals.png" id="48" name="Picture"/>
                    <pic:cNvPicPr>
                      <a:picLocks noChangeArrowheads="1" noChangeAspect="1"/>
                    </pic:cNvPicPr>
                  </pic:nvPicPr>
                  <pic:blipFill>
                    <a:blip r:embed="rId46"/>
                    <a:stretch>
                      <a:fillRect/>
                    </a:stretch>
                  </pic:blipFill>
                  <pic:spPr bwMode="auto">
                    <a:xfrm>
                      <a:off x="0" y="0"/>
                      <a:ext cx="4754880" cy="1536192"/>
                    </a:xfrm>
                    <a:prstGeom prst="rect">
                      <a:avLst/>
                    </a:prstGeom>
                    <a:noFill/>
                    <a:ln w="9525">
                      <a:noFill/>
                      <a:headEnd/>
                      <a:tailEnd/>
                    </a:ln>
                  </pic:spPr>
                </pic:pic>
              </a:graphicData>
            </a:graphic>
          </wp:inline>
        </w:drawing>
      </w:r>
    </w:p>
    <w:p>
      <w:pPr>
        <w:pStyle w:val="ImageCaption"/>
      </w:pPr>
      <w:r>
        <w:t xml:space="preserve">Usable unbroken intervals (green) and re-transmitted stale packets (grey) for each sensor</w:t>
      </w:r>
    </w:p>
    <w:p>
      <w:pPr>
        <w:pStyle w:val="BodyText"/>
      </w:pPr>
      <w:r>
        <w:t xml:space="preserve">Three sensors never produce more than two distinct readings, so no interval can be formed. Sensor</w:t>
      </w:r>
      <w:r>
        <w:t xml:space="preserve"> </w:t>
      </w:r>
      <w:r>
        <w:rPr>
          <w:rStyle w:val="VerbatimChar"/>
        </w:rPr>
        <w:t xml:space="preserve">6012002000869</w:t>
      </w:r>
      <w:r>
        <w:t xml:space="preserve"> </w:t>
      </w:r>
      <w:r>
        <w:t xml:space="preserve">(room G.38, the only documented sensor) has genuine readings from 29 February to 13 June 2024, giving 7,781 more rows. Both experiments below exclude occupancy (it adds nothing, Section 4) and include a naive</w:t>
      </w:r>
      <w:r>
        <w:t xml:space="preserve"> </w:t>
      </w:r>
      <w:r>
        <w:rPr>
          <w:iCs/>
          <w:i/>
        </w:rPr>
        <w:t xml:space="preserve">persistence</w:t>
      </w:r>
      <w:r>
        <w:t xml:space="preserve"> </w:t>
      </w:r>
      <w:r>
        <w:t xml:space="preserve">forecast (next CO₂ = current CO₂) as the floor a useful model must beat.</w:t>
      </w:r>
    </w:p>
    <w:p>
      <w:pPr>
        <w:pStyle w:val="BodyText"/>
      </w:pPr>
      <w:r>
        <w:rPr>
          <w:bCs/>
          <w:b/>
        </w:rPr>
        <w:t xml:space="preserve">Experiment A: pooled training.</w:t>
      </w:r>
      <w:r>
        <w:t xml:space="preserve"> </w:t>
      </w:r>
      <w:r>
        <w:t xml:space="preserve">Train on sensor</w:t>
      </w:r>
      <w:r>
        <w:t xml:space="preserve"> </w:t>
      </w:r>
      <w:r>
        <w:rPr>
          <w:rStyle w:val="VerbatimChar"/>
        </w:rPr>
        <w:t xml:space="preserve">6012002000326</w:t>
      </w:r>
      <w:r>
        <w:t xml:space="preserve">’s training period plus all of</w:t>
      </w:r>
      <w:r>
        <w:t xml:space="preserve"> </w:t>
      </w:r>
      <w:r>
        <w:rPr>
          <w:rStyle w:val="VerbatimChar"/>
        </w:rPr>
        <w:t xml:space="preserve">6012002000869</w:t>
      </w:r>
      <w:r>
        <w:t xml:space="preserve"> </w:t>
      </w:r>
      <w:r>
        <w:t xml:space="preserve">(2024, before the cutoff); test on the unchanged</w:t>
      </w:r>
      <w:r>
        <w:t xml:space="preserve"> </w:t>
      </w:r>
      <w:r>
        <w:rPr>
          <w:rStyle w:val="VerbatimChar"/>
        </w:rPr>
        <w:t xml:space="preserve">6012002000326</w:t>
      </w:r>
      <w:r>
        <w:t xml:space="preserve"> </w:t>
      </w:r>
      <w:r>
        <w:t xml:space="preserve">test period.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Method</w:t>
            </w:r>
          </w:p>
        </w:tc>
        <w:tc>
          <w:tcPr/>
          <w:p>
            <w:pPr>
              <w:pStyle w:val="Compact"/>
              <w:jc w:val="left"/>
            </w:pPr>
            <w:r>
              <w:t xml:space="preserve">MAE, 0326 only (ppm)</w:t>
            </w:r>
          </w:p>
        </w:tc>
        <w:tc>
          <w:tcPr/>
          <w:p>
            <w:pPr>
              <w:pStyle w:val="Compact"/>
              <w:jc w:val="left"/>
            </w:pPr>
            <w:r>
              <w:t xml:space="preserve">MAE, pooled (ppm)</w:t>
            </w:r>
          </w:p>
        </w:tc>
        <w:tc>
          <w:tcPr/>
          <w:p>
            <w:pPr>
              <w:pStyle w:val="Compact"/>
              <w:jc w:val="left"/>
            </w:pPr>
            <w:r>
              <w:t xml:space="preserve">R², 0326 only</w:t>
            </w:r>
          </w:p>
        </w:tc>
        <w:tc>
          <w:tcPr/>
          <w:p>
            <w:pPr>
              <w:pStyle w:val="Compact"/>
              <w:jc w:val="left"/>
            </w:pPr>
            <w:r>
              <w:t xml:space="preserve">R², pooled</w:t>
            </w:r>
          </w:p>
        </w:tc>
      </w:tr>
      <w:tr>
        <w:tc>
          <w:tcPr/>
          <w:p>
            <w:pPr>
              <w:pStyle w:val="Compact"/>
              <w:jc w:val="left"/>
            </w:pPr>
            <w:r>
              <w:t xml:space="preserve">Persistence</w:t>
            </w:r>
          </w:p>
        </w:tc>
        <w:tc>
          <w:tcPr/>
          <w:p>
            <w:pPr>
              <w:pStyle w:val="Compact"/>
              <w:jc w:val="left"/>
            </w:pPr>
            <w:r>
              <w:t xml:space="preserve">9.823</w:t>
            </w:r>
          </w:p>
        </w:tc>
        <w:tc>
          <w:tcPr/>
          <w:p>
            <w:pPr>
              <w:pStyle w:val="Compact"/>
              <w:jc w:val="left"/>
            </w:pPr>
            <w:r>
              <w:t xml:space="preserve">9.823</w:t>
            </w:r>
          </w:p>
        </w:tc>
        <w:tc>
          <w:tcPr/>
          <w:p>
            <w:pPr>
              <w:pStyle w:val="Compact"/>
              <w:jc w:val="left"/>
            </w:pPr>
            <w:r>
              <w:t xml:space="preserve">0.161</w:t>
            </w:r>
          </w:p>
        </w:tc>
        <w:tc>
          <w:tcPr/>
          <w:p>
            <w:pPr>
              <w:pStyle w:val="Compact"/>
              <w:jc w:val="left"/>
            </w:pPr>
            <w:r>
              <w:t xml:space="preserve">0.161</w:t>
            </w:r>
          </w:p>
        </w:tc>
      </w:tr>
      <w:tr>
        <w:tc>
          <w:tcPr/>
          <w:p>
            <w:pPr>
              <w:pStyle w:val="Compact"/>
              <w:jc w:val="left"/>
            </w:pPr>
            <w:r>
              <w:t xml:space="preserve">Linear Regression</w:t>
            </w:r>
          </w:p>
        </w:tc>
        <w:tc>
          <w:tcPr/>
          <w:p>
            <w:pPr>
              <w:pStyle w:val="Compact"/>
              <w:jc w:val="left"/>
            </w:pPr>
            <w:r>
              <w:t xml:space="preserve">8.969</w:t>
            </w:r>
          </w:p>
        </w:tc>
        <w:tc>
          <w:tcPr/>
          <w:p>
            <w:pPr>
              <w:pStyle w:val="Compact"/>
              <w:jc w:val="left"/>
            </w:pPr>
            <w:r>
              <w:t xml:space="preserve">9.138</w:t>
            </w:r>
          </w:p>
        </w:tc>
        <w:tc>
          <w:tcPr/>
          <w:p>
            <w:pPr>
              <w:pStyle w:val="Compact"/>
              <w:jc w:val="left"/>
            </w:pPr>
            <w:r>
              <w:t xml:space="preserve">0.362</w:t>
            </w:r>
          </w:p>
        </w:tc>
        <w:tc>
          <w:tcPr/>
          <w:p>
            <w:pPr>
              <w:pStyle w:val="Compact"/>
              <w:jc w:val="left"/>
            </w:pPr>
            <w:r>
              <w:t xml:space="preserve">0.324</w:t>
            </w:r>
          </w:p>
        </w:tc>
      </w:tr>
      <w:tr>
        <w:tc>
          <w:tcPr/>
          <w:p>
            <w:pPr>
              <w:pStyle w:val="Compact"/>
              <w:jc w:val="left"/>
            </w:pPr>
            <w:r>
              <w:t xml:space="preserve">Decision Tree</w:t>
            </w:r>
          </w:p>
        </w:tc>
        <w:tc>
          <w:tcPr/>
          <w:p>
            <w:pPr>
              <w:pStyle w:val="Compact"/>
              <w:jc w:val="left"/>
            </w:pPr>
            <w:r>
              <w:t xml:space="preserve">9.053</w:t>
            </w:r>
          </w:p>
        </w:tc>
        <w:tc>
          <w:tcPr/>
          <w:p>
            <w:pPr>
              <w:pStyle w:val="Compact"/>
              <w:jc w:val="left"/>
            </w:pPr>
            <w:r>
              <w:t xml:space="preserve">8.687</w:t>
            </w:r>
          </w:p>
        </w:tc>
        <w:tc>
          <w:tcPr/>
          <w:p>
            <w:pPr>
              <w:pStyle w:val="Compact"/>
              <w:jc w:val="left"/>
            </w:pPr>
            <w:r>
              <w:t xml:space="preserve">0.258</w:t>
            </w:r>
          </w:p>
        </w:tc>
        <w:tc>
          <w:tcPr/>
          <w:p>
            <w:pPr>
              <w:pStyle w:val="Compact"/>
              <w:jc w:val="left"/>
            </w:pPr>
            <w:r>
              <w:t xml:space="preserve">0.315</w:t>
            </w:r>
          </w:p>
        </w:tc>
      </w:tr>
      <w:tr>
        <w:tc>
          <w:tcPr/>
          <w:p>
            <w:pPr>
              <w:pStyle w:val="Compact"/>
              <w:jc w:val="left"/>
            </w:pPr>
            <w:r>
              <w:rPr>
                <w:bCs/>
                <w:b/>
              </w:rPr>
              <w:t xml:space="preserve">SVR</w:t>
            </w:r>
          </w:p>
        </w:tc>
        <w:tc>
          <w:tcPr/>
          <w:p>
            <w:pPr>
              <w:pStyle w:val="Compact"/>
              <w:jc w:val="left"/>
            </w:pPr>
            <w:r>
              <w:t xml:space="preserve">8.295</w:t>
            </w:r>
          </w:p>
        </w:tc>
        <w:tc>
          <w:tcPr/>
          <w:p>
            <w:pPr>
              <w:pStyle w:val="Compact"/>
              <w:jc w:val="left"/>
            </w:pPr>
            <w:r>
              <w:rPr>
                <w:bCs/>
                <w:b/>
              </w:rPr>
              <w:t xml:space="preserve">8.135</w:t>
            </w:r>
          </w:p>
        </w:tc>
        <w:tc>
          <w:tcPr/>
          <w:p>
            <w:pPr>
              <w:pStyle w:val="Compact"/>
              <w:jc w:val="left"/>
            </w:pPr>
            <w:r>
              <w:t xml:space="preserve">0.349</w:t>
            </w:r>
          </w:p>
        </w:tc>
        <w:tc>
          <w:tcPr/>
          <w:p>
            <w:pPr>
              <w:pStyle w:val="Compact"/>
              <w:jc w:val="left"/>
            </w:pPr>
            <w:r>
              <w:t xml:space="preserve">0.373</w:t>
            </w:r>
          </w:p>
        </w:tc>
      </w:tr>
      <w:tr>
        <w:tc>
          <w:tcPr/>
          <w:p>
            <w:pPr>
              <w:pStyle w:val="Compact"/>
              <w:jc w:val="left"/>
            </w:pPr>
            <w:r>
              <w:t xml:space="preserve">Neural Network</w:t>
            </w:r>
          </w:p>
        </w:tc>
        <w:tc>
          <w:tcPr/>
          <w:p>
            <w:pPr>
              <w:pStyle w:val="Compact"/>
              <w:jc w:val="left"/>
            </w:pPr>
            <w:r>
              <w:t xml:space="preserve">8.865</w:t>
            </w:r>
          </w:p>
        </w:tc>
        <w:tc>
          <w:tcPr/>
          <w:p>
            <w:pPr>
              <w:pStyle w:val="Compact"/>
              <w:jc w:val="left"/>
            </w:pPr>
            <w:r>
              <w:t xml:space="preserve">8.897</w:t>
            </w:r>
          </w:p>
        </w:tc>
        <w:tc>
          <w:tcPr/>
          <w:p>
            <w:pPr>
              <w:pStyle w:val="Compact"/>
              <w:jc w:val="left"/>
            </w:pPr>
            <w:r>
              <w:t xml:space="preserve">0.375</w:t>
            </w:r>
          </w:p>
        </w:tc>
        <w:tc>
          <w:tcPr/>
          <w:p>
            <w:pPr>
              <w:pStyle w:val="Compact"/>
              <w:jc w:val="left"/>
            </w:pPr>
            <w:r>
              <w:t xml:space="preserve">0.381</w:t>
            </w:r>
          </w:p>
        </w:tc>
      </w:tr>
    </w:tbl>
    <w:p>
      <w:pPr>
        <w:pStyle w:val="BodyText"/>
      </w:pPr>
      <w:r>
        <w:t xml:space="preserve">Pooling adds 56% more training data (13,853 to 21,634 rows). SVR improves slightly (MAE 8.30 to 8.14 ppm) and the data-hungry Decision Tree most, but no change is statistically significant: 95% moving-block bootstrap intervals (one-day blocks) on the paired MAE difference all span zero, e.g. SVR +0.16 ppm [−0.07, +0.44]. All models beat persistence (9.82 ppm).</w:t>
      </w:r>
    </w:p>
    <w:p>
      <w:pPr>
        <w:pStyle w:val="BodyText"/>
      </w:pPr>
      <w:r>
        <w:rPr>
          <w:bCs/>
          <w:b/>
        </w:rPr>
        <w:t xml:space="preserve">Experiment B: cross-sensor transfer.</w:t>
      </w:r>
      <w:r>
        <w:t xml:space="preserve"> </w:t>
      </w:r>
      <w:r>
        <w:t xml:space="preserve">Train on</w:t>
      </w:r>
      <w:r>
        <w:t xml:space="preserve"> </w:t>
      </w:r>
      <w:r>
        <w:rPr>
          <w:rStyle w:val="VerbatimChar"/>
        </w:rPr>
        <w:t xml:space="preserve">6012002000326</w:t>
      </w:r>
      <w:r>
        <w:t xml:space="preserve"> </w:t>
      </w:r>
      <w:r>
        <w:t xml:space="preserve">only and test on the final 20% of</w:t>
      </w:r>
      <w:r>
        <w:t xml:space="preserve"> </w:t>
      </w:r>
      <w:r>
        <w:rPr>
          <w:rStyle w:val="VerbatimChar"/>
        </w:rPr>
        <w:t xml:space="preserve">6012002000869</w:t>
      </w:r>
      <w:r>
        <w:t xml:space="preserve">, against a model trained on</w:t>
      </w:r>
      <w:r>
        <w:t xml:space="preserve"> </w:t>
      </w:r>
      <w:r>
        <w:rPr>
          <w:rStyle w:val="VerbatimChar"/>
        </w:rPr>
        <w:t xml:space="preserve">6012002000869</w:t>
      </w:r>
      <w:r>
        <w:t xml:space="preserve">’s own earlier data (figure, right).</w:t>
      </w:r>
    </w:p>
    <w:p>
      <w:pPr>
        <w:pStyle w:val="CaptionedFigure"/>
      </w:pPr>
      <w:r>
        <w:drawing>
          <wp:inline>
            <wp:extent cx="4754880" cy="1682496"/>
            <wp:effectExtent b="0" l="0" r="0" t="0"/>
            <wp:docPr descr="MAE for Experiment A (left) and Experiment B (right)" title="" id="50" name="Picture"/>
            <a:graphic>
              <a:graphicData uri="http://schemas.openxmlformats.org/drawingml/2006/picture">
                <pic:pic>
                  <pic:nvPicPr>
                    <pic:cNvPr descr="chart16_multi_sensor_results.png" id="51" name="Picture"/>
                    <pic:cNvPicPr>
                      <a:picLocks noChangeArrowheads="1" noChangeAspect="1"/>
                    </pic:cNvPicPr>
                  </pic:nvPicPr>
                  <pic:blipFill>
                    <a:blip r:embed="rId49"/>
                    <a:stretch>
                      <a:fillRect/>
                    </a:stretch>
                  </pic:blipFill>
                  <pic:spPr bwMode="auto">
                    <a:xfrm>
                      <a:off x="0" y="0"/>
                      <a:ext cx="4754880" cy="1682496"/>
                    </a:xfrm>
                    <a:prstGeom prst="rect">
                      <a:avLst/>
                    </a:prstGeom>
                    <a:noFill/>
                    <a:ln w="9525">
                      <a:noFill/>
                      <a:headEnd/>
                      <a:tailEnd/>
                    </a:ln>
                  </pic:spPr>
                </pic:pic>
              </a:graphicData>
            </a:graphic>
          </wp:inline>
        </w:drawing>
      </w:r>
    </w:p>
    <w:p>
      <w:pPr>
        <w:pStyle w:val="ImageCaption"/>
      </w:pPr>
      <w:r>
        <w:t xml:space="preserve">MAE for Experiment A (left) and Experiment B (right)</w:t>
      </w:r>
    </w:p>
    <w:p>
      <w:pPr>
        <w:pStyle w:val="BodyText"/>
      </w:pPr>
      <w:r>
        <w:t xml:space="preserve">Trained on its own room, every model beats persistence (7.75 ppm) and SVR is best (MAE 6.99 ppm, R² 0.78). Trained on the other room, every model is</w:t>
      </w:r>
      <w:r>
        <w:t xml:space="preserve"> </w:t>
      </w:r>
      <w:r>
        <w:rPr>
          <w:iCs/>
          <w:i/>
        </w:rPr>
        <w:t xml:space="preserve">worse than persistence</w:t>
      </w:r>
      <w:r>
        <w:t xml:space="preserve"> </w:t>
      </w:r>
      <w:r>
        <w:t xml:space="preserve">(Decision Tree 10.24 ppm). The models learn room-specific behaviour — the level each room settles to and how fast it returns — and the rooms are driven differently: G.38 by occupants, sensor</w:t>
      </w:r>
      <w:r>
        <w:t xml:space="preserve"> </w:t>
      </w:r>
      <w:r>
        <w:rPr>
          <w:rStyle w:val="VerbatimChar"/>
        </w:rPr>
        <w:t xml:space="preserve">6012002000326</w:t>
      </w:r>
      <w:r>
        <w:t xml:space="preserve"> </w:t>
      </w:r>
      <w:r>
        <w:t xml:space="preserve">by the ventilation schedule (Section 4). A forecaster must be trained per room.</w:t>
      </w:r>
    </w:p>
    <w:bookmarkEnd w:id="52"/>
    <w:bookmarkEnd w:id="53"/>
    <w:bookmarkStart w:id="61" w:name="validation"/>
    <w:p>
      <w:pPr>
        <w:pStyle w:val="Heading2"/>
      </w:pPr>
      <w:r>
        <w:t xml:space="preserve">5. Validation</w:t>
      </w:r>
    </w:p>
    <w:bookmarkStart w:id="57" w:name="traintest-split"/>
    <w:p>
      <w:pPr>
        <w:pStyle w:val="Heading3"/>
      </w:pPr>
      <w:r>
        <w:t xml:space="preserve">5.1 Train/Test Split</w:t>
      </w:r>
    </w:p>
    <w:p>
      <w:pPr>
        <w:pStyle w:val="FirstParagraph"/>
      </w:pPr>
      <w:r>
        <w:t xml:space="preserve">The first 80% of rows (13,608, up to 11 March 2026) were used for training and the final 20% (3,402) for testing. A random split was deliberately avoided: CO₂ is strongly autocorrelated, so randomly placed test points would sit beside near-identical training points, and the score would measure interpolation rather than forecasting an unseen future. The chronological split matches deployment.</w:t>
      </w:r>
    </w:p>
    <w:p>
      <w:pPr>
        <w:pStyle w:val="CaptionedFigure"/>
      </w:pPr>
      <w:r>
        <w:drawing>
          <wp:inline>
            <wp:extent cx="5029200" cy="1237956"/>
            <wp:effectExtent b="0" l="0" r="0" t="0"/>
            <wp:docPr descr="Chronological train/test split over the full sensor history for sensor 6012002000326" title="" id="55" name="Picture"/>
            <a:graphic>
              <a:graphicData uri="http://schemas.openxmlformats.org/drawingml/2006/picture">
                <pic:pic>
                  <pic:nvPicPr>
                    <pic:cNvPr descr="chart14_train_test_split.png" id="56" name="Picture"/>
                    <pic:cNvPicPr>
                      <a:picLocks noChangeArrowheads="1" noChangeAspect="1"/>
                    </pic:cNvPicPr>
                  </pic:nvPicPr>
                  <pic:blipFill>
                    <a:blip r:embed="rId54"/>
                    <a:stretch>
                      <a:fillRect/>
                    </a:stretch>
                  </pic:blipFill>
                  <pic:spPr bwMode="auto">
                    <a:xfrm>
                      <a:off x="0" y="0"/>
                      <a:ext cx="5029200" cy="1237956"/>
                    </a:xfrm>
                    <a:prstGeom prst="rect">
                      <a:avLst/>
                    </a:prstGeom>
                    <a:noFill/>
                    <a:ln w="9525">
                      <a:noFill/>
                      <a:headEnd/>
                      <a:tailEnd/>
                    </a:ln>
                  </pic:spPr>
                </pic:pic>
              </a:graphicData>
            </a:graphic>
          </wp:inline>
        </w:drawing>
      </w:r>
    </w:p>
    <w:p>
      <w:pPr>
        <w:pStyle w:val="ImageCaption"/>
      </w:pPr>
      <w:r>
        <w:t xml:space="preserve">Chronological train/test split over the full sensor history for sensor 6012002000326</w:t>
      </w:r>
    </w:p>
    <w:bookmarkEnd w:id="57"/>
    <w:bookmarkStart w:id="58" w:name="evaluation-metrics"/>
    <w:p>
      <w:pPr>
        <w:pStyle w:val="Heading3"/>
      </w:pPr>
      <w:r>
        <w:t xml:space="preserve">5.2 Evaluation Metrics</w:t>
      </w:r>
    </w:p>
    <w:p>
      <w:pPr>
        <w:pStyle w:val="FirstParagraph"/>
      </w:pPr>
      <w:r>
        <w:rPr>
          <w:bCs/>
          <w:b/>
        </w:rPr>
        <w:t xml:space="preserve">Mean Absolute Error (MAE):</w:t>
      </w:r>
    </w:p>
    <w:p>
      <w:pPr>
        <w:pStyle w:val="BodyText"/>
      </w:pPr>
      <m:oMathPara>
        <m:oMathParaPr>
          <m:jc m:val="center"/>
        </m:oMathParaPr>
        <m:oMath>
          <m:r>
            <m:rPr>
              <m:nor/>
              <m:sty m:val="p"/>
            </m:rPr>
            <m:t>MAE</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d>
                <m:dPr>
                  <m:begChr m:val="|"/>
                  <m:endChr m:val="|"/>
                  <m:sepChr m:val=""/>
                  <m:grow/>
                </m:dPr>
                <m:e>
                  <m:sSub>
                    <m:e>
                      <m:acc>
                        <m:accPr>
                          <m:chr m:val="̂"/>
                        </m:accPr>
                        <m:e>
                          <m:r>
                            <m:t>y</m:t>
                          </m:r>
                        </m:e>
                      </m:acc>
                    </m:e>
                    <m:sub>
                      <m:r>
                        <m:t>i</m:t>
                      </m:r>
                    </m:sub>
                  </m:sSub>
                  <m:r>
                    <m:rPr>
                      <m:sty m:val="p"/>
                    </m:rPr>
                    <m:t>−</m:t>
                  </m:r>
                  <m:sSub>
                    <m:e>
                      <m:r>
                        <m:t>y</m:t>
                      </m:r>
                    </m:e>
                    <m:sub>
                      <m:r>
                        <m:t>i</m:t>
                      </m:r>
                    </m:sub>
                  </m:sSub>
                </m:e>
              </m:d>
            </m:e>
          </m:nary>
        </m:oMath>
      </m:oMathPara>
    </w:p>
    <w:p>
      <w:pPr>
        <w:pStyle w:val="FirstParagraph"/>
      </w:pPr>
      <w:r>
        <w:t xml:space="preserve">The average error in ppm, robust to occasional outliers: an MAE of 8.35 ppm means predictions are on average 8.35 ppm from the true reading.</w:t>
      </w:r>
    </w:p>
    <w:p>
      <w:pPr>
        <w:pStyle w:val="BodyText"/>
      </w:pPr>
      <w:r>
        <w:rPr>
          <w:bCs/>
          <w:b/>
        </w:rPr>
        <w:t xml:space="preserve">Root Mean Square Error (RMSE):</w:t>
      </w:r>
    </w:p>
    <w:p>
      <w:pPr>
        <w:pStyle w:val="BodyText"/>
      </w:pPr>
      <m:oMathPara>
        <m:oMathParaPr>
          <m:jc m:val="center"/>
        </m:oMathParaPr>
        <m:oMath>
          <m:r>
            <m:rPr>
              <m:nor/>
              <m:sty m:val="p"/>
            </m:rPr>
            <m:t>RMSE</m:t>
          </m:r>
          <m:r>
            <m:rPr>
              <m:sty m:val="p"/>
            </m:rPr>
            <m:t>=</m:t>
          </m:r>
          <m:rad>
            <m:radPr>
              <m:degHide m:val="on"/>
            </m:radPr>
            <m:deg/>
            <m:e>
              <m:f>
                <m:fPr>
                  <m:type m:val="bar"/>
                </m:fPr>
                <m:num>
                  <m:r>
                    <m:t>1</m:t>
                  </m:r>
                </m:num>
                <m:den>
                  <m:r>
                    <m:t>n</m:t>
                  </m:r>
                </m:den>
              </m:f>
              <m:nary>
                <m:naryPr>
                  <m:chr m:val="∑"/>
                  <m:limLoc m:val="undOvr"/>
                  <m:subHide m:val="off"/>
                  <m:supHide m:val="off"/>
                </m:naryPr>
                <m:sub>
                  <m:r>
                    <m:t>i</m:t>
                  </m:r>
                  <m:r>
                    <m:rPr>
                      <m:sty m:val="p"/>
                    </m:rPr>
                    <m:t>=</m:t>
                  </m:r>
                  <m:r>
                    <m:t>1</m:t>
                  </m:r>
                </m:sub>
                <m:sup>
                  <m:r>
                    <m:t>n</m:t>
                  </m:r>
                </m:sup>
                <m:e>
                  <m:sSup>
                    <m:e>
                      <m:d>
                        <m:dPr>
                          <m:begChr m:val="("/>
                          <m:endChr m:val=")"/>
                          <m:sepChr m:val=""/>
                          <m:grow/>
                        </m:dPr>
                        <m:e>
                          <m:sSub>
                            <m:e>
                              <m:acc>
                                <m:accPr>
                                  <m:chr m:val="̂"/>
                                </m:accPr>
                                <m:e>
                                  <m:r>
                                    <m:t>y</m:t>
                                  </m:r>
                                </m:e>
                              </m:acc>
                            </m:e>
                            <m:sub>
                              <m:r>
                                <m:t>i</m:t>
                              </m:r>
                            </m:sub>
                          </m:sSub>
                          <m:r>
                            <m:rPr>
                              <m:sty m:val="p"/>
                            </m:rPr>
                            <m:t>−</m:t>
                          </m:r>
                          <m:sSub>
                            <m:e>
                              <m:r>
                                <m:t>y</m:t>
                              </m:r>
                            </m:e>
                            <m:sub>
                              <m:r>
                                <m:t>i</m:t>
                              </m:r>
                            </m:sub>
                          </m:sSub>
                        </m:e>
                      </m:d>
                    </m:e>
                    <m:sup>
                      <m:r>
                        <m:t>2</m:t>
                      </m:r>
                    </m:sup>
                  </m:sSup>
                </m:e>
              </m:nary>
            </m:e>
          </m:rad>
        </m:oMath>
      </m:oMathPara>
    </w:p>
    <w:p>
      <w:pPr>
        <w:pStyle w:val="FirstParagraph"/>
      </w:pPr>
      <w:r>
        <w:t xml:space="preserve">The square penalises large errors, so an RMSE well above the MAE signals occasional large errors despite a small typical error.</w:t>
      </w:r>
    </w:p>
    <w:p>
      <w:pPr>
        <w:pStyle w:val="BodyText"/>
      </w:pPr>
      <w:r>
        <w:rPr>
          <w:bCs/>
          <w:b/>
        </w:rPr>
        <w:t xml:space="preserve">Coefficient of Determination (R²):</w:t>
      </w:r>
    </w:p>
    <w:p>
      <w:pPr>
        <w:pStyle w:val="BodyText"/>
      </w:pPr>
      <m:oMathPara>
        <m:oMathParaPr>
          <m:jc m:val="center"/>
        </m:oMathParaPr>
        <m:oMath>
          <m:sSup>
            <m:e>
              <m:r>
                <m:t>R</m:t>
              </m:r>
            </m:e>
            <m:sup>
              <m:r>
                <m:t>2</m:t>
              </m:r>
            </m:sup>
          </m:sSup>
          <m:r>
            <m:rPr>
              <m:sty m:val="p"/>
            </m:rPr>
            <m:t>=</m:t>
          </m:r>
          <m:r>
            <m:t>1</m:t>
          </m:r>
          <m:r>
            <m:rPr>
              <m:sty m:val="p"/>
            </m:rPr>
            <m:t>−</m:t>
          </m:r>
          <m:f>
            <m:fPr>
              <m:type m:val="bar"/>
            </m:fPr>
            <m:num>
              <m:nary>
                <m:naryPr>
                  <m:chr m:val="∑"/>
                  <m:limLoc m:val="undOvr"/>
                  <m:subHide m:val="off"/>
                  <m:supHide m:val="off"/>
                </m:naryPr>
                <m:sub>
                  <m:r>
                    <m:t>i</m:t>
                  </m:r>
                  <m:r>
                    <m:rPr>
                      <m:sty m:val="p"/>
                    </m:rPr>
                    <m:t>=</m:t>
                  </m:r>
                  <m:r>
                    <m:t>1</m:t>
                  </m:r>
                </m:sub>
                <m:sup>
                  <m:r>
                    <m:t>n</m:t>
                  </m:r>
                </m:sup>
                <m:e>
                  <m:sSup>
                    <m:e>
                      <m:d>
                        <m:dPr>
                          <m:begChr m:val="("/>
                          <m:endChr m:val=")"/>
                          <m:sepChr m:val=""/>
                          <m:grow/>
                        </m:dPr>
                        <m:e>
                          <m:sSub>
                            <m:e>
                              <m:acc>
                                <m:accPr>
                                  <m:chr m:val="̂"/>
                                </m:accPr>
                                <m:e>
                                  <m:r>
                                    <m:t>y</m:t>
                                  </m:r>
                                </m:e>
                              </m:acc>
                            </m:e>
                            <m:sub>
                              <m:r>
                                <m:t>i</m:t>
                              </m:r>
                            </m:sub>
                          </m:sSub>
                          <m:r>
                            <m:rPr>
                              <m:sty m:val="p"/>
                            </m:rPr>
                            <m:t>−</m:t>
                          </m:r>
                          <m:sSub>
                            <m:e>
                              <m:r>
                                <m:t>y</m:t>
                              </m:r>
                            </m:e>
                            <m:sub>
                              <m:r>
                                <m:t>i</m:t>
                              </m:r>
                            </m:sub>
                          </m:sSub>
                        </m:e>
                      </m:d>
                    </m:e>
                    <m:sup>
                      <m:r>
                        <m:t>2</m:t>
                      </m:r>
                    </m:sup>
                  </m:sSup>
                </m:e>
              </m:nary>
            </m:num>
            <m:den>
              <m:nary>
                <m:naryPr>
                  <m:chr m:val="∑"/>
                  <m:limLoc m:val="undOvr"/>
                  <m:subHide m:val="off"/>
                  <m:supHide m:val="off"/>
                </m:naryPr>
                <m:sub>
                  <m:r>
                    <m:t>i</m:t>
                  </m:r>
                  <m:r>
                    <m:rPr>
                      <m:sty m:val="p"/>
                    </m:rPr>
                    <m:t>=</m:t>
                  </m:r>
                  <m:r>
                    <m:t>1</m:t>
                  </m:r>
                </m:sub>
                <m:sup>
                  <m:r>
                    <m:t>n</m:t>
                  </m:r>
                </m:sup>
                <m:e>
                  <m:sSup>
                    <m:e>
                      <m:d>
                        <m:dPr>
                          <m:begChr m:val="("/>
                          <m:endChr m:val=")"/>
                          <m:sepChr m:val=""/>
                          <m:grow/>
                        </m:dPr>
                        <m:e>
                          <m:sSub>
                            <m:e>
                              <m:r>
                                <m:t>y</m:t>
                              </m:r>
                            </m:e>
                            <m:sub>
                              <m:r>
                                <m:t>i</m:t>
                              </m:r>
                            </m:sub>
                          </m:sSub>
                          <m:r>
                            <m:rPr>
                              <m:sty m:val="p"/>
                            </m:rPr>
                            <m:t>−</m:t>
                          </m:r>
                          <m:acc>
                            <m:accPr>
                              <m:chr m:val="‾"/>
                            </m:accPr>
                            <m:e>
                              <m:r>
                                <m:t>y</m:t>
                              </m:r>
                            </m:e>
                          </m:acc>
                        </m:e>
                      </m:d>
                    </m:e>
                    <m:sup>
                      <m:r>
                        <m:t>2</m:t>
                      </m:r>
                    </m:sup>
                  </m:sSup>
                </m:e>
              </m:nary>
            </m:den>
          </m:f>
        </m:oMath>
      </m:oMathPara>
    </w:p>
    <w:p>
      <w:pPr>
        <w:pStyle w:val="FirstParagraph"/>
      </w:pPr>
      <w:r>
        <w:t xml:space="preserve">The fraction of target variance explained: 1 is perfect, 0 is no better than predicting the mean. The models reach 0.19–0.36, about a third of the variance; the rest comes from factors not in the dataset (HVAC switching, doors, windows, equipment, and this room’s occupants).</w:t>
      </w:r>
    </w:p>
    <w:bookmarkEnd w:id="58"/>
    <w:bookmarkStart w:id="59" w:name="Xd8f2789288cdc47fb919a2a3d44a84a474eb10b"/>
    <w:p>
      <w:pPr>
        <w:pStyle w:val="Heading3"/>
      </w:pPr>
      <w:r>
        <w:t xml:space="preserve">5.3 Sensor Validation Against External Records</w:t>
      </w:r>
    </w:p>
    <w:p>
      <w:pPr>
        <w:pStyle w:val="FirstParagraph"/>
      </w:pPr>
      <w:r>
        <w:t xml:space="preserve">The sensor’s temperature and humidity were compared with Bureau of Meteorology observations at Moorabbin Airport (station 086077, the nearest official station to Monash Clayton) over 222 overlapping days.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Variable</w:t>
            </w:r>
          </w:p>
        </w:tc>
        <w:tc>
          <w:tcPr/>
          <w:p>
            <w:pPr>
              <w:pStyle w:val="Compact"/>
              <w:jc w:val="left"/>
            </w:pPr>
            <w:r>
              <w:t xml:space="preserve">Pearson r (sensor vs BOM)</w:t>
            </w:r>
          </w:p>
        </w:tc>
      </w:tr>
      <w:tr>
        <w:tc>
          <w:tcPr/>
          <w:p>
            <w:pPr>
              <w:pStyle w:val="Compact"/>
              <w:jc w:val="left"/>
            </w:pPr>
            <w:r>
              <w:t xml:space="preserve">Temperature</w:t>
            </w:r>
          </w:p>
        </w:tc>
        <w:tc>
          <w:tcPr/>
          <w:p>
            <w:pPr>
              <w:pStyle w:val="Compact"/>
              <w:jc w:val="left"/>
            </w:pPr>
            <w:r>
              <w:t xml:space="preserve">+0.84</w:t>
            </w:r>
          </w:p>
        </w:tc>
      </w:tr>
      <w:tr>
        <w:tc>
          <w:tcPr/>
          <w:p>
            <w:pPr>
              <w:pStyle w:val="Compact"/>
              <w:jc w:val="left"/>
            </w:pPr>
            <w:r>
              <w:t xml:space="preserve">Relative Humidity</w:t>
            </w:r>
          </w:p>
        </w:tc>
        <w:tc>
          <w:tcPr/>
          <w:p>
            <w:pPr>
              <w:pStyle w:val="Compact"/>
              <w:jc w:val="left"/>
            </w:pPr>
            <w:r>
              <w:t xml:space="preserve">+0.65</w:t>
            </w:r>
          </w:p>
        </w:tc>
      </w:tr>
    </w:tbl>
    <w:p>
      <w:pPr>
        <w:pStyle w:val="BodyText"/>
      </w:pPr>
      <w:r>
        <w:t xml:space="preserve">A faulty sensor (stuck reading, frozen clock or noise) would show correlations near zero, so these strong values indicate that sensor</w:t>
      </w:r>
      <w:r>
        <w:t xml:space="preserve"> </w:t>
      </w:r>
      <w:r>
        <w:rPr>
          <w:rStyle w:val="VerbatimChar"/>
        </w:rPr>
        <w:t xml:space="preserve">6012002000326</w:t>
      </w:r>
      <w:r>
        <w:t xml:space="preserve"> </w:t>
      </w:r>
      <w:r>
        <w:t xml:space="preserve">measures real conditions.</w:t>
      </w:r>
    </w:p>
    <w:bookmarkEnd w:id="59"/>
    <w:bookmarkStart w:id="60" w:name="numerical-integration-convergence"/>
    <w:p>
      <w:pPr>
        <w:pStyle w:val="Heading3"/>
      </w:pPr>
      <w:r>
        <w:t xml:space="preserve">5.4 Numerical Integration Convergence</w:t>
      </w:r>
    </w:p>
    <w:p>
      <w:pPr>
        <w:pStyle w:val="FirstParagraph"/>
      </w:pPr>
      <w:r>
        <w:t xml:space="preserve">The Week 6 trapezoidal and Simpson’s rules were implemented from the lecture formulae (not library functions) to compute cumulative CO₂ exposure in ppm·h, and compared at three bin sizes on a 41-hour gap-free window (1–3 October 2025).</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Bin size</w:t>
            </w:r>
          </w:p>
        </w:tc>
        <w:tc>
          <w:tcPr/>
          <w:p>
            <w:pPr>
              <w:pStyle w:val="Compact"/>
              <w:jc w:val="left"/>
            </w:pPr>
            <w:r>
              <w:t xml:space="preserve">Points</w:t>
            </w:r>
          </w:p>
        </w:tc>
        <w:tc>
          <w:tcPr/>
          <w:p>
            <w:pPr>
              <w:pStyle w:val="Compact"/>
              <w:jc w:val="left"/>
            </w:pPr>
            <w:r>
              <w:t xml:space="preserve">Trapezoidal (ppm·h)</w:t>
            </w:r>
          </w:p>
        </w:tc>
        <w:tc>
          <w:tcPr/>
          <w:p>
            <w:pPr>
              <w:pStyle w:val="Compact"/>
              <w:jc w:val="left"/>
            </w:pPr>
            <w:r>
              <w:t xml:space="preserve">Simpson (ppm·h)</w:t>
            </w:r>
          </w:p>
        </w:tc>
        <w:tc>
          <w:tcPr/>
          <w:p>
            <w:pPr>
              <w:pStyle w:val="Compact"/>
              <w:jc w:val="left"/>
            </w:pPr>
            <w:r>
              <w:t xml:space="preserve">Relative difference</w:t>
            </w:r>
          </w:p>
        </w:tc>
      </w:tr>
      <w:tr>
        <w:tc>
          <w:tcPr/>
          <w:p>
            <w:pPr>
              <w:pStyle w:val="Compact"/>
              <w:jc w:val="left"/>
            </w:pPr>
            <w:r>
              <w:t xml:space="preserve">15 min</w:t>
            </w:r>
          </w:p>
        </w:tc>
        <w:tc>
          <w:tcPr/>
          <w:p>
            <w:pPr>
              <w:pStyle w:val="Compact"/>
              <w:jc w:val="left"/>
            </w:pPr>
            <w:r>
              <w:t xml:space="preserve">163</w:t>
            </w:r>
          </w:p>
        </w:tc>
        <w:tc>
          <w:tcPr/>
          <w:p>
            <w:pPr>
              <w:pStyle w:val="Compact"/>
              <w:jc w:val="left"/>
            </w:pPr>
            <w:r>
              <w:t xml:space="preserve">17,817.3</w:t>
            </w:r>
          </w:p>
        </w:tc>
        <w:tc>
          <w:tcPr/>
          <w:p>
            <w:pPr>
              <w:pStyle w:val="Compact"/>
              <w:jc w:val="left"/>
            </w:pPr>
            <w:r>
              <w:t xml:space="preserve">17,829.9</w:t>
            </w:r>
          </w:p>
        </w:tc>
        <w:tc>
          <w:tcPr/>
          <w:p>
            <w:pPr>
              <w:pStyle w:val="Compact"/>
              <w:jc w:val="left"/>
            </w:pPr>
            <w:r>
              <w:t xml:space="preserve">0.071 %</w:t>
            </w:r>
          </w:p>
        </w:tc>
      </w:tr>
      <w:tr>
        <w:tc>
          <w:tcPr/>
          <w:p>
            <w:pPr>
              <w:pStyle w:val="Compact"/>
              <w:jc w:val="left"/>
            </w:pPr>
            <w:r>
              <w:t xml:space="preserve">30 min</w:t>
            </w:r>
          </w:p>
        </w:tc>
        <w:tc>
          <w:tcPr/>
          <w:p>
            <w:pPr>
              <w:pStyle w:val="Compact"/>
              <w:jc w:val="left"/>
            </w:pPr>
            <w:r>
              <w:t xml:space="preserve">83</w:t>
            </w:r>
          </w:p>
        </w:tc>
        <w:tc>
          <w:tcPr/>
          <w:p>
            <w:pPr>
              <w:pStyle w:val="Compact"/>
              <w:jc w:val="left"/>
            </w:pPr>
            <w:r>
              <w:t xml:space="preserve">18,019.8</w:t>
            </w:r>
          </w:p>
        </w:tc>
        <w:tc>
          <w:tcPr/>
          <w:p>
            <w:pPr>
              <w:pStyle w:val="Compact"/>
              <w:jc w:val="left"/>
            </w:pPr>
            <w:r>
              <w:t xml:space="preserve">18,019.9</w:t>
            </w:r>
          </w:p>
        </w:tc>
        <w:tc>
          <w:tcPr/>
          <w:p>
            <w:pPr>
              <w:pStyle w:val="Compact"/>
              <w:jc w:val="left"/>
            </w:pPr>
            <w:r>
              <w:t xml:space="preserve">0.001 %</w:t>
            </w:r>
          </w:p>
        </w:tc>
      </w:tr>
      <w:tr>
        <w:tc>
          <w:tcPr/>
          <w:p>
            <w:pPr>
              <w:pStyle w:val="Compact"/>
              <w:jc w:val="left"/>
            </w:pPr>
            <w:r>
              <w:t xml:space="preserve">60 min</w:t>
            </w:r>
          </w:p>
        </w:tc>
        <w:tc>
          <w:tcPr/>
          <w:p>
            <w:pPr>
              <w:pStyle w:val="Compact"/>
              <w:jc w:val="left"/>
            </w:pPr>
            <w:r>
              <w:t xml:space="preserve">41</w:t>
            </w:r>
          </w:p>
        </w:tc>
        <w:tc>
          <w:tcPr/>
          <w:p>
            <w:pPr>
              <w:pStyle w:val="Compact"/>
              <w:jc w:val="left"/>
            </w:pPr>
            <w:r>
              <w:t xml:space="preserve">17,583.8</w:t>
            </w:r>
          </w:p>
        </w:tc>
        <w:tc>
          <w:tcPr/>
          <w:p>
            <w:pPr>
              <w:pStyle w:val="Compact"/>
              <w:jc w:val="left"/>
            </w:pPr>
            <w:r>
              <w:t xml:space="preserve">17,571.8</w:t>
            </w:r>
          </w:p>
        </w:tc>
        <w:tc>
          <w:tcPr/>
          <w:p>
            <w:pPr>
              <w:pStyle w:val="Compact"/>
              <w:jc w:val="left"/>
            </w:pPr>
            <w:r>
              <w:t xml:space="preserve">0.068 %</w:t>
            </w:r>
          </w:p>
        </w:tc>
      </w:tr>
    </w:tbl>
    <w:p>
      <w:pPr>
        <w:pStyle w:val="BodyText"/>
      </w:pPr>
      <w:r>
        <w:t xml:space="preserve">The methods agree within 0.1% at every bin size, confirming the implementation. The variation between bin sizes reflects the readings sampled at each density, not numerical error.</w:t>
      </w:r>
    </w:p>
    <w:p>
      <w:r>
        <w:pict>
          <v:rect style="width:0;height:1.5pt" o:hralign="center" o:hrstd="t" o:hr="t"/>
        </w:pict>
      </w:r>
    </w:p>
    <w:bookmarkEnd w:id="60"/>
    <w:bookmarkEnd w:id="61"/>
    <w:bookmarkStart w:id="65" w:name="limitations-and-known-failure-modes"/>
    <w:p>
      <w:pPr>
        <w:pStyle w:val="Heading2"/>
      </w:pPr>
      <w:r>
        <w:t xml:space="preserve">6. Limitations and Known Failure Modes</w:t>
      </w:r>
    </w:p>
    <w:p>
      <w:pPr>
        <w:pStyle w:val="FirstParagraph"/>
      </w:pPr>
      <w:r>
        <w:rPr>
          <w:bCs/>
          <w:b/>
        </w:rPr>
        <w:t xml:space="preserve">The sensor has no documented room location.</w:t>
      </w:r>
      <w:r>
        <w:t xml:space="preserve"> </w:t>
      </w:r>
      <w:r>
        <w:t xml:space="preserve">Sensor</w:t>
      </w:r>
      <w:r>
        <w:t xml:space="preserve"> </w:t>
      </w:r>
      <w:r>
        <w:rPr>
          <w:rStyle w:val="VerbatimChar"/>
        </w:rPr>
        <w:t xml:space="preserve">6012002000326</w:t>
      </w:r>
      <w:r>
        <w:t xml:space="preserve"> </w:t>
      </w:r>
      <w:r>
        <w:t xml:space="preserve">is not in the Sensor ID and Locations spreadsheet, so its room and matching occupancy zone are unknown. A data-driven sensor-matching analysis was run instead (</w:t>
      </w:r>
      <w:r>
        <w:rPr>
          <w:rStyle w:val="VerbatimChar"/>
        </w:rPr>
        <w:t xml:space="preserve">occupancy.sensor_matching</w:t>
      </w:r>
      <w:r>
        <w:t xml:space="preserve">,</w:t>
      </w:r>
      <w:r>
        <w:t xml:space="preserve"> </w:t>
      </w:r>
      <w:r>
        <w:rPr>
          <w:rStyle w:val="VerbatimChar"/>
        </w:rPr>
        <w:t xml:space="preserve">scripts/sensor_matching_analysis.py</w:t>
      </w:r>
      <w:r>
        <w:t xml:space="preserve">): for every zone–sensor pair on 15-minute bins, Pearson’s</w:t>
      </w:r>
      <w:r>
        <w:t xml:space="preserve"> </w:t>
      </w:r>
      <m:oMath>
        <m:r>
          <m:t>r</m:t>
        </m:r>
      </m:oMath>
      <w:r>
        <w:t xml:space="preserve"> </w:t>
      </w:r>
      <w:r>
        <w:t xml:space="preserve">was computed between the zone’s occupancy and the</w:t>
      </w:r>
      <w:r>
        <w:t xml:space="preserve"> </w:t>
      </w:r>
      <w:r>
        <w:rPr>
          <w:iCs/>
          <w:i/>
        </w:rPr>
        <w:t xml:space="preserve">change</w:t>
      </w:r>
      <w:r>
        <w:t xml:space="preserve"> </w:t>
      </w:r>
      <w:r>
        <w:t xml:space="preserve">in the reading (its first difference), searching lags up to ±4 bins (±1 hour) and keeping the strongest. Changes are used rather than levels because every room follows the same working-day cycle, which would make all pairs look related. CO₂, temperature and humidity were tested (</w:t>
      </w:r>
      <w:r>
        <w:rPr>
          <w:rStyle w:val="VerbatimChar"/>
        </w:rPr>
        <w:t xml:space="preserve">reports/sensor_matching_results.json</w:t>
      </w:r>
      <w:r>
        <w:t xml:space="preserve">).</w:t>
      </w:r>
    </w:p>
    <w:p>
      <w:pPr>
        <w:pStyle w:val="CaptionedFigure"/>
      </w:pPr>
      <w:r>
        <w:drawing>
          <wp:inline>
            <wp:extent cx="4754880" cy="2099870"/>
            <wp:effectExtent b="0" l="0" r="0" t="0"/>
            <wp:docPr descr="Best-lag correlation between each zone’s occupancy and the 15-minute change in each sensor’s reading" title="" id="63" name="Picture"/>
            <a:graphic>
              <a:graphicData uri="http://schemas.openxmlformats.org/drawingml/2006/picture">
                <pic:pic>
                  <pic:nvPicPr>
                    <pic:cNvPr descr="chart10_zone_matching.png" id="64" name="Picture"/>
                    <pic:cNvPicPr>
                      <a:picLocks noChangeArrowheads="1" noChangeAspect="1"/>
                    </pic:cNvPicPr>
                  </pic:nvPicPr>
                  <pic:blipFill>
                    <a:blip r:embed="rId62"/>
                    <a:stretch>
                      <a:fillRect/>
                    </a:stretch>
                  </pic:blipFill>
                  <pic:spPr bwMode="auto">
                    <a:xfrm>
                      <a:off x="0" y="0"/>
                      <a:ext cx="4754880" cy="2099870"/>
                    </a:xfrm>
                    <a:prstGeom prst="rect">
                      <a:avLst/>
                    </a:prstGeom>
                    <a:noFill/>
                    <a:ln w="9525">
                      <a:noFill/>
                      <a:headEnd/>
                      <a:tailEnd/>
                    </a:ln>
                  </pic:spPr>
                </pic:pic>
              </a:graphicData>
            </a:graphic>
          </wp:inline>
        </w:drawing>
      </w:r>
    </w:p>
    <w:p>
      <w:pPr>
        <w:pStyle w:val="ImageCaption"/>
      </w:pPr>
      <w:r>
        <w:t xml:space="preserve">Best-lag correlation between each zone’s occupancy and the 15-minute change in each sensor’s reading</w:t>
      </w:r>
    </w:p>
    <w:p>
      <w:pPr>
        <w:pStyle w:val="BodyText"/>
      </w:pPr>
      <w:r>
        <w:t xml:space="preserve">For CO₂, sensor</w:t>
      </w:r>
      <w:r>
        <w:t xml:space="preserve"> </w:t>
      </w:r>
      <w:r>
        <w:rPr>
          <w:rStyle w:val="VerbatimChar"/>
        </w:rPr>
        <w:t xml:space="preserve">6012002000326</w:t>
      </w:r>
      <w:r>
        <w:t xml:space="preserve"> </w:t>
      </w:r>
      <w:r>
        <w:t xml:space="preserve">shows no relationship with any zone (</w:t>
      </w:r>
      <m:oMath>
        <m:d>
          <m:dPr>
            <m:begChr m:val="|"/>
            <m:endChr m:val="|"/>
            <m:sepChr m:val=""/>
            <m:grow/>
          </m:dPr>
          <m:e>
            <m:r>
              <m:t>r</m:t>
            </m:r>
          </m:e>
        </m:d>
        <m:r>
          <m:rPr>
            <m:sty m:val="p"/>
          </m:rPr>
          <m:t>≤</m:t>
        </m:r>
        <m:r>
          <m:t>0.03</m:t>
        </m:r>
      </m:oMath>
      <w:r>
        <w:t xml:space="preserve"> </w:t>
      </w:r>
      <w:r>
        <w:t xml:space="preserve">for the four zones with overlapping data), and no sensor exceeds</w:t>
      </w:r>
      <w:r>
        <w:t xml:space="preserve"> </w:t>
      </w:r>
      <m:oMath>
        <m:d>
          <m:dPr>
            <m:begChr m:val="|"/>
            <m:endChr m:val="|"/>
            <m:sepChr m:val=""/>
            <m:grow/>
          </m:dPr>
          <m:e>
            <m:r>
              <m:t>r</m:t>
            </m:r>
          </m:e>
        </m:d>
        <m:r>
          <m:rPr>
            <m:sty m:val="p"/>
          </m:rPr>
          <m:t>=</m:t>
        </m:r>
        <m:r>
          <m:t>0.06</m:t>
        </m:r>
      </m:oMath>
      <w:r>
        <w:t xml:space="preserve">. Temperature reaches</w:t>
      </w:r>
      <w:r>
        <w:t xml:space="preserve"> </w:t>
      </w:r>
      <m:oMath>
        <m:r>
          <m:t>r</m:t>
        </m:r>
        <m:r>
          <m:rPr>
            <m:sty m:val="p"/>
          </m:rPr>
          <m:t>=</m:t>
        </m:r>
        <m:r>
          <m:t>0.27</m:t>
        </m:r>
      </m:oMath>
      <w:r>
        <w:t xml:space="preserve">, but at lags of −3 to −4 bins: it rises 45–60 minutes</w:t>
      </w:r>
      <w:r>
        <w:t xml:space="preserve"> </w:t>
      </w:r>
      <w:r>
        <w:rPr>
          <w:iCs/>
          <w:i/>
        </w:rPr>
        <w:t xml:space="preserve">before</w:t>
      </w:r>
      <w:r>
        <w:t xml:space="preserve"> </w:t>
      </w:r>
      <w:r>
        <w:t xml:space="preserve">occupancy, pointing to a building-wide HVAC warm-up rather than shared occupants. This cannot prove the sensor is outside every zone, but finds no evidence linking it to any.</w:t>
      </w:r>
    </w:p>
    <w:p>
      <w:pPr>
        <w:pStyle w:val="BodyText"/>
      </w:pPr>
      <w:r>
        <w:rPr>
          <w:bCs/>
          <w:b/>
        </w:rPr>
        <w:t xml:space="preserve">Three of the five sensors contain no genuine readings.</w:t>
      </w:r>
      <w:r>
        <w:t xml:space="preserve"> </w:t>
      </w:r>
      <w:r>
        <w:t xml:space="preserve">Sensors</w:t>
      </w:r>
      <w:r>
        <w:t xml:space="preserve"> </w:t>
      </w:r>
      <w:r>
        <w:rPr>
          <w:rStyle w:val="VerbatimChar"/>
        </w:rPr>
        <w:t xml:space="preserve">6012002000227</w:t>
      </w:r>
      <w:r>
        <w:t xml:space="preserve">,</w:t>
      </w:r>
      <w:r>
        <w:t xml:space="preserve"> </w:t>
      </w:r>
      <w:r>
        <w:rPr>
          <w:rStyle w:val="VerbatimChar"/>
        </w:rPr>
        <w:t xml:space="preserve">6012002000777</w:t>
      </w:r>
      <w:r>
        <w:t xml:space="preserve"> </w:t>
      </w:r>
      <w:r>
        <w:t xml:space="preserve">and</w:t>
      </w:r>
      <w:r>
        <w:t xml:space="preserve"> </w:t>
      </w:r>
      <w:r>
        <w:rPr>
          <w:rStyle w:val="VerbatimChar"/>
        </w:rPr>
        <w:t xml:space="preserve">6012002000241</w:t>
      </w:r>
      <w:r>
        <w:t xml:space="preserve"> </w:t>
      </w:r>
      <w:r>
        <w:t xml:space="preserve">first appeared to have frozen clocks. The server receive time (</w:t>
      </w:r>
      <w:r>
        <w:rPr>
          <w:rStyle w:val="VerbatimChar"/>
        </w:rPr>
        <w:t xml:space="preserve">createdate</w:t>
      </w:r>
      <w:r>
        <w:t xml:space="preserve">) shows that their rows arrive regularly but are all one stale packet re-sent with the same value (e.g. 666 ppm in all 21,363 rows of</w:t>
      </w:r>
      <w:r>
        <w:t xml:space="preserve"> </w:t>
      </w:r>
      <w:r>
        <w:rPr>
          <w:rStyle w:val="VerbatimChar"/>
        </w:rPr>
        <w:t xml:space="preserve">6012002000227</w:t>
      </w:r>
      <w:r>
        <w:t xml:space="preserve">), so no interval can be formed. The usable sensors show the same fault outside their genuine periods. Sensor</w:t>
      </w:r>
      <w:r>
        <w:t xml:space="preserve"> </w:t>
      </w:r>
      <w:r>
        <w:rPr>
          <w:rStyle w:val="VerbatimChar"/>
        </w:rPr>
        <w:t xml:space="preserve">6012002000869</w:t>
      </w:r>
      <w:r>
        <w:t xml:space="preserve"> </w:t>
      </w:r>
      <w:r>
        <w:t xml:space="preserve">has only 3.5 months of genuine data, too little for the main analysis, and is used in Section 4.2. None of this is documented in the dataset description; it was found by inspecting raw timestamps and values.</w:t>
      </w:r>
    </w:p>
    <w:p>
      <w:pPr>
        <w:pStyle w:val="BodyText"/>
      </w:pPr>
      <w:r>
        <w:rPr>
          <w:bCs/>
          <w:b/>
        </w:rPr>
        <w:t xml:space="preserve">Most candidate rows are discarded.</w:t>
      </w:r>
      <w:r>
        <w:t xml:space="preserve"> </w:t>
      </w:r>
      <w:r>
        <w:t xml:space="preserve">The 636-day gap reduces 84,576 candidate rows to 17,010 (20.1%); imputing across it would fabricate data. Adding a second sensor’s intervals (+56% training data) does not measurably improve accuracy (Section 4.2).</w:t>
      </w:r>
    </w:p>
    <w:p>
      <w:pPr>
        <w:pStyle w:val="BodyText"/>
      </w:pPr>
      <w:r>
        <w:rPr>
          <w:bCs/>
          <w:b/>
        </w:rPr>
        <w:t xml:space="preserve">Models do not transfer between rooms.</w:t>
      </w:r>
      <w:r>
        <w:t xml:space="preserve"> </w:t>
      </w:r>
      <w:r>
        <w:t xml:space="preserve">Trained on one sensor, every model is worse than persistence on another (Section 4.2); each room needs its own training data.</w:t>
      </w:r>
    </w:p>
    <w:p>
      <w:pPr>
        <w:pStyle w:val="BodyText"/>
      </w:pPr>
      <w:r>
        <w:rPr>
          <w:bCs/>
          <w:b/>
        </w:rPr>
        <w:t xml:space="preserve">Predictive accuracy is moderate.</w:t>
      </w:r>
      <w:r>
        <w:t xml:space="preserve"> </w:t>
      </w:r>
      <w:r>
        <w:t xml:space="preserve">R² of 0.34–0.36 leaves two thirds of the variability to unobserved factors (HVAC switching, windows, doors, the room’s own occupants). The model suits use as a trend indicator for early ventilation, not as a precise point forecast.</w:t>
      </w:r>
    </w:p>
    <w:p>
      <w:pPr>
        <w:pStyle w:val="BodyText"/>
      </w:pPr>
      <w:r>
        <w:rPr>
          <w:bCs/>
          <w:b/>
        </w:rPr>
        <w:t xml:space="preserve">Integration must be gap-aware.</w:t>
      </w:r>
      <w:r>
        <w:t xml:space="preserve"> </w:t>
      </w:r>
      <w:r>
        <w:t xml:space="preserve">Applied naively across the full record, treating the 636-day outage as one step, the trapezoidal rule gives 9.54 million ppm·h; skipping panels whose endpoints are more than 2 hours apart gives 2.31 million ppm·h. The factor of four comes entirely from bridging the outage.</w:t>
      </w:r>
    </w:p>
    <w:p>
      <w:r>
        <w:pict>
          <v:rect style="width:0;height:1.5pt" o:hralign="center" o:hrstd="t" o:hr="t"/>
        </w:pict>
      </w:r>
    </w:p>
    <w:bookmarkEnd w:id="65"/>
    <w:bookmarkStart w:id="66" w:name="ai-use-and-critical-reflection"/>
    <w:p>
      <w:pPr>
        <w:pStyle w:val="Heading2"/>
      </w:pPr>
      <w:r>
        <w:t xml:space="preserve">7. AI Use and Critical Reflection</w:t>
      </w:r>
    </w:p>
    <w:p>
      <w:pPr>
        <w:pStyle w:val="FirstParagraph"/>
      </w:pPr>
      <w:r>
        <w:t xml:space="preserve">Claude (Claude Code) was used throughout this project for data exploration, Python implementation, analysis, and drafting this report. The following is a straightforward account of how it was used and what I contributed.</w:t>
      </w:r>
    </w:p>
    <w:p>
      <w:pPr>
        <w:pStyle w:val="BodyText"/>
      </w:pPr>
      <w:r>
        <w:rPr>
          <w:bCs/>
          <w:b/>
        </w:rPr>
        <w:t xml:space="preserve">What Claude assisted with:</w:t>
      </w:r>
      <w:r>
        <w:t xml:space="preserve"> </w:t>
      </w:r>
      <w:r>
        <w:t xml:space="preserve">Setting up the package structure, writing the scikit-learn pipeline code, running the four-model comparison, performing the integration analysis, implementing the sensor-matching analysis (a lagged correlation search, following Keenan Granland’s EdStem suggestion to look for a sensor–zone link in the data itself), and producing drafts of this report.</w:t>
      </w:r>
    </w:p>
    <w:p>
      <w:pPr>
        <w:pStyle w:val="BodyText"/>
      </w:pPr>
      <w:r>
        <w:rPr>
          <w:bCs/>
          <w:b/>
        </w:rPr>
        <w:t xml:space="preserve">What I directed and decided:</w:t>
      </w:r>
      <w:r>
        <w:t xml:space="preserve"> </w:t>
      </w:r>
      <w:r>
        <w:t xml:space="preserve">I chose CO₂ prediction over occupancy classification because it was a better fit for the regression focus of MMA3001 Week 5 and for the structure of the available data. I selected which sensor to use and required external validation before accepting it as reliable. I chose to include occupancy as a feature and test it empirically rather than exclude or include it by assumption. When the two numerical integration methods produced results differing by a factor of nine, I required an explanation before accepting either answer — this investigation identified the gap-bridging error in the original implementation.</w:t>
      </w:r>
    </w:p>
    <w:p>
      <w:pPr>
        <w:pStyle w:val="BodyText"/>
      </w:pPr>
      <w:r>
        <w:rPr>
          <w:bCs/>
          <w:b/>
        </w:rPr>
        <w:t xml:space="preserve">Follow-up after teaching-team feedback:</w:t>
      </w:r>
      <w:r>
        <w:t xml:space="preserve"> </w:t>
      </w:r>
      <w:r>
        <w:t xml:space="preserve">After discussing the project with the teaching team, I was advised to use the valid time intervals from the other sensors instead of discarding them entirely. I brought this feedback to Claude and asked for it to be applied. Claude proposed and implemented the interval audit, the pooled and cross-sensor experiments and the bootstrap significance check (Section 4.2), and found, by comparing the</w:t>
      </w:r>
      <w:r>
        <w:t xml:space="preserve"> </w:t>
      </w:r>
      <w:r>
        <w:rPr>
          <w:rStyle w:val="VerbatimChar"/>
        </w:rPr>
        <w:t xml:space="preserve">createdate</w:t>
      </w:r>
      <w:r>
        <w:t xml:space="preserve"> </w:t>
      </w:r>
      <w:r>
        <w:t xml:space="preserve">field with each reading’s own timestamp, that the</w:t>
      </w:r>
      <w:r>
        <w:t xml:space="preserve"> </w:t>
      </w:r>
      <w:r>
        <w:t xml:space="preserve">“</w:t>
      </w:r>
      <w:r>
        <w:t xml:space="preserve">frozen</w:t>
      </w:r>
      <w:r>
        <w:t xml:space="preserve">”</w:t>
      </w:r>
      <w:r>
        <w:t xml:space="preserve"> </w:t>
      </w:r>
      <w:r>
        <w:t xml:space="preserve">sensors were re-sending a single stale packet. I approved the experiments and the decision to report the non-significant pooling result and the negative cross-sensor result as they are.</w:t>
      </w:r>
    </w:p>
    <w:p>
      <w:pPr>
        <w:pStyle w:val="BodyText"/>
      </w:pPr>
      <w:r>
        <w:rPr>
          <w:bCs/>
          <w:b/>
        </w:rPr>
        <w:t xml:space="preserve">Repository maintenance:</w:t>
      </w:r>
      <w:r>
        <w:t xml:space="preserve"> </w:t>
      </w:r>
      <w:r>
        <w:t xml:space="preserve">Claude also restored a module and tests that an earlier cleanup had deleted, regenerated the API documentation and test report, and corrected this report’s description of the zone-matching analysis so that it matches the code in</w:t>
      </w:r>
      <w:r>
        <w:t xml:space="preserve"> </w:t>
      </w:r>
      <w:r>
        <w:rPr>
          <w:rStyle w:val="VerbatimChar"/>
        </w:rPr>
        <w:t xml:space="preserve">occupancy.sensor_matching</w:t>
      </w:r>
      <w:r>
        <w:t xml:space="preserve">.</w:t>
      </w:r>
    </w:p>
    <w:p>
      <w:pPr>
        <w:pStyle w:val="BodyText"/>
      </w:pPr>
      <w:r>
        <w:rPr>
          <w:bCs/>
          <w:b/>
        </w:rPr>
        <w:t xml:space="preserve">What I verified:</w:t>
      </w:r>
      <w:r>
        <w:t xml:space="preserve"> </w:t>
      </w:r>
      <w:r>
        <w:t xml:space="preserve">All numerical results in this report were checked against the actual output files (</w:t>
      </w:r>
      <w:r>
        <w:rPr>
          <w:rStyle w:val="VerbatimChar"/>
        </w:rPr>
        <w:t xml:space="preserve">reports/co2_prediction_results.json</w:t>
      </w:r>
      <w:r>
        <w:t xml:space="preserve">,</w:t>
      </w:r>
      <w:r>
        <w:t xml:space="preserve"> </w:t>
      </w:r>
      <w:r>
        <w:rPr>
          <w:rStyle w:val="VerbatimChar"/>
        </w:rPr>
        <w:t xml:space="preserve">reports/multi_sensor_results.json</w:t>
      </w:r>
      <w:r>
        <w:t xml:space="preserve">,</w:t>
      </w:r>
      <w:r>
        <w:t xml:space="preserve"> </w:t>
      </w:r>
      <w:r>
        <w:rPr>
          <w:rStyle w:val="VerbatimChar"/>
        </w:rPr>
        <w:t xml:space="preserve">reports/sensor_matching_results.json</w:t>
      </w:r>
      <w:r>
        <w:t xml:space="preserve">,</w:t>
      </w:r>
      <w:r>
        <w:t xml:space="preserve"> </w:t>
      </w:r>
      <w:r>
        <w:rPr>
          <w:rStyle w:val="VerbatimChar"/>
        </w:rPr>
        <w:t xml:space="preserve">reports/weekday_weekend_results.json</w:t>
      </w:r>
      <w:r>
        <w:t xml:space="preserve">) before being recorded here. The integration estimates and convergence results come from scripts that can be rerun to reproduce the same outputs.</w:t>
      </w:r>
    </w:p>
    <w:p>
      <w:pPr>
        <w:pStyle w:val="BodyText"/>
      </w:pPr>
      <w:r>
        <w:rPr>
          <w:bCs/>
          <w:b/>
        </w:rPr>
        <w:t xml:space="preserve">Honest acknowledgement:</w:t>
      </w:r>
      <w:r>
        <w:t xml:space="preserve"> </w:t>
      </w:r>
      <w:r>
        <w:t xml:space="preserve">In extended AI-assisted work, the precise boundary between ideas that originated with me and ideas that emerged from interaction with Claude cannot always be drawn clearly. The engineering framing, scope decisions, sensor selection rationale, and interpretation of results are mine. The implementation and much of the written prose were produced collaboratively.</w:t>
      </w:r>
    </w:p>
    <w:p>
      <w:r>
        <w:pict>
          <v:rect style="width:0;height:1.5pt" o:hralign="center" o:hrstd="t" o:hr="t"/>
        </w:pict>
      </w:r>
    </w:p>
    <w:bookmarkEnd w:id="66"/>
    <w:bookmarkStart w:id="67" w:name="references"/>
    <w:p>
      <w:pPr>
        <w:pStyle w:val="Heading2"/>
      </w:pPr>
      <w:r>
        <w:t xml:space="preserve">References</w:t>
      </w:r>
    </w:p>
    <w:p>
      <w:pPr>
        <w:numPr>
          <w:ilvl w:val="0"/>
          <w:numId w:val="1001"/>
        </w:numPr>
        <w:pStyle w:val="Compact"/>
      </w:pPr>
      <w:r>
        <w:t xml:space="preserve">MMA3001 Project Brief, Monash University, 2026.</w:t>
      </w:r>
    </w:p>
    <w:p>
      <w:pPr>
        <w:numPr>
          <w:ilvl w:val="0"/>
          <w:numId w:val="1001"/>
        </w:numPr>
        <w:pStyle w:val="Compact"/>
      </w:pPr>
      <w:r>
        <w:t xml:space="preserve">MMA3001 Project Datasets document, Monash University, 2026. Dataset 2: Monash Smart Infrastructure Occupancy and Environmental Data.</w:t>
      </w:r>
    </w:p>
    <w:p>
      <w:pPr>
        <w:numPr>
          <w:ilvl w:val="0"/>
          <w:numId w:val="1001"/>
        </w:numPr>
        <w:pStyle w:val="Compact"/>
      </w:pPr>
      <w:r>
        <w:t xml:space="preserve">MMA3001 Notes, Week 5.1–5.6: Regression methods and evaluation. Monash University, 2026.</w:t>
      </w:r>
    </w:p>
    <w:p>
      <w:pPr>
        <w:numPr>
          <w:ilvl w:val="0"/>
          <w:numId w:val="1001"/>
        </w:numPr>
        <w:pStyle w:val="Compact"/>
      </w:pPr>
      <w:r>
        <w:t xml:space="preserve">MMA3001 Notes, Week 6: Numerical Integration. Monash University, 2026.</w:t>
      </w:r>
    </w:p>
    <w:p>
      <w:pPr>
        <w:numPr>
          <w:ilvl w:val="0"/>
          <w:numId w:val="1001"/>
        </w:numPr>
        <w:pStyle w:val="Compact"/>
      </w:pPr>
      <w:r>
        <w:t xml:space="preserve">ASHRAE Standard 62.1: Ventilation and Acceptable Indoor Air Quality. American Society of Heating, Refrigerating and Air-Conditioning Engineers, 2022.</w:t>
      </w:r>
    </w:p>
    <w:p>
      <w:pPr>
        <w:numPr>
          <w:ilvl w:val="0"/>
          <w:numId w:val="1001"/>
        </w:numPr>
        <w:pStyle w:val="Compact"/>
      </w:pPr>
      <w:r>
        <w:t xml:space="preserve">ASHRAE Position Document on Indoor Carbon Dioxide. American Society of Heating, Refrigerating and Air-Conditioning Engineers, 2022.</w:t>
      </w:r>
    </w:p>
    <w:p>
      <w:pPr>
        <w:numPr>
          <w:ilvl w:val="0"/>
          <w:numId w:val="1001"/>
        </w:numPr>
        <w:pStyle w:val="Compact"/>
      </w:pPr>
      <w:r>
        <w:t xml:space="preserve">Persily, A. &amp; de Jonge, L. (2017). Carbon dioxide generation rates for building occupants.</w:t>
      </w:r>
      <w:r>
        <w:t xml:space="preserve"> </w:t>
      </w:r>
      <w:r>
        <w:rPr>
          <w:iCs/>
          <w:i/>
        </w:rPr>
        <w:t xml:space="preserve">Indoor Air</w:t>
      </w:r>
      <w:r>
        <w:t xml:space="preserve">, 27(5), 868–879.</w:t>
      </w:r>
    </w:p>
    <w:p>
      <w:pPr>
        <w:numPr>
          <w:ilvl w:val="0"/>
          <w:numId w:val="1001"/>
        </w:numPr>
        <w:pStyle w:val="Compact"/>
      </w:pPr>
      <w:r>
        <w:t xml:space="preserve">Satish, U. et al. (2012). Is CO₂ an indoor pollutant? Direct effects of low-to-moderate CO₂ concentrations on human decision-making performance.</w:t>
      </w:r>
      <w:r>
        <w:t xml:space="preserve"> </w:t>
      </w:r>
      <w:r>
        <w:rPr>
          <w:iCs/>
          <w:i/>
        </w:rPr>
        <w:t xml:space="preserve">Environmental Health Perspectives</w:t>
      </w:r>
      <w:r>
        <w:t xml:space="preserve">, 120(12), 1671–1677.</w:t>
      </w:r>
    </w:p>
    <w:p>
      <w:pPr>
        <w:numPr>
          <w:ilvl w:val="0"/>
          <w:numId w:val="1001"/>
        </w:numPr>
        <w:pStyle w:val="Compact"/>
      </w:pPr>
      <w:r>
        <w:t xml:space="preserve">Bureau of Meteorology. Daily Weather Observations, Moorabbin Airport (station 086077). http://www.bom.gov.au/climate/dwo/</w:t>
      </w:r>
    </w:p>
    <w:p>
      <w:pPr>
        <w:numPr>
          <w:ilvl w:val="0"/>
          <w:numId w:val="1001"/>
        </w:numPr>
        <w:pStyle w:val="Compact"/>
      </w:pPr>
      <w:r>
        <w:t xml:space="preserve">scikit-learn documentation: LinearRegression, DecisionTreeRegressor, SVR, MLPRegressor, StandardScaler, Pipeline. https://scikit-learn.org/</w:t>
      </w:r>
    </w:p>
    <w:bookmarkEnd w:id="67"/>
    <w:bookmarkEnd w:id="68"/>
    <w:sectPr>
      <w:pgSz w:h="16838" w:w="11906"/>
      <w:pgMar w:bottom="1080" w:footer="720" w:gutter="0" w:header="720" w:left="1080" w:right="1080" w:top="10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9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Lucida Grande"/>
    <m:brkBin m:val="before"/>
    <m:brkBinSub m:val="--"/>
    <m:smallFrac m:val="false"/>
    <m:dispDef m:val="false"/>
    <m:lMargin m:val="0"/>
    <m:rMargin m:val="0"/>
    <m:wrapRight/>
    <m:intLim m:val="subSup"/>
    <m:naryLim m:val="subSup"/>
  </m:mathPr>
  <w:themeFontLang w:val="en-US"/>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1"/>
        <w:szCs w:val="21"/>
        <w:lang w:bidi="ar-SA" w:eastAsia="en-US" w:val="en-US"/>
      </w:rPr>
    </w:rPrDefault>
    <w:pPrDefault>
      <w:pPr>
        <w:spacing w:after="8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60" w:before="240"/>
      <w:outlineLvl w:val="0"/>
    </w:pPr>
    <w:rPr>
      <w:rFonts w:asciiTheme="majorHAnsi" w:cstheme="majorBidi" w:eastAsiaTheme="majorEastAsia" w:hAnsiTheme="majorHAnsi"/>
      <w:b/>
      <w:bCs/>
      <w:color w:themeColor="accent1" w:val="4F81BD"/>
      <w:sz w:val="26"/>
      <w:szCs w:val="26"/>
    </w:rPr>
  </w:style>
  <w:style w:styleId="Heading2" w:type="paragraph">
    <w:name w:val="Heading 2"/>
    <w:basedOn w:val="Normal"/>
    <w:next w:val="BodyText"/>
    <w:uiPriority w:val="9"/>
    <w:unhideWhenUsed/>
    <w:qFormat/>
    <w:pPr>
      <w:keepNext/>
      <w:keepLines/>
      <w:spacing w:after="40" w:before="160"/>
      <w:outlineLvl w:val="1"/>
    </w:pPr>
    <w:rPr>
      <w:rFonts w:asciiTheme="majorHAnsi" w:cstheme="majorBidi" w:eastAsiaTheme="majorEastAsia" w:hAnsiTheme="majorHAnsi"/>
      <w:b/>
      <w:bCs/>
      <w:color w:themeColor="accent1" w:val="4F81BD"/>
      <w:sz w:val="23"/>
      <w:szCs w:val="23"/>
    </w:rPr>
  </w:style>
  <w:style w:styleId="Heading3" w:type="paragraph">
    <w:name w:val="Heading 3"/>
    <w:basedOn w:val="Normal"/>
    <w:next w:val="BodyText"/>
    <w:uiPriority w:val="9"/>
    <w:unhideWhenUsed/>
    <w:qFormat/>
    <w:pPr>
      <w:keepNext/>
      <w:keepLines/>
      <w:spacing w:after="20" w:before="120"/>
      <w:outlineLvl w:val="2"/>
    </w:pPr>
    <w:rPr>
      <w:rFonts w:asciiTheme="majorHAnsi" w:cstheme="majorBidi" w:eastAsiaTheme="majorEastAsia" w:hAnsiTheme="majorHAnsi"/>
      <w:b/>
      <w:bCs/>
      <w:color w:themeColor="accent1" w:val="4F81BD"/>
      <w:sz w:val="21"/>
      <w:szCs w:val="21"/>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2" Target="media/rId62.png" /><Relationship Type="http://schemas.openxmlformats.org/officeDocument/2006/relationships/image" Id="rId36" Target="media/rId36.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54" Target="media/rId54.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26" Target="media/rId2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2026-10-16T13:33:09Z</dcterms:created>
  <dcterms:modified xsi:type="dcterms:W3CDTF">2026-10-16T13:33:09Z</dcterms:modified>
</cp:coreProperties>
</file>

<file path=docProps/custom.xml><?xml version="1.0" encoding="utf-8"?>
<Properties xmlns="http://schemas.openxmlformats.org/officeDocument/2006/custom-properties" xmlns:vt="http://schemas.openxmlformats.org/officeDocument/2006/docPropsVTypes"/>
</file>