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sz w:val="30"/>
        </w:rPr>
        <w:t>산불 피해목 줄기 그을림 비율의 객관적 정량화: 스마트폰 이미지 기반 줄기·그을림 영역 분할과 측정 신뢰성 평가</w:t>
      </w:r>
    </w:p>
    <w:p>
      <w:pPr>
        <w:jc w:val="center"/>
      </w:pPr>
      <w:r>
        <w:rPr>
          <w:b/>
          <w:sz w:val="24"/>
        </w:rPr>
        <w:t>Objective Quantification of Stem Scorch Proportion in Fire-Damaged Trees with Smartphone Image Segmentation</w:t>
      </w:r>
    </w:p>
    <w:p>
      <w:pPr>
        <w:jc w:val="center"/>
      </w:pPr>
      <w:r>
        <w:rPr>
          <w:b w:val="0"/>
          <w:sz w:val="20"/>
        </w:rPr>
        <w:t>저자 (소속) — 추후 기입</w:t>
      </w:r>
    </w:p>
    <w:p/>
    <w:p>
      <w:pPr>
        <w:pStyle w:val="Heading1"/>
      </w:pPr>
      <w:r>
        <w:rPr>
          <w:b w:val="0"/>
        </w:rPr>
        <w:t>1. Introduction</w:t>
      </w:r>
    </w:p>
    <w:p>
      <w:r>
        <w:t>한국의 산불은 기후변화와 함께 대형화·상시화하고 있다. 한반도의 겨울 기후가 한랭습윤에서 온난건조로 이동하면서 기온은 약 +4℃ 상승하고 상대습도는 약 −8%, 강수는 약 −17 mm 감소하여 연소에 유리한 기상 조건이 강화되었다 (Chang et al., 2024). 이러한 장기적 기후 이동은 발화·확산에 우호적인 환경을 누적시켜, 봄철 건조기 대형 산불의 발생 빈도와 규모를 함께 끌어올리고 있다.</w:t>
      </w:r>
    </w:p>
    <w:p>
      <w:r>
        <w:t>이 추세는 2025년의 극한 산불 사례에서 분명하게 드러났다. 2025년 3월 21일 경상북도 의성에서 시작된 산불은 약 45,000 ha를 태워 단일 산불로는 역대 최대 규모를 기록하였고, 같은 시기 영남권에서 동시다발적으로 발생한 산불로 경상북도에서만 약 90,000 ha가 피해를 입은 뒤 약 일주일 만에 대부분 진화되었다. 이러한 극한 기상 조건의 발생 가능성은 기후변화로 약 두 배 높아진 것으로 평가된다 (World Weather Attribution, 2025).</w:t>
      </w:r>
    </w:p>
    <w:p>
      <w:r>
        <w:t>대형 산불 직후 산림 관리자는 한정된 기간과 예산 안에서 벌채와 존치를 신속히 선별해야 하며, 수종을 막론하고 개체목의 생존 가능성을 객관적이고 재현 가능하게 판단할 수단이 필요하다. 한국에서 소나무(Pinus densiflora)는 산림의 넓은 면적을 차지하는 생태적·경제적 주요 수종이고, 최근의 대형 산불에서도 소나무 우점림이 광범위하게 피해를 입었다 (Baek et al., 2022). 이에 본 연구는 소나무 피해지를 사례로 삼아 개체목 단위의 측정 도구를 개발하고 검증한다.</w:t>
      </w:r>
    </w:p>
    <w:p>
      <w:r>
        <w:t>피해목의 생존은 줄기 형성층이 받은 열적 사멸의 정도에 좌우된다 (Michaletz and Johnson, 2007; Bär et al., 2019). 그러나 형성층 손상은 수피를 벗겨야 직접 확인할 수 있어 다수 개체를 평가할 때 파괴적이고 노동집약적이다 (Hood et al., 2008). 이러한 한계 때문에 줄기 수피의 그을림이 형성층 손상의 비파괴 대리지표로 사용되며, 북미 침엽수에서 고사 예측의 표준 변수로 확립되어 있다 (Ryan and Reinhardt, 1988; Woolley et al., 2012).</w:t>
      </w:r>
    </w:p>
    <w:p>
      <w:r>
        <w:t>그을림은 방위마다 높이와 피복이 달라 단일 값으로 종합해야 한다. Kwon et al. (2021)은 그을림 지수(bark scorch index, BSI)를 네 방위에 대한 BSH × BSP의 합으로 정의하였는데, 여기서 BSH는 그을림 최대 높이를, BSP는 그 높이 범위에서 그을림이 차지하는 면적 비율을 가리킨다. 이 지수는 고사를 가장 잘 설명하는 단일 변수였고, 흉고직경(DBH)·경사와 결합한 모형은 산불 3년 후의 고사를 약 87%의 예측 정확도로 설명하여 한국 소나무에서 검증된 고사 예측 지표로 자리잡았다. 두 입력 가운데 BSP는 면적 비율이므로 영상에서 직접 산출할 수 있으나, BSH는 수고봉과 같은 별도의 길이 기준을 필요로 한다.</w:t>
      </w:r>
    </w:p>
    <w:p>
      <w:r>
        <w:t>그을림·숯의 면적 비율은 BSI에 국한되지 않고 산불 후 고사 예측 모형 전반의 핵심 입력으로 쓰인다. 대표적 모형은 수종·DBH와 함께 수관 부피 그을림 비율(crown volume scorched)을 사용하며, 줄기에서는 숯 높이, 줄기 둘레 대비 숯 비율, 수피 숯 심각도 등급이 형성층 사멸과 연관된다 (Hood et al., 2008; Woolley et al., 2012; Cansler et al., 2020). 이러한 변수들은 네 방위 또는 줄기 둘레를 따라 육안으로 추정되므로, 면적 비율을 얼마나 일관되게 측정하느냐가 모형 전반의 신뢰성과 직결된다.</w:t>
      </w:r>
    </w:p>
    <w:p>
      <w:r>
        <w:t>BSI의 신뢰성은 입력 측정의 정확성과 일관성에 의존한다. 현행 BSH·BSP는 네 방위에 대한 육안 추정으로 산출되며, Kwon et al. (2021)도 신뢰성과 비용 사이의 절충을 지적하고 비용효율적인 측정 도구의 필요성을 제기하였다. 특히 면적 비율의 육안 추정은 측정자가 바뀌면 같은 나무에서도 값이 달라지는 관측자 변이에 노출된다. 식생 피복 추정 연구에서 이 변이는 반복적으로 정량화되어 관측자 간 차이가 흔히 10–20%포인트에 이르러 점-격자 등 객관적 측정보다 큰 것으로 보고된다 (Sykes et al., 1983; Vittoz and Guisan, 2007; Morrison, 2016). 더욱이 그을림과 수관 손상의 정의 자체가 연구마다 일치하지 않아 측정값의 비교 가능성을 더욱 제약한다 (Varner et al., 2021).</w:t>
      </w:r>
    </w:p>
    <w:p>
      <w:r>
        <w:t>그을림 비율의 측정은 영상에서 그을린 영역과 그을리지 않은 영역의 픽셀을 구분하는 영상 분할 문제로 정식화된다. 이 과제의 기술적 계보는 Mask R-CNN (He et al., 2017), U-Net (Ronneberger et al., 2015), Transformer 기반 분할 (Xie et al., 2021), 범용 분할 모델 SAM (Kirillov et al., 2023), 그리고 실시간 단일단계 인스턴스 분할 (Sapkota and Karkee, 2024; Ultralytics, 2026)로 이어진다. 경량·실시간 분할 (Mazhar et al., 2023; Lopez-Montiel et al., 2023)과 스마트폰 기반 산림 측정 (Tatsumi et al., 2023)은 현장에서 정량 측정을 수행할 가능성을 연다. 한편 기존의 수목 피해 딥러닝 연구는 대부분 위성·UAV의 상공 면적 매핑에 집중되어 있어 (Safonova et al., 2019; Hamdi et al., 2019), 지상에서 개체목 줄기의 그을림 비율을 정량화하고 그 측정 신뢰성까지 규명한 사례는 드물다.</w:t>
      </w:r>
    </w:p>
    <w:p>
      <w:r>
        <w:t>본 연구는 한국 소나무 산불 피해지에서 촬영한 보급형 스마트폰의 단일 사진으로부터 그을림 면적 비율(BSP)을 인스턴스 분할로 자동 산출하고, 모델·픽셀 라벨·현장 야장값 세 주체 사이의 일치도를 통해 그 측정 신뢰성을 규명한다. 구체적으로 (i) 세 주체의 일치도와 현재 기준 자료가 갖는 실질적 상한, (ii) 픽셀 분할이 정확하더라도 남는 비율 잔여 오차의 구조, (iii) 아키텍처·용량·해상도에 따른 정확도–비용 절충을 보급형 스마트폰 수준에서 제시한다. 이를 통해 BSI를 비롯한 비율 기반 고사 지표의 공통 입력을 객관적·재현 가능한 형태로 산출하는 현장 측정 경로를 마련한다.</w:t>
      </w:r>
    </w:p>
    <w:p>
      <w:pPr>
        <w:pStyle w:val="Heading1"/>
      </w:pPr>
      <w:r>
        <w:rPr>
          <w:b w:val="0"/>
        </w:rPr>
        <w:t>2. Materials and Methods</w:t>
      </w:r>
    </w:p>
    <w:p>
      <w:r>
        <w:t>스마트폰 단일 사진으로부터 그을림 비율을 산출하는 전체 절차는 다음과 같다. 처리 흐름은 현장에서 스마트폰으로 줄기 면을 촬영한 영상을 입력으로 받아 인스턴스 분할로 그을림과 줄기 영역을 픽셀 단위로 구분하고, 한 사진 안에서 측정 대상목을 자동으로 선택한 뒤, 선택된 줄기에 대해 그을림 비율을 산출하는 단계로 이어진다. 이렇게 산출한 모델 비율을 동일 면의 픽셀 라벨 비율 및 현장 야장값과 비교함으로써 측정 도구로서의 일치도를 정량화한다.</w:t>
      </w:r>
    </w:p>
    <w:p>
      <w:r>
        <w:rPr>
          <w:b/>
          <w:sz w:val="19"/>
        </w:rPr>
        <w:t xml:space="preserve">Figure 1. </w:t>
      </w:r>
      <w:r>
        <w:rPr>
          <w:sz w:val="19"/>
        </w:rPr>
        <w:t>전체 파이프라인: 스마트폰 촬영 → 인스턴스 분할 → 측정 대상목 자동 선택 → 그을림 비율 산출.</w:t>
      </w:r>
    </w:p>
    <w:p>
      <w:pPr>
        <w:pStyle w:val="Heading2"/>
      </w:pPr>
      <w:r>
        <w:rPr>
          <w:b w:val="0"/>
        </w:rPr>
        <w:t>2.1. Study site and image acquisition</w:t>
      </w:r>
    </w:p>
    <w:p>
      <w:r>
        <w:t>대상지는 산불 피해를 입은 두 권역으로, 경상북도 울진군 대흥리·덕구리 일대와 강원도 정선군 천포리 일대이다. 두 권역 모두 소나무(*Pinus densiflora*)가 우점하는 침엽수림 또는 침활혼효림이며, 대상목은 줄기 수피에 그을림이 관찰되는 피해 개체로 선정하였다. 이로써 한국 소나무 피해지를 사례로 줄기 그을림 비율 측정 도구를 개발·검증하는 자료 기반을 확보하였다.</w:t>
      </w:r>
    </w:p>
    <w:p>
      <w:r>
        <w:t>[보완 필요: 대상지 산불 발생 시기, 피해면적(ha), 주요 수종 구성비(%), 평균 경사 등.]</w:t>
      </w:r>
    </w:p>
    <w:p>
      <w:r>
        <w:t>촬영은 2026년 2월에 수행하였다. 각 개체는 번호를 각인한 알루미늄 태그를 먼저 촬영해 식별한 뒤 동·서·남·북 네 방위의 줄기 면을 촬영하였으며, 지형과 현장 여건상 일부 개체는 일부 면만 촬영하였다. 촬영 거리는 그을림 전체가 화면에 들어오도록 그을림 높이에 따라 대체로 2–8 m 범위에서 가변적으로 두고 야장에 기록하였다. 각 면은 카메라 배율 1.0×·1.5×·2.0×로 배율당 3장씩 촬영하여 한 개체에서 최대 12장을 확보하였으며, 동일 면에 대해 현장 조사자가 줄기를 직접 관찰하면서 그을림 비율을 5% 단위로 육안 추정하여 야장값으로 기록하였다.</w:t>
      </w:r>
    </w:p>
    <w:p>
      <w:r>
        <w:t>[보완 필요: 야장값을 기록한 인원 수(단일/복수 관측자).]</w:t>
      </w:r>
    </w:p>
    <w:p>
      <w:r>
        <w:rPr>
          <w:b/>
          <w:sz w:val="19"/>
        </w:rPr>
        <w:t xml:space="preserve">Figure 2. </w:t>
      </w:r>
      <w:r>
        <w:rPr>
          <w:sz w:val="19"/>
        </w:rPr>
        <w:t>연구 대상지 위치(경상북도 울진군 대흥리·덕구리, 강원도 정선군 천포리).</w:t>
      </w:r>
    </w:p>
    <w:p>
      <w:pPr>
        <w:pStyle w:val="Heading2"/>
      </w:pPr>
      <w:r>
        <w:rPr>
          <w:b w:val="0"/>
        </w:rPr>
        <w:t>2.2. Dataset and annotation</w:t>
      </w:r>
    </w:p>
    <w:p>
      <w:r>
        <w:t>세 지역의 작업 묶음을 하나의 데이터셋으로 통합하고, 그을림과 줄기의 2개 클래스를 폴리곤으로 주석하였다. 중복 묶음과 라벨 누락이 의심되는 분량은 정제하되, 그을림이 보이지 않는 사진은 그을림 라벨을 빈 채로 유지하였다. 이는 깨끗한 수피만 보이는 음성 표본이 거짓양성을 억제하는 데 필요하기 때문이다. 정제 결과 최종 데이터셋은 31개 작업 묶음, 약 276개체에서 얻은 2,735장으로 구성되며, 지역·분할·클래스별 수는 Table 1에 제시한다.</w:t>
      </w:r>
    </w:p>
    <w:p>
      <w:r>
        <w:rPr>
          <w:b/>
          <w:sz w:val="19"/>
        </w:rPr>
        <w:t xml:space="preserve">Table 1. </w:t>
      </w:r>
      <w:r>
        <w:rPr>
          <w:sz w:val="19"/>
        </w:rPr>
        <w:t>데이터셋 구성 — (상) 지역별 사진·라벨 수, (하) 학습·검증·평가 분할.</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t>지역 (Region)</w:t>
            </w:r>
          </w:p>
        </w:tc>
        <w:tc>
          <w:tcPr>
            <w:tcW w:type="dxa" w:w="1872"/>
          </w:tcPr>
          <w:p>
            <w:r>
              <w:rPr>
                <w:b/>
                <w:sz w:val="18"/>
              </w:rPr>
              <w:t>작업 묶음</w:t>
            </w:r>
          </w:p>
        </w:tc>
        <w:tc>
          <w:tcPr>
            <w:tcW w:type="dxa" w:w="1872"/>
          </w:tcPr>
          <w:p>
            <w:r>
              <w:rPr>
                <w:b/>
                <w:sz w:val="18"/>
              </w:rPr>
              <w:t>사진</w:t>
            </w:r>
          </w:p>
        </w:tc>
        <w:tc>
          <w:tcPr>
            <w:tcW w:type="dxa" w:w="1872"/>
          </w:tcPr>
          <w:p>
            <w:r>
              <w:rPr>
                <w:b/>
                <w:sz w:val="18"/>
              </w:rPr>
              <w:t>그을림 라벨 사진</w:t>
            </w:r>
          </w:p>
        </w:tc>
        <w:tc>
          <w:tcPr>
            <w:tcW w:type="dxa" w:w="1872"/>
          </w:tcPr>
          <w:p>
            <w:r>
              <w:rPr>
                <w:b/>
                <w:sz w:val="18"/>
              </w:rPr>
              <w:t>줄기 라벨 사진</w:t>
            </w:r>
          </w:p>
        </w:tc>
      </w:tr>
      <w:tr>
        <w:tc>
          <w:tcPr>
            <w:tcW w:type="dxa" w:w="1872"/>
          </w:tcPr>
          <w:p>
            <w:r>
              <w:rPr>
                <w:b w:val="0"/>
                <w:sz w:val="18"/>
              </w:rPr>
              <w:t>울진 대흥리 (Daeheung-ri)</w:t>
            </w:r>
          </w:p>
        </w:tc>
        <w:tc>
          <w:tcPr>
            <w:tcW w:type="dxa" w:w="1872"/>
          </w:tcPr>
          <w:p>
            <w:r>
              <w:rPr>
                <w:b w:val="0"/>
                <w:sz w:val="18"/>
              </w:rPr>
              <w:t>6</w:t>
            </w:r>
          </w:p>
        </w:tc>
        <w:tc>
          <w:tcPr>
            <w:tcW w:type="dxa" w:w="1872"/>
          </w:tcPr>
          <w:p>
            <w:r>
              <w:rPr>
                <w:b w:val="0"/>
                <w:sz w:val="18"/>
              </w:rPr>
              <w:t>347</w:t>
            </w:r>
          </w:p>
        </w:tc>
        <w:tc>
          <w:tcPr>
            <w:tcW w:type="dxa" w:w="1872"/>
          </w:tcPr>
          <w:p>
            <w:r>
              <w:rPr>
                <w:b w:val="0"/>
                <w:sz w:val="18"/>
              </w:rPr>
              <w:t>347</w:t>
            </w:r>
          </w:p>
        </w:tc>
        <w:tc>
          <w:tcPr>
            <w:tcW w:type="dxa" w:w="1872"/>
          </w:tcPr>
          <w:p>
            <w:r>
              <w:rPr>
                <w:b w:val="0"/>
                <w:sz w:val="18"/>
              </w:rPr>
              <w:t>347</w:t>
            </w:r>
          </w:p>
        </w:tc>
      </w:tr>
      <w:tr>
        <w:tc>
          <w:tcPr>
            <w:tcW w:type="dxa" w:w="1872"/>
          </w:tcPr>
          <w:p>
            <w:r>
              <w:rPr>
                <w:b w:val="0"/>
                <w:sz w:val="18"/>
              </w:rPr>
              <w:t>울진 덕구리 (Deokgu-ri)</w:t>
            </w:r>
          </w:p>
        </w:tc>
        <w:tc>
          <w:tcPr>
            <w:tcW w:type="dxa" w:w="1872"/>
          </w:tcPr>
          <w:p>
            <w:r>
              <w:rPr>
                <w:b w:val="0"/>
                <w:sz w:val="18"/>
              </w:rPr>
              <w:t>5</w:t>
            </w:r>
          </w:p>
        </w:tc>
        <w:tc>
          <w:tcPr>
            <w:tcW w:type="dxa" w:w="1872"/>
          </w:tcPr>
          <w:p>
            <w:r>
              <w:rPr>
                <w:b w:val="0"/>
                <w:sz w:val="18"/>
              </w:rPr>
              <w:t>675</w:t>
            </w:r>
          </w:p>
        </w:tc>
        <w:tc>
          <w:tcPr>
            <w:tcW w:type="dxa" w:w="1872"/>
          </w:tcPr>
          <w:p>
            <w:r>
              <w:rPr>
                <w:b w:val="0"/>
                <w:sz w:val="18"/>
              </w:rPr>
              <w:t>663</w:t>
            </w:r>
          </w:p>
        </w:tc>
        <w:tc>
          <w:tcPr>
            <w:tcW w:type="dxa" w:w="1872"/>
          </w:tcPr>
          <w:p>
            <w:r>
              <w:rPr>
                <w:b w:val="0"/>
                <w:sz w:val="18"/>
              </w:rPr>
              <w:t>675</w:t>
            </w:r>
          </w:p>
        </w:tc>
      </w:tr>
      <w:tr>
        <w:tc>
          <w:tcPr>
            <w:tcW w:type="dxa" w:w="1872"/>
          </w:tcPr>
          <w:p>
            <w:r>
              <w:rPr>
                <w:b w:val="0"/>
                <w:sz w:val="18"/>
              </w:rPr>
              <w:t>정선 천포리 (Cheonpo-ri)</w:t>
            </w:r>
          </w:p>
        </w:tc>
        <w:tc>
          <w:tcPr>
            <w:tcW w:type="dxa" w:w="1872"/>
          </w:tcPr>
          <w:p>
            <w:r>
              <w:rPr>
                <w:b w:val="0"/>
                <w:sz w:val="18"/>
              </w:rPr>
              <w:t>20</w:t>
            </w:r>
          </w:p>
        </w:tc>
        <w:tc>
          <w:tcPr>
            <w:tcW w:type="dxa" w:w="1872"/>
          </w:tcPr>
          <w:p>
            <w:r>
              <w:rPr>
                <w:b w:val="0"/>
                <w:sz w:val="18"/>
              </w:rPr>
              <w:t>1,713</w:t>
            </w:r>
          </w:p>
        </w:tc>
        <w:tc>
          <w:tcPr>
            <w:tcW w:type="dxa" w:w="1872"/>
          </w:tcPr>
          <w:p>
            <w:r>
              <w:rPr>
                <w:b w:val="0"/>
                <w:sz w:val="18"/>
              </w:rPr>
              <w:t>1,683</w:t>
            </w:r>
          </w:p>
        </w:tc>
        <w:tc>
          <w:tcPr>
            <w:tcW w:type="dxa" w:w="1872"/>
          </w:tcPr>
          <w:p>
            <w:r>
              <w:rPr>
                <w:b w:val="0"/>
                <w:sz w:val="18"/>
              </w:rPr>
              <w:t>1,713</w:t>
            </w:r>
          </w:p>
        </w:tc>
      </w:tr>
      <w:tr>
        <w:tc>
          <w:tcPr>
            <w:tcW w:type="dxa" w:w="1872"/>
          </w:tcPr>
          <w:p>
            <w:r>
              <w:rPr>
                <w:b w:val="0"/>
                <w:sz w:val="18"/>
              </w:rPr>
              <w:t>합계 (Total)</w:t>
            </w:r>
          </w:p>
        </w:tc>
        <w:tc>
          <w:tcPr>
            <w:tcW w:type="dxa" w:w="1872"/>
          </w:tcPr>
          <w:p>
            <w:r>
              <w:rPr>
                <w:b w:val="0"/>
                <w:sz w:val="18"/>
              </w:rPr>
              <w:t>31</w:t>
            </w:r>
          </w:p>
        </w:tc>
        <w:tc>
          <w:tcPr>
            <w:tcW w:type="dxa" w:w="1872"/>
          </w:tcPr>
          <w:p>
            <w:r>
              <w:rPr>
                <w:b w:val="0"/>
                <w:sz w:val="18"/>
              </w:rPr>
              <w:t>2,735</w:t>
            </w:r>
          </w:p>
        </w:tc>
        <w:tc>
          <w:tcPr>
            <w:tcW w:type="dxa" w:w="1872"/>
          </w:tcPr>
          <w:p>
            <w:r>
              <w:rPr>
                <w:b w:val="0"/>
                <w:sz w:val="18"/>
              </w:rPr>
              <w:t>2,693</w:t>
            </w:r>
          </w:p>
        </w:tc>
        <w:tc>
          <w:tcPr>
            <w:tcW w:type="dxa" w:w="1872"/>
          </w:tcPr>
          <w:p>
            <w:r>
              <w:rPr>
                <w:b w:val="0"/>
                <w:sz w:val="18"/>
              </w:rPr>
              <w:t>2,735</w:t>
            </w:r>
          </w:p>
        </w:tc>
      </w:tr>
    </w:tbl>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t>분할 (Split)</w:t>
            </w:r>
          </w:p>
        </w:tc>
        <w:tc>
          <w:tcPr>
            <w:tcW w:type="dxa" w:w="1872"/>
          </w:tcPr>
          <w:p>
            <w:r>
              <w:rPr>
                <w:b/>
                <w:sz w:val="18"/>
              </w:rPr>
              <w:t>사진</w:t>
            </w:r>
          </w:p>
        </w:tc>
        <w:tc>
          <w:tcPr>
            <w:tcW w:type="dxa" w:w="1872"/>
          </w:tcPr>
          <w:p>
            <w:r>
              <w:rPr>
                <w:b/>
                <w:sz w:val="18"/>
              </w:rPr>
              <w:t>비율</w:t>
            </w:r>
          </w:p>
        </w:tc>
        <w:tc>
          <w:tcPr>
            <w:tcW w:type="dxa" w:w="1872"/>
          </w:tcPr>
          <w:p>
            <w:r>
              <w:rPr>
                <w:b/>
                <w:sz w:val="18"/>
              </w:rPr>
              <w:t>그을림 주석</w:t>
            </w:r>
          </w:p>
        </w:tc>
        <w:tc>
          <w:tcPr>
            <w:tcW w:type="dxa" w:w="1872"/>
          </w:tcPr>
          <w:p>
            <w:r>
              <w:rPr>
                <w:b/>
                <w:sz w:val="18"/>
              </w:rPr>
              <w:t>줄기 주석</w:t>
            </w:r>
          </w:p>
        </w:tc>
      </w:tr>
      <w:tr>
        <w:tc>
          <w:tcPr>
            <w:tcW w:type="dxa" w:w="1872"/>
          </w:tcPr>
          <w:p>
            <w:r>
              <w:rPr>
                <w:b w:val="0"/>
                <w:sz w:val="18"/>
              </w:rPr>
              <w:t>학습 (Train)</w:t>
            </w:r>
          </w:p>
        </w:tc>
        <w:tc>
          <w:tcPr>
            <w:tcW w:type="dxa" w:w="1872"/>
          </w:tcPr>
          <w:p>
            <w:r>
              <w:rPr>
                <w:b w:val="0"/>
                <w:sz w:val="18"/>
              </w:rPr>
              <w:t>2,193</w:t>
            </w:r>
          </w:p>
        </w:tc>
        <w:tc>
          <w:tcPr>
            <w:tcW w:type="dxa" w:w="1872"/>
          </w:tcPr>
          <w:p>
            <w:r>
              <w:rPr>
                <w:b w:val="0"/>
                <w:sz w:val="18"/>
              </w:rPr>
              <w:t>80.2 %</w:t>
            </w:r>
          </w:p>
        </w:tc>
        <w:tc>
          <w:tcPr>
            <w:tcW w:type="dxa" w:w="1872"/>
          </w:tcPr>
          <w:p>
            <w:r>
              <w:rPr>
                <w:b w:val="0"/>
                <w:sz w:val="18"/>
              </w:rPr>
              <w:t>2,287</w:t>
            </w:r>
          </w:p>
        </w:tc>
        <w:tc>
          <w:tcPr>
            <w:tcW w:type="dxa" w:w="1872"/>
          </w:tcPr>
          <w:p>
            <w:r>
              <w:rPr>
                <w:b w:val="0"/>
                <w:sz w:val="18"/>
              </w:rPr>
              <w:t>2,225</w:t>
            </w:r>
          </w:p>
        </w:tc>
      </w:tr>
      <w:tr>
        <w:tc>
          <w:tcPr>
            <w:tcW w:type="dxa" w:w="1872"/>
          </w:tcPr>
          <w:p>
            <w:r>
              <w:rPr>
                <w:b w:val="0"/>
                <w:sz w:val="18"/>
              </w:rPr>
              <w:t>검증 (Validation)</w:t>
            </w:r>
          </w:p>
        </w:tc>
        <w:tc>
          <w:tcPr>
            <w:tcW w:type="dxa" w:w="1872"/>
          </w:tcPr>
          <w:p>
            <w:r>
              <w:rPr>
                <w:b w:val="0"/>
                <w:sz w:val="18"/>
              </w:rPr>
              <w:t>267</w:t>
            </w:r>
          </w:p>
        </w:tc>
        <w:tc>
          <w:tcPr>
            <w:tcW w:type="dxa" w:w="1872"/>
          </w:tcPr>
          <w:p>
            <w:r>
              <w:rPr>
                <w:b w:val="0"/>
                <w:sz w:val="18"/>
              </w:rPr>
              <w:t>9.8 %</w:t>
            </w:r>
          </w:p>
        </w:tc>
        <w:tc>
          <w:tcPr>
            <w:tcW w:type="dxa" w:w="1872"/>
          </w:tcPr>
          <w:p>
            <w:r>
              <w:rPr>
                <w:b w:val="0"/>
                <w:sz w:val="18"/>
              </w:rPr>
              <w:t>279</w:t>
            </w:r>
          </w:p>
        </w:tc>
        <w:tc>
          <w:tcPr>
            <w:tcW w:type="dxa" w:w="1872"/>
          </w:tcPr>
          <w:p>
            <w:r>
              <w:rPr>
                <w:b w:val="0"/>
                <w:sz w:val="18"/>
              </w:rPr>
              <w:t>267</w:t>
            </w:r>
          </w:p>
        </w:tc>
      </w:tr>
      <w:tr>
        <w:tc>
          <w:tcPr>
            <w:tcW w:type="dxa" w:w="1872"/>
          </w:tcPr>
          <w:p>
            <w:r>
              <w:rPr>
                <w:b w:val="0"/>
                <w:sz w:val="18"/>
              </w:rPr>
              <w:t>평가 (Test)</w:t>
            </w:r>
          </w:p>
        </w:tc>
        <w:tc>
          <w:tcPr>
            <w:tcW w:type="dxa" w:w="1872"/>
          </w:tcPr>
          <w:p>
            <w:r>
              <w:rPr>
                <w:b w:val="0"/>
                <w:sz w:val="18"/>
              </w:rPr>
              <w:t>275</w:t>
            </w:r>
          </w:p>
        </w:tc>
        <w:tc>
          <w:tcPr>
            <w:tcW w:type="dxa" w:w="1872"/>
          </w:tcPr>
          <w:p>
            <w:r>
              <w:rPr>
                <w:b w:val="0"/>
                <w:sz w:val="18"/>
              </w:rPr>
              <w:t>10.0 %</w:t>
            </w:r>
          </w:p>
        </w:tc>
        <w:tc>
          <w:tcPr>
            <w:tcW w:type="dxa" w:w="1872"/>
          </w:tcPr>
          <w:p>
            <w:r>
              <w:rPr>
                <w:b w:val="0"/>
                <w:sz w:val="18"/>
              </w:rPr>
              <w:t>302</w:t>
            </w:r>
          </w:p>
        </w:tc>
        <w:tc>
          <w:tcPr>
            <w:tcW w:type="dxa" w:w="1872"/>
          </w:tcPr>
          <w:p>
            <w:r>
              <w:rPr>
                <w:b w:val="0"/>
                <w:sz w:val="18"/>
              </w:rPr>
              <w:t>279</w:t>
            </w:r>
          </w:p>
        </w:tc>
      </w:tr>
    </w:tbl>
    <w:p/>
    <w:p>
      <w:r>
        <w:t>라벨–야장 비교가 본 연구의 핵심 분석이므로 픽셀 라벨 작성 절차와 데이터 분할 방식이 결과 해석을 좌우한다. 데이터 분할은 한 개체의 사진이 학습과 평가에 동시에 들어가 성능을 부풀리는 평가 누수(leakage)를 막기 위해 개체목 단위로 수행하였으며 (Kapoor and Narayanan, 2023), 그 결과 학습 2,193장(80.2%)·검증 267장(9.8%)·평가 275장(10.0%)의 약 80/10/10 분할을 얻었다. 개체목 단위 분할은 같은 나무의 네 방위 사진이 학습과 평가로 갈라지지 않도록 보장하여, 보고하는 일치도가 미지의 개체에 대한 일반화 성능을 반영하도록 한다.</w:t>
      </w:r>
    </w:p>
    <w:p>
      <w:r>
        <w:t>[보완 필요: 픽셀 라벨 작성자 수, 검수 여부, 그을림–수피 모호 경계 처리 기준.]</w:t>
      </w:r>
    </w:p>
    <w:p>
      <w:pPr>
        <w:pStyle w:val="Heading2"/>
      </w:pPr>
      <w:r>
        <w:rPr>
          <w:b w:val="0"/>
        </w:rPr>
        <w:t>2.3. Stem scorch proportion</w:t>
      </w:r>
    </w:p>
    <w:p>
      <w:r>
        <w:t>그을림 비율은 두 가지 정의로 두고 라벨과 모델에 동일하게 적용하며, 두 정의의 분자는 그을림과 줄기의 교집합 면적으로 공통이다. 두 정의는 각각 서로 다른 평가 축의 주지표 역할을 한다. $R_{\text{below}}$는 측정 신뢰성 축의 주지표로, 분모를 그을림 최대 높이 아래의 줄기 면적으로 두며 이는 현장 야장 측정 방식이자 Kwon et al. (2021)의 그을림 비율(bark scorch proportion, BSP) 정의에 대응한다. 야장과의 비교는 분모가 일치해야 일치도가 성립하므로 $R_{\text{below}}$로만 가능하다.</w:t>
      </w:r>
    </w:p>
    <w:p>
      <w:r>
        <w:t>$R_{\text{whole}}$은 분할 충실도 축의 주지표로, 분모를 줄기 전체 면적으로 두어 모델이 사람 라벨을 얼마나 충실히 재현하는지를 일반 분할 평가와 동일한 방식으로 측정한다. 분모가 서로 다른 두 비율을 직접 대비하면 일치도는 성립하지 않으므로, 각 비율은 분모가 일치하는 대상과만 비교한다. 두 비율은 다음과 같이 정의한다.</w:t>
      </w:r>
    </w:p>
    <w:p>
      <w:pPr>
        <w:jc w:val="center"/>
      </w:pPr>
      <w:r>
        <w:rPr>
          <w:b w:val="0"/>
        </w:rPr>
        <w:t>$$R_{\text{below}} = \dfrac{A_{\text{scorch}\,\cap\,\text{stem}}}{A_{\text{stem, below max height}}} \qquad (1)$$</w:t>
      </w:r>
    </w:p>
    <w:p>
      <w:pPr>
        <w:jc w:val="center"/>
      </w:pPr>
      <w:r>
        <w:rPr>
          <w:b w:val="0"/>
        </w:rPr>
        <w:t>$$R_{\text{whole}} = \dfrac{A_{\text{scorch}\,\cap\,\text{stem}}}{A_{\text{stem}}} \qquad (2)$$</w:t>
      </w:r>
    </w:p>
    <w:p>
      <w:r>
        <w:t>측정 대상목은 한 사진에서 여러 줄기가 검출될 때 면적과 화면 중심 근접도를 가중한 점수가 가장 큰 줄기를 선택한다. 이는 대상목을 화면 중앙에 가장 크게 촬영하는 현장 규약에 대응하여, 배경에 걸친 인접 줄기 대신 의도한 측정 대상을 일관되게 선택하도록 한다.</w:t>
      </w:r>
    </w:p>
    <w:p>
      <w:r>
        <w:rPr>
          <w:b/>
          <w:sz w:val="19"/>
        </w:rPr>
        <w:t xml:space="preserve">Figure 3. </w:t>
      </w:r>
      <w:r>
        <w:rPr>
          <w:sz w:val="19"/>
        </w:rPr>
        <w:t>그을림 비율 정의 모식도: 그을림–줄기 교집합(분자)과 두 분모 — 최대 높이 아래 줄기 면적($R_{\text{below}}$) 대 줄기 전체 면적($R_{\text{whole}}$).</w:t>
      </w:r>
    </w:p>
    <w:p>
      <w:pPr>
        <w:pStyle w:val="Heading2"/>
      </w:pPr>
      <w:r>
        <w:rPr>
          <w:b w:val="0"/>
        </w:rPr>
        <w:t>2.4. Segmentation models and training</w:t>
      </w:r>
    </w:p>
    <w:p>
      <w:r>
        <w:t>분할 모델로는 YOLO11과 YOLO26 두 세대를 사용한다. YOLO11은 객체 탐지와 마스크 예측을 함께 수행하는 단일단계(one-stage) 실시간 인스턴스 분할 모델이며 (Sapkota and Karkee, 2024), YOLO26은 그 후속 세대로 단순화된 종단간(end-to-end) 구조와 개선된 마스크 모듈을 통해 동일 연산 대비 정확도와 속도를 지향한다 (Ultralytics, 2026). 두 세대를 동일 절차로 학습·평가하여 백본(backbone) 개선의 효과를 분리한다.</w:t>
      </w:r>
    </w:p>
    <w:p>
      <w:r>
        <w:t>용량은 n·s·m을 모두 사용한다. n에서 s, m으로 갈수록 파라미터와 표현력이 커지는 대신 연산량과 추론 시간이 늘어나므로, 정확도와 비용을 함께 만족하는 용량을 찾기 위해 셋을 비교한다. 입력 해상도는 640과 1280을 사용하며, 고해상도는 가는 그을림 경계 같은 미세 구조 포착에 유리하지만 연산이 대략 해상도의 제곱으로 늘고 학습 영상의 원해상도를 넘으면 업스케일에 그친다. 이에 따라 아키텍처(YOLO11/YOLO26) × 용량(n/s/m) × 해상도(640/1280)의 12개 구성을 동일 절차로 학습·평가한다.</w:t>
      </w:r>
    </w:p>
    <w:p>
      <w:r>
        <w:t>12개 구성은 공통 절차로 학습한다. COCO 사전학습(pretraining) 가중치에서 출발해 최대 100 epoch 학습하되 검증 손실이 30 epoch 동안 개선되지 않으면 조기 종료한다. 최적화는 AdamW(자동 설정)를 사용하고 학습률은 초기 0.01에서 코사인 감쇠(cosine learning-rate decay)로 줄이며 warmup은 3 epoch, weight decay는 $5\times10^{-4}$, 혼합정밀도(mixed precision)를 적용한다. 배치 크기는 640 입력에서 16을 기준으로 하고 고해상도·대용량 구성은 VRAM에 맞춰 8·4·2로 낮추며, 그을림과 줄기 마스크의 위계를 보존하기 위해 overlap_mask는 비활성화한다.</w:t>
      </w:r>
    </w:p>
    <w:p>
      <w:r>
        <w:t>증강(augmentation)은 HSV 색 변환, 좌우 반전, ±15° 회전, 0.3–1.7배 스케일을 사용하고, 측정 대상목 신호를 보존하기 위해 상하 반전·모자이크·믹스업은 사용하지 않는다. 학습은 RTX 4060 Laptop GPU(8 GB)에서 수행하고 구성별 학습 시간을 기록한다. 추론 단계의 신뢰도 임계값은 그을림과 줄기 두 클래스 모두 0.10으로 두어 가는 그을림 경계의 재현을 확보한다.</w:t>
      </w:r>
    </w:p>
    <w:p>
      <w:r>
        <w:rPr>
          <w:b/>
          <w:sz w:val="19"/>
        </w:rPr>
        <w:t xml:space="preserve">Table 2. </w:t>
      </w:r>
      <w:r>
        <w:rPr>
          <w:sz w:val="19"/>
        </w:rPr>
        <w:t>비교 모델 구성·학습 설정(아키텍처·용량·해상도별 파라미터·학습 시간, 증강·하이퍼파라미터).</w:t>
      </w:r>
    </w:p>
    <w:p>
      <w:pPr>
        <w:pStyle w:val="Heading2"/>
      </w:pPr>
      <w:r>
        <w:rPr>
          <w:b w:val="0"/>
        </w:rPr>
        <w:t>2.5. On-device deployment benchmark</w:t>
      </w:r>
    </w:p>
    <w:p>
      <w:r>
        <w:t>스마트폰 배포 평가는 정확도 비교와 동일하게 12개 구성 전부를 측정한다. 학습 가중치를 ONNX로 변환하여 ONNX Runtime의 CPU 실행으로 구동하는 안드로이드 앱을 개발하였으며, ONNX 변환은 이 스마트폰 배포 경로에서만 수행한다. 앱은 모델과 평가 영상을 내장하여 기기 안에서 각 구성을 자동 추론하고 전처리·추론·후처리 시간, 그을림 비율, 야장 대비 MAE를 기록한다. 기기는 보급형이자 구형 하한인 Pixel 4 XL(2019)과 최신 보급 모델인 Galaxy S24를 사용하여 현장에서 마주칠 수 있는 연산 환경의 범위를 포괄한다.</w:t>
      </w:r>
    </w:p>
    <w:p>
      <w:r>
        <w:t>데스크톱 측정은 연산 환경의 상한 범위를 가늠하기 위한 보조 측정으로, 대표 4개 구성(11n@640·26s@640·26m@640·26s@1280)을 RTX 3060 GPU와 i9-10900X CPU에서 native(PyTorch) 추론으로 장당 시간을 측정한다. 장당 시간은 표본 평균이므로 부분집합으로도 안정적으로 추정되며, 현장에서는 한 번에 한 장을 처리하므로 장당 시간이 실용성을 직접 반영하는 지표이다.</w:t>
      </w:r>
    </w:p>
    <w:p>
      <w:pPr>
        <w:pStyle w:val="Heading2"/>
      </w:pPr>
      <w:r>
        <w:rPr>
          <w:b w:val="0"/>
        </w:rPr>
        <w:t>2.6. Evaluation metrics and statistical analysis</w:t>
      </w:r>
    </w:p>
    <w:p>
      <w:r>
        <w:t>마스크 품질은 픽셀 단위 정밀도(precision)·재현율(recall)·F1·IoU(intersection over union)를 그을림과 줄기 클래스별로 보고하며, 이진 마스크에서 F1은 Dice 계수(Dice coefficient)와 동일하다. 박스·마스크 mAP(mean average precision)도 함께 보고한다. 그을림 비율은 줄기 안 그을림 면적이 핵심이므로 전체 평균보다 그을림 클래스의 F1·IoU가 더 중요한 지표가 된다.</w:t>
      </w:r>
    </w:p>
    <w:p>
      <w:r>
        <w:t>그을림 비율의 일치도(agreement)는 측정법 비교에서 표준으로 쓰이는 지표로 보고한다. 주지표는 일치상관계수(concordance correlation coefficient, CCC; Lin, 1989)이며 (Table 5), 여기에 부트스트랩 95% 신뢰구간을 함께 제시한다. 보조 지표로 $r^2$, MAE(mean absolute error), 편향(bias), 그리고 Bland–Altman 일치한계(limits of agreement; Bland and Altman, 1986)를 보고하여 일치의 강도와 체계적 어긋남을 함께 드러낸다.</w:t>
      </w:r>
    </w:p>
    <w:p>
      <w:r>
        <w:t>비율 잔여 오차는 다음 다섯 항목으로 분해해 분석한다. (1) 분모 정의($R_{\text{below}}$ 대 $R_{\text{whole}}$)에 대한 민감도, (2) 영향관측치 진단(라벨 대비 비율 잔차의 절댓값이 0.25를 초과하는 경우를 '심각 오차'로 정의), (3) 그을림–수피 픽셀 혼동 회계, (4) 동일 개체의 방위별 변동, (5) 촬영 거리와 정적 색 전처리(CLAHE·gamma)에 대한 강건성이다. 개체목 단위 분할을 적용하므로 한 나무가 학습과 평가에 동시에 들어가지 않으며, 잔여 오차 분석은 미지 개체에 대한 오차 구조를 반영한다.</w:t>
      </w:r>
    </w:p>
    <w:p>
      <w:pPr>
        <w:pStyle w:val="Heading1"/>
      </w:pPr>
      <w:r>
        <w:rPr>
          <w:b w:val="0"/>
        </w:rPr>
        <w:t>3. Results and Discussion</w:t>
      </w:r>
    </w:p>
    <w:p>
      <w:pPr>
        <w:pStyle w:val="Heading2"/>
      </w:pPr>
      <w:r>
        <w:rPr>
          <w:b w:val="0"/>
        </w:rPr>
        <w:t>3.1. Pixel-level segmentation accuracy</w:t>
      </w:r>
    </w:p>
    <w:p>
      <w:r>
        <w:t>평가 표본(n=275)에서 줄기 마스크의 픽셀 단위 정확도는 입력 해상도 640에서 F1 ≥ 0.96으로 클래스가 명확히 분리되었고, 그을림 마스크는 F1 0.86~0.88 범위에 분포해 경계가 더 미세한 그을림 영역에서도 안정적인 픽셀 분할을 달성하였다. 경량 구성인 11n@640은 그을림 0.868·줄기 0.966을 기록하였고, 최고 정확도 구성인 26m@640은 그을림 0.878·줄기 0.969로 소폭 더 높았다. 이러한 결과는 두 클래스 모두에서 픽셀 수준의 마스크 품질이 보급형 연산 환경에서도 확보됨을 보여준다.</w:t>
      </w:r>
    </w:p>
    <w:p>
      <w:r>
        <w:t>측정 대상목 자동 선택 단계도 안정적으로 작동하여, 선택된 줄기와 정답 대상목 사이의 IoU 중앙값이 0.94로 나타났다. 그을림 비율은 픽셀 개수의 비율로 산출되므로 이후 비교에서는 F1을 주 지표로 사용하며, IoU는 합집합을 분모로 두어 동일한 마스크에서도 더 낮은 값을 보이기 때문에 보조적으로만 참조한다. 마스크 자체는 여러 구성에서 일관되게 안정적이므로, 이후 분석의 초점은 마스크 품질이 아니라 그을림 비율의 측정 신뢰성으로 이동한다.</w:t>
      </w:r>
    </w:p>
    <w:p>
      <w:r>
        <w:rPr>
          <w:b/>
          <w:sz w:val="19"/>
        </w:rPr>
        <w:t xml:space="preserve">Table 3. </w:t>
      </w:r>
      <w:r>
        <w:rPr>
          <w:sz w:val="19"/>
        </w:rPr>
        <w:t>클래스별 픽셀 성능(정밀도·재현율·F1·IoU)과 박스·마스크 mAP — 경량·최고 정확도 모델.</w:t>
      </w:r>
    </w:p>
    <w:p>
      <w:r>
        <w:rPr>
          <w:b/>
          <w:sz w:val="19"/>
        </w:rPr>
        <w:t xml:space="preserve">Figure 4. </w:t>
      </w:r>
      <w:r>
        <w:rPr>
          <w:sz w:val="19"/>
        </w:rPr>
        <w:t>정성적 분할 예시: 입력 영상, 정답 마스크, 예측 마스크 오버레이.</w:t>
      </w:r>
    </w:p>
    <w:p>
      <w:pPr>
        <w:pStyle w:val="Heading2"/>
      </w:pPr>
      <w:r>
        <w:rPr>
          <w:b w:val="0"/>
        </w:rPr>
        <w:t>3.2. Model comparison and accuracy–cost trade-off</w:t>
      </w:r>
    </w:p>
    <w:p>
      <w:r>
        <w:t>아키텍처(YOLO11/26) × 용량(n/s/m) × 해상도(640/1280)의 12개 구성을 동일 절차로 비교하면, 픽셀 마스크 품질은 아키텍처에 거의 무관하다. 640 입력에서 줄기 F1 ≥ 0.96, 그을림 F1 0.86~0.88이며 YOLO11과 YOLO26의 차이는 약 0.01에 그친다. 반면 분할 충실도 축에 해당하는 라벨 대비 Rwhole의 r²에서는 세대 간 차이가 분명히 갈려, 640에서 YOLO26이 모든 용량에서 YOLO11을 앞선다(n에서 0.793 대 0.760, m에서 0.845 대 0.740).</w:t>
      </w:r>
    </w:p>
    <w:p>
      <w:r>
        <w:t>이 차이는 모델이 더 새롭거나 더 클수록 일률적으로 개선된다는 단조 관계와는 다르다. 용량 증가는 YOLO26에서만 효과를 내어 n→s→m으로 r²가 0.793→0.829→0.845로 오르고 심각 오차 표본이 13→10→6으로 줄어드는 반면, YOLO11은 중간 용량(s)이 가장 나빠 0.760→0.736→0.740으로 이득이 없고 심각 오차도 13→20→17로 오히려 악화된다. 해상도 1280은 YOLO11의 줄기 F1을 0.966에서 0.91로 떨어뜨리는 데 비해 YOLO26은 0.97 이상을 유지한다.</w:t>
      </w:r>
    </w:p>
    <w:p>
      <w:r>
        <w:t>마스크 품질이 비슷한데도 비율 정확도가 갈리는 지점은 그을림과 어두운 수피의 경계와 같은 소수의 난영역이며(§3.4), 개선된 백본이 이 경계를 더 안정적으로 처리해 비율 오차와 심각 아웃라이어를 함께 줄인다. 즉 이 과제의 정확도를 좌우한 주된 요인은 백본 세대였으며, 용량 증가는 YOLO26 안에서만 추가 이득을 주었다. 양극단을 비교하면 최고 r²는 26m@640의 0.845인 반면, 가장 무겁고 학습 비용이 큰 11m@1280(22.4M, 학습 10.1 h)과 26m@1280(27.1M, 13.2 h)은 r²가 각각 0.717·0.822로 더 작은 640 구성보다 낮다. 그을림 픽셀 F1의 최고값도 가장 큰 모델이 아니라 26s@1280(0.883)에서 나온다.</w:t>
      </w:r>
    </w:p>
    <w:p>
      <w:r>
        <w:t>따라서 640·YOLO26 계열이 정확도와 비용을 함께 만족한다. 정확도를 우선하면 26m@640(r² 0.845, 27.1M, 학습 3.8 h), 균형을 택하면 26s@640(0.829, 11.5M, 2.0 h), 자원이 제약되면 26n@640(학습 1.4 h)이 적합하다.</w:t>
      </w:r>
    </w:p>
    <w:p>
      <w:r>
        <w:rPr>
          <w:b/>
          <w:sz w:val="19"/>
        </w:rPr>
        <w:t xml:space="preserve">Table 4. </w:t>
      </w:r>
      <w:r>
        <w:rPr>
          <w:sz w:val="19"/>
        </w:rPr>
        <w:t>12개 구성 비교(그을림/줄기 F1, 비율 r²(Rwhole·Rbelow), 심각 오차 표본 수, 학습 시간).</w:t>
      </w:r>
    </w:p>
    <w:p>
      <w:r>
        <w:rPr>
          <w:b/>
          <w:sz w:val="19"/>
        </w:rPr>
        <w:t xml:space="preserve">Figure 5. </w:t>
      </w:r>
      <w:r>
        <w:rPr>
          <w:sz w:val="19"/>
        </w:rPr>
        <w:t>정확도–비용 절충: 파라미터 수 대 라벨 기준 r²(Rwhole) — 용량·해상도를 키워도 정확도가 단조 증가하지 않음.</w:t>
      </w:r>
    </w:p>
    <w:p>
      <w:pPr>
        <w:pStyle w:val="Heading2"/>
      </w:pPr>
      <w:r>
        <w:rPr>
          <w:b w:val="0"/>
        </w:rPr>
        <w:t>3.3. Agreement among model, label, and field measurements</w:t>
      </w:r>
    </w:p>
    <w:p>
      <w:r>
        <w:t>야장 정의에 대응하는 Rbelow에서, 최고 구성인 26m@640의 모델–야장 일치도는 CCC 0.729(r² 0.632, MAE 0.148, 편향 +0.105)였고 모델–라벨 일치도는 CCC 0.787(r² 0.621)이었다. 라벨–야장 일치도는 CCC 0.811(r² 0.753, MAE 0.112)로, 이는 현재 자료에서 야장과 비교 가능한 실질적 상한에 해당한다. 모든 일치도는 n=275에서 산출하였으며 CCC의 부트스트랩 95% 신뢰구간은 Table 5에 제시한다.</w:t>
      </w:r>
    </w:p>
    <w:p>
      <w:r>
        <w:t>구성 간 차이는 통계적으로 단정하기 어렵다. 11n의 모델–야장 CCC는 0.656[0.584, 0.717]이고 최고 구성은 0.729[0.668, 0.782]로 두 신뢰구간이 겹친다. 한편 최고 구성의 신뢰구간은 라벨–야장 상한 0.811[0.750, 0.858]과도 겹쳐, 최고 모델은 통계적으로 이 상한과 구별되지 않는다. 이는 남은 오차가 모델 개선만으로 설명되기 어려움을 의미한다.</w:t>
      </w:r>
    </w:p>
    <w:p>
      <w:r>
        <w:t>편향 구조는 측정 주체 간 체계적 차이를 드러낸다. 모델은 야장보다 +0.105, 라벨은 +0.092 높고, 모델–라벨 차이는 +0.014이다(Table 5). 모델은 라벨로 학습되므로 모델–라벨 일치는 설계상 예상되며, 야장에 대한 독립 증거는 라벨–야장 차이(+0.092)에서 나온다. 이는 같은 면에서 픽셀 추적이 육안 추정보다 체계적으로 높은 값을 산출함을 보여준다. 이는 면적 기반 측정과 육안 추정 사이의 차이를 시사하며, 면적 비율 육안 추정의 관측자 변이와 객관 측정과의 체계적 어긋남은 식생 피복 연구에서도 보고된 바 있다(Sykes et al., 1983; Vittoz and Guisan, 2007; Morrison, 2016).</w:t>
      </w:r>
    </w:p>
    <w:p>
      <w:r>
        <w:t>현재 상한은 사람이 작성한 픽셀 라벨에 의해 정의되며, 다관측자 기준값이 더해지면 재추정된다. 분할 충실도 축인 Rwhole에서는 모델–라벨 CCC가 0.915(r² 0.845)로 모델이 사람 라벨을 거의 그대로 재현해 마스크 능력이 충분함을 보여준다. 야장 비교에는 분모가 야장 측정 방식과 일치하는 Rbelow가 적절하다.</w:t>
      </w:r>
    </w:p>
    <w:p>
      <w:r>
        <w:rPr>
          <w:b/>
          <w:sz w:val="19"/>
        </w:rPr>
        <w:t xml:space="preserve">Table 5. </w:t>
      </w:r>
      <w:r>
        <w:rPr>
          <w:sz w:val="19"/>
        </w:rPr>
        <w:t>분모 2종 × 세 주체 일치도(CCC·r²·MAE·편향·일치한계·95% CI).</w:t>
      </w:r>
    </w:p>
    <w:p>
      <w:r>
        <w:rPr>
          <w:b/>
          <w:sz w:val="19"/>
        </w:rPr>
        <w:t xml:space="preserve">Figure 6. </w:t>
      </w:r>
      <w:r>
        <w:rPr>
          <w:sz w:val="19"/>
        </w:rPr>
        <w:t>세 주체 그을림 비율 산점도: 모델–야장 일치도가 라벨–야장 상한에 근접.</w:t>
      </w:r>
    </w:p>
    <w:p>
      <w:pPr>
        <w:pStyle w:val="Heading2"/>
      </w:pPr>
      <w:r>
        <w:rPr>
          <w:b w:val="0"/>
        </w:rPr>
        <w:t>3.4. Structure of the residual ratio error</w:t>
      </w:r>
    </w:p>
    <w:p>
      <w:r>
        <w:t>첫째, 분모 정의의 영향이 가장 컸다. 모델–라벨 r²가 Rbelow에서 0.62, Rwhole에서 0.85로 갈리며, 단일 극단 높이값이 Rbelow 분모를 좌우한다. 따라서 분모 정의는 비율 신뢰성을 결정하는 일차 변수이다. 둘째, 잔여 오차는 원거리·어두운 수피와 같은 소수 표본에 집중된다. 그을림 거짓양성의 약 81%가 배경이 아닌 수피에서 발생하며, 픽셀 혼동행렬(Figure 7d)에서 미연소 줄기 픽셀의 약 8.0%가 그을림으로, 그을림 픽셀의 약 8.9%가 줄기로 오분류되었다. 오차는 거의 전적으로 그을림↔수피 경계에 집중되고 배경 혼동은 1% 미만이다.</w:t>
      </w:r>
    </w:p>
    <w:p>
      <w:r>
        <w:t>심각 오차 수는 26m@640에서 6개로 11n@640의 13개보다 적으나, 같은 용량에서 아키텍처만 교체한 11n→26n은 13→13으로 변화가 없고 감소는 용량을 키운 26m에서 나타난다. 이는 아키텍처 단독이 아니라 백본과 용량의 공동 효과임을 보여준다. 셋째, 방위 변동은 본질적으로 크다. 네 방위를 모두 촬영한 14그루에서 방위 간 비율 표준편차가 야장·라벨·모델 모두 약 0.20으로, 사람 라벨도 모델만큼 흔들린다. 따라서 개체 단위로 4방위를 종합할 필요가 있으며, 이는 네 방위를 합산하는 BSI 정의와 일치한다(Kwon et al., 2021).</w:t>
      </w:r>
    </w:p>
    <w:p>
      <w:r>
        <w:t>넷째, 강건성 측면에서 추론·학습 시점의 crop과 정적 색 전처리(CLAHE·gamma)는 모두 기준 대비 낮은 성능을 보여, 색·조명 변이는 학습 단계의 증강으로 다루는 편이 효과적이다. 거리 편향은 2–6 m에서 안정적이고 8 m에서 증가하나 8 m 표본이 사실상 단일 개체로 희소하므로, 권장 촬영 거리는 2–6 m이다.</w:t>
      </w:r>
    </w:p>
    <w:p>
      <w:r>
        <w:rPr>
          <w:b/>
          <w:sz w:val="19"/>
        </w:rPr>
        <w:t xml:space="preserve">Table 6. </w:t>
      </w:r>
      <w:r>
        <w:rPr>
          <w:sz w:val="19"/>
        </w:rPr>
        <w:t>분모 정의별 결과와 그을림–수피 혼동 회계(거짓양성·거짓음성의 수피 귀속 비율, 클래스별 IoU).</w:t>
      </w:r>
    </w:p>
    <w:p>
      <w:r>
        <w:rPr>
          <w:b/>
          <w:sz w:val="19"/>
        </w:rPr>
        <w:t xml:space="preserve">Figure 7. </w:t>
      </w:r>
      <w:r>
        <w:rPr>
          <w:sz w:val="19"/>
        </w:rPr>
        <w:t>잔여 오차 구조: (a) 동일 개체 방위 간 비율 변동, (b) 촬영 거리별 비율 편향, (c) 영향관측치 진단, (d) 픽셀 혼동 행렬(배경·미연소 줄기·그을림).</w:t>
      </w:r>
    </w:p>
    <w:p>
      <w:pPr>
        <w:pStyle w:val="Heading2"/>
      </w:pPr>
      <w:r>
        <w:rPr>
          <w:b w:val="0"/>
        </w:rPr>
        <w:t>3.5. On-device field feasibility</w:t>
      </w:r>
    </w:p>
    <w:p>
      <w:r>
        <w:t>데스크톱 실측에서 native PyTorch 기준 장당 추론 시간은 RTX 3060 GPU에서 11n@640 20 ms, 26s@640 27 ms, 26m@640 54 ms, 26s@1280 63 ms로 모두 실시간이며, 학습에 쓴 RTX 4060 Laptop과 약 10% 이내로 일치한다. 동일 구성을 CPU(i9-10900X)에서 구동하면 각각 71·128·273·466 ms로 3.5–7.5배 느려진다. 따라서 ‘현장 실시간’ 여부는 대상 기기의 연산 환경에 따라 결정된다.</w:t>
      </w:r>
    </w:p>
    <w:p>
      <w:r>
        <w:t>스마트폰 실측은 12개 구성 전부를 ONNX Runtime(CPU)으로 측정하였으며, ONNX 변환은 스마트폰 배포 경로에서만 수행하고 모델 크기는 11.6–94.4 MB이다. Galaxy S24가 Pixel 4 XL보다 약 1.3–2.2배 빠르며(예: 11n@640 118 ms 대 260 ms, 26m@640 1,589 ms 대 2,026 ms), 처리 시간은 용량과 해상도가 지배한다. n·s@640은 S24 약 0.12–0.42초·Pixel 약 0.26–0.71초, m@640은 S24 1.2–1.6초 수준이다. 현장은 한 장씩 측정하므로 1초 안팎이면 실용적이어서, n·s@640은 두 기기 모두에서 충분하고 m@640은 수용 가능하며 1280은 권장하지 않는다.</w:t>
      </w:r>
    </w:p>
    <w:p>
      <w:r>
        <w:t>그을림 비율은 같은 모델·영상에 대해 기기와 무관하게 동일하며, 야장 대비 MAE(Rbelow)는 0.12–0.14로 Rwhole MAE(약 0.20–0.22)보다 작다. 이는 야장 비교에 식 1(Rbelow)이 더 적절함을 뒷받침한다. 모델의 그을림 비율이 야장을 평균 0.06–0.10 상회하는 편향은 앞서 라벨–야장에서도 같은 크기로 나타난 육안 야장의 보수적 과소평정과 일치한다. 모델을 바꿔도 야장 대비 오차가 0.12–0.14 안에서 거의 변하지 않으므로, 야장 대비 정확도는 모델 선택보다 기준값인 육안 야장의 측정 방식에 더 좌우된다.</w:t>
      </w:r>
    </w:p>
    <w:p>
      <w:r>
        <w:rPr>
          <w:b/>
          <w:sz w:val="19"/>
        </w:rPr>
        <w:t xml:space="preserve">Table 7. </w:t>
      </w:r>
      <w:r>
        <w:rPr>
          <w:sz w:val="19"/>
        </w:rPr>
        <w:t>기기·연산환경별 장당 추론 시간·모델 크기 — 데스크톱 RTX 3060·i9-10900X CPU, 스마트폰 Galaxy S24·Pixel 4 XL; ONNX 변환 크기 포함.</w:t>
      </w:r>
    </w:p>
    <w:p>
      <w:r>
        <w:rPr>
          <w:b/>
          <w:sz w:val="19"/>
        </w:rPr>
        <w:t xml:space="preserve">Figure 8. </w:t>
      </w:r>
      <w:r>
        <w:rPr>
          <w:sz w:val="19"/>
        </w:rPr>
        <w:t>기기·실행환경별 장당 추론 시간(데스크톱 GPU·CPU, 스마트폰 두 기종)과 모델 용량·해상도의 영향.</w:t>
      </w:r>
    </w:p>
    <w:p>
      <w:pPr>
        <w:pStyle w:val="Heading2"/>
      </w:pPr>
      <w:r>
        <w:rPr>
          <w:b w:val="0"/>
        </w:rPr>
        <w:t>3.6. Limitations</w:t>
      </w:r>
    </w:p>
    <w:p>
      <w:r>
        <w:t>자동 측정의 신뢰성은 사람 기준값에 묶여 있다. 일치도가 픽셀 라벨과 야장을 기준으로 산출되므로 모델은 라벨 정확도를 넘을 수 없고, 최종 기준인 야장도 5% 단위 육안 추정이라 체계적 과소평정을 포함한다. 따라서 모델–야장 격차의 상당 부분은 모델이 아니라 기준값의 한계에서 비롯된다. 이를 보완하려면 다관측자 반복 측정으로 관측자 변이를 분리하고(Vittoz and Guisan, 2007; Morrison, 2016), 일부 개체에서 수피를 벗겨 형성층을 직접 확인하는 검증(Hood et al., 2008)을 결합할 수 있다.</w:t>
      </w:r>
    </w:p>
    <w:p>
      <w:r>
        <w:t>높이 한정 지표인 Rbelow는 ‘그을림 최대 높이’라는 단일 추정값에 본질적으로 민감하다. 같은 마스크에서도 Rwhole의 모델–라벨 r²가 0.85인 데 비해 Rbelow는 0.62로, 상단 몇 픽셀이 분모를 좌우하며 이는 분할 품질의 문제가 아니다. 이는 BSI를 포함한 높이 한정 지수가 공통으로 갖는 적용상 한계이며, 표면 전체 비율(Rwhole 계열)은 안정적이지만 BSI가 활용하는 높이 정보를 버리는 절충이다.</w:t>
      </w:r>
    </w:p>
    <w:p>
      <w:r>
        <w:t>표본은 두 권역·세 지역·약 276개체로, 사실상 단일 수종인 소나무에 한정된다. 따라서 다지역·다수종 검증이 필요하며, 이는 위성·UAV 매핑이 여러 지역·수종으로 검증을 축적해 온 것과 같은 방향이다(Safonova et al., 2019; Hamdi et al., 2019). 다른 비율 지표나 실제 고사로의 일반화는 지표 정의 간 대응에서 추론한 것이며 직접 검증하지 않았다. 또한 현재 파이프라인은 그을림 면적 비율만 자동화하고 BSH는 산출하지 않으므로, 스마트폰 LiDAR와 길이 기준으로 줄기 치수를 영상에서 직접 측정하는 접근(Tatsumi et al., 2023)을 결합하면 완전한 BSI 산출과 그에 기반한 고사 모델 검증으로 확장할 수 있다.</w:t>
      </w:r>
    </w:p>
    <w:p>
      <w:pPr>
        <w:pStyle w:val="Heading1"/>
      </w:pPr>
      <w:r>
        <w:rPr>
          <w:b w:val="0"/>
        </w:rPr>
        <w:t>4. Conclusion</w:t>
      </w:r>
    </w:p>
    <w:p>
      <w:r>
        <w:t>비율 기반 산불 고사 지표는 공통적으로 줄기 그을림 면적 비율을 핵심 입력으로 삼으며, 본 연구는 이 입력을 스마트폰 단일 영상과 인스턴스 분할로 직접 산출해 객관적 측정량으로 정의하고, 그 측정 신뢰성을 모델·픽셀 라벨·현장 야장 세 주체의 일치도로 규명했다. 그을림 면적 비율은 Kwon et al. (2021)의 그을림 지수(bark scorch index, BSI)를 구성하는 BSP뿐 아니라 수관 부피 그을림 비율, 줄기 둘레 대비 숯 비율 등 다수 고사 모형의 공통 입력이며 (Hood et al., 2008; Woolley et al., 2012; Cansler et al., 2020), 종래 네 방위 육안 추정에 의존해 관측자 변이를 안고 있었다 (Sykes et al., 1983; Vittoz and Guisan, 2007; Morrison, 2016). 픽셀 단위 분할은 여러 구성에서 안정적이어서 그을림 마스크 F1 0.86~0.88, 줄기 마스크 F1 0.96 이상을 일관되게 달성했고, 라벨 기준 비율 일치도를 끌어올린 주된 요인은 백본 세대였으며 용량은 YOLO26 안에서만 추가로 기여했다.</w:t>
      </w:r>
    </w:p>
    <w:p>
      <w:r>
        <w:t>세 주체 일치도 분석은 자동 측정량의 실질적 도달점을 정량화한다. 야장 정의인 Rbelow에서 최고 구성(26m@640)의 모델–야장 일치상관계수(CCC)는 0.729로, 그 95% 신뢰구간이 라벨–야장 상한 0.811의 신뢰구간과 겹쳐 통계적으로 현재 자료의 상한과 구별되지 않았다. 분할 충실도 축인 Rwhole에서는 모델–라벨 결정계수가 $r^2 = 0.845$에 이르러 모델이 사람 라벨을 충실히 재현했으며, 남은 비율 잔여 오차의 상당 부분은 모델 자체보다 기준값의 측정 방식과 분모 정의에서 비롯한다. 픽셀 추적이 육안 야장을 체계적으로 +0.092 상회하는 편향은 면적 기반 측정과 육안 추정 사이의 구조적 차이를 가리키며, 이는 식생 피복 추정 문헌의 관측자 변이 보고와 일관된다 (Sykes et al., 1983; Vittoz and Guisan, 2007; Morrison, 2016).</w:t>
      </w:r>
    </w:p>
    <w:p>
      <w:r>
        <w:t>정확도–비용 절충은 적용 조건과 기기에 따라 달라지지만, 현장 배포까지 함께 고려하면 YOLO26s@640이 현장용으로 가장 합리적인 선택이다. 이 구성은 보급형·구형 하한인 Pixel 4 XL과 Galaxy S24 두 기기 모두에서 한 장당 1초 이내로 동작하면서 라벨 기준 비율 정확도($r^2 = 0.829$)도 높게 유지한다. 보고값은 현장 야장 및 BSI 정의와 분모가 정합하는 Rbelow로 산출하고, 분할 품질 점검 지표로 높이 의존이 제거된 Rwhole을 병기하는 운용을 권장한다. 두 정의를 함께 보고하면 비율값의 현장 정합성과 마스크 재현 충실도를 분리해 진단할 수 있다.</w:t>
      </w:r>
    </w:p>
    <w:p>
      <w:r>
        <w:t>이 측정 도구는 그을림 최대 높이(BSH)를 스마트폰 LiDAR나 길이 기준으로 영상에서 직접 측정하는 접근 (Tatsumi et al., 2023)과 결합해 완전한 BSI 산출로 확장되며, 이를 Kwon et al. (2021)의 고사 예측 모형과 연계하면 객관화된 입력으로 고사 예측의 재현성을 검증할 수 있다. 또한 본 검증은 두 권역·세 지역·약 276개체·단일 우점 수종(소나무)에 기반하므로, 위성·UAV 매핑이 여러 지역·수종으로 적용 범위를 넓혀 온 것처럼 (Safonova et al., 2019; Hamdi et al., 2019) 다지역·다수종 자료로 측정 신뢰성을 추가 검증하는 방향으로 확장한다.</w:t>
      </w:r>
    </w:p>
    <w:p>
      <w:pPr>
        <w:pStyle w:val="Heading1"/>
      </w:pPr>
      <w:r>
        <w:rPr>
          <w:b w:val="0"/>
        </w:rPr>
        <w:t>Data and code availability</w:t>
      </w:r>
    </w:p>
    <w:p>
      <w:r>
        <w:t>분석 및 그림 생성 코드와 학습 하이퍼파라미터는 재현 가능한 형태로 제공한다. 학습 가중치와 스크립트는 합리적 요청 시 제공하며, 원본 현장 영상은 익명화 절차를 거쳐 제공한다. 공개 저장소 주소와 라이선스는 게재 시점에 기입한다.</w:t>
      </w:r>
    </w:p>
    <w:p>
      <w:pPr>
        <w:pStyle w:val="Heading1"/>
      </w:pPr>
      <w:r>
        <w:rPr>
          <w:b w:val="0"/>
        </w:rPr>
        <w:t>References</w:t>
      </w:r>
    </w:p>
    <w:p>
      <w:pPr>
        <w:ind w:left="360" w:hanging="360"/>
      </w:pPr>
      <w:r>
        <w:rPr>
          <w:sz w:val="19"/>
        </w:rPr>
        <w:t>Baek, S., Lim, J., and Kim, W. (2022). Analysis on the Fire Progression and Severity Variation of the Massive Forest Fire Occurred in Uljin, Korea, 2022. Forests, 13(12), 2185. https://doi.org/10.3390/f13122185</w:t>
      </w:r>
    </w:p>
    <w:p>
      <w:pPr>
        <w:ind w:left="360" w:hanging="360"/>
      </w:pPr>
      <w:r>
        <w:rPr>
          <w:sz w:val="19"/>
        </w:rPr>
        <w:t>Bland, J. M., and Altman, D. G. (1986). Statistical methods for assessing agreement between two methods of clinical measurement. The Lancet, 327(8476), 307–310. https://doi.org/10.1016/S0140-6736(86)90837-8</w:t>
      </w:r>
    </w:p>
    <w:p>
      <w:pPr>
        <w:ind w:left="360" w:hanging="360"/>
      </w:pPr>
      <w:r>
        <w:rPr>
          <w:sz w:val="19"/>
        </w:rPr>
        <w:t>Bär, A., Michaletz, S. T., and Mayr, S. (2019). Fire effects on tree physiology. New Phytologist, 223(4), 1728–1741. https://doi.org/10.1111/nph.15871</w:t>
      </w:r>
    </w:p>
    <w:p>
      <w:pPr>
        <w:ind w:left="360" w:hanging="360"/>
      </w:pPr>
      <w:r>
        <w:rPr>
          <w:sz w:val="19"/>
        </w:rPr>
        <w:t>Cansler, C. A., Hood, S. M., Varner, J. M., van Mantgem, P. J., et al. (2020). The Fire and Tree Mortality Database, for empirical modeling of individual tree mortality after fire. Scientific Data, 7, 194. https://doi.org/10.1038/s41597-020-0522-7</w:t>
      </w:r>
    </w:p>
    <w:p>
      <w:pPr>
        <w:ind w:left="360" w:hanging="360"/>
      </w:pPr>
      <w:r>
        <w:rPr>
          <w:sz w:val="19"/>
        </w:rPr>
        <w:t>Chang, D. Y., Jeong, S., Park, C.-E., Park, H., Shin, J., Bae, Y., Park, H., and Park, C. R. (2024). Unprecedented wildfires in Korea: Historical evidence of increasing wildfire activity due to climate change. Agricultural and Forest Meteorology, 348, 109920. https://doi.org/10.1016/j.agrformet.2024.109920</w:t>
      </w:r>
    </w:p>
    <w:p>
      <w:pPr>
        <w:ind w:left="360" w:hanging="360"/>
      </w:pPr>
      <w:r>
        <w:rPr>
          <w:sz w:val="19"/>
        </w:rPr>
        <w:t>Hamdi, Z. M., Brandmeier, M., and Straub, C. (2019). Forest Damage Assessment Using Deep Learning on High Resolution Remote Sensing Data. Remote Sensing, 11(17), 1976. https://doi.org/10.3390/rs11171976</w:t>
      </w:r>
    </w:p>
    <w:p>
      <w:pPr>
        <w:ind w:left="360" w:hanging="360"/>
      </w:pPr>
      <w:r>
        <w:rPr>
          <w:sz w:val="19"/>
        </w:rPr>
        <w:t>He, K., Gkioxari, G., Dollár, P., and Girshick, R. (2017). Mask R-CNN. Proceedings of the IEEE International Conference on Computer Vision (ICCV), 2980–2988. https://doi.org/10.1109/ICCV.2017.322</w:t>
      </w:r>
    </w:p>
    <w:p>
      <w:pPr>
        <w:ind w:left="360" w:hanging="360"/>
      </w:pPr>
      <w:r>
        <w:rPr>
          <w:sz w:val="19"/>
        </w:rPr>
        <w:t>Hood, S. M., Cluck, D. R., Smith, S. L., and Ryan, K. C. (2008). Using Bark Char Codes to Predict Post-fire Cambium Mortality. Fire Ecology, 4(1), 57–73. https://doi.org/10.4996/fireecology.0401057</w:t>
      </w:r>
    </w:p>
    <w:p>
      <w:pPr>
        <w:ind w:left="360" w:hanging="360"/>
      </w:pPr>
      <w:r>
        <w:rPr>
          <w:sz w:val="19"/>
        </w:rPr>
        <w:t>Kapoor, S., and Narayanan, A. (2023). Leakage and the reproducibility crisis in machine-learning-based science. Patterns, 4(9), 100804. https://doi.org/10.1016/j.patter.2023.100804</w:t>
      </w:r>
    </w:p>
    <w:p>
      <w:pPr>
        <w:ind w:left="360" w:hanging="360"/>
      </w:pPr>
      <w:r>
        <w:rPr>
          <w:sz w:val="19"/>
        </w:rPr>
        <w:t>Kirillov, A., Mintun, E., Ravi, N., Mao, H., Rolland, C., Gustafson, L., Xiao, T., Whitehead, S., Berg, A. C., Lo, W.-Y., Dollár, P., and Girshick, R. (2023). Segment Anything. Proceedings of the IEEE/CVF International Conference on Computer Vision (ICCV). https://arxiv.org/abs/2304.02643</w:t>
      </w:r>
    </w:p>
    <w:p>
      <w:pPr>
        <w:ind w:left="360" w:hanging="360"/>
      </w:pPr>
      <w:r>
        <w:rPr>
          <w:sz w:val="19"/>
        </w:rPr>
        <w:t>Kwon, S., Kim, S., Kim, J., Kang, W., Park, K.-H., Kim, C.-B., and Girona, M. M. (2021). Predicting post-fire tree mortality in a temperate pine forest, Korea. Sustainability, 13(2), 569. https://doi.org/10.3390/su13020569</w:t>
      </w:r>
    </w:p>
    <w:p>
      <w:pPr>
        <w:ind w:left="360" w:hanging="360"/>
      </w:pPr>
      <w:r>
        <w:rPr>
          <w:sz w:val="19"/>
        </w:rPr>
        <w:t>Lin, L. I-K. (1989). A concordance correlation coefficient to evaluate reproducibility. Biometrics, 45(1), 255–268. https://doi.org/10.2307/2532051</w:t>
      </w:r>
    </w:p>
    <w:p>
      <w:pPr>
        <w:ind w:left="360" w:hanging="360"/>
      </w:pPr>
      <w:r>
        <w:rPr>
          <w:sz w:val="19"/>
        </w:rPr>
        <w:t>Lopez-Montiel, M., Lopez, D. A., and Montiel, O. (2023). JetSeg: Efficient Real-Time Semantic Segmentation Model for Low-Power GPU-Embedded Systems. arXiv:2305.11419. https://doi.org/10.48550/arXiv.2305.11419</w:t>
      </w:r>
    </w:p>
    <w:p>
      <w:pPr>
        <w:ind w:left="360" w:hanging="360"/>
      </w:pPr>
      <w:r>
        <w:rPr>
          <w:sz w:val="19"/>
        </w:rPr>
        <w:t>Mazhar, S., Atif, N., Bhuyan, M. K., and Ahamed, S. R. (2023). Block attention network: A lightweight deep network for real-time semantic segmentation of road scenes in resource-constrained devices. Engineering Applications of Artificial Intelligence, 126, 107086. https://doi.org/10.1016/j.engappai.2023.107086</w:t>
      </w:r>
    </w:p>
    <w:p>
      <w:pPr>
        <w:ind w:left="360" w:hanging="360"/>
      </w:pPr>
      <w:r>
        <w:rPr>
          <w:sz w:val="19"/>
        </w:rPr>
        <w:t>Michaletz, S. T., and Johnson, E. A. (2007). How forest fires kill trees: A review of the fundamental biophysical processes. Scandinavian Journal of Forest Research, 22(6), 500–515. https://doi.org/10.1080/02827580701803544</w:t>
      </w:r>
    </w:p>
    <w:p>
      <w:pPr>
        <w:ind w:left="360" w:hanging="360"/>
      </w:pPr>
      <w:r>
        <w:rPr>
          <w:sz w:val="19"/>
        </w:rPr>
        <w:t>Morrison, L. W. (2016). Observer error in vegetation surveys: a review. Journal of Plant Ecology, 9(4), 367–379. https://doi.org/10.1093/jpe/rtv077</w:t>
      </w:r>
    </w:p>
    <w:p>
      <w:pPr>
        <w:ind w:left="360" w:hanging="360"/>
      </w:pPr>
      <w:r>
        <w:rPr>
          <w:sz w:val="19"/>
        </w:rPr>
        <w:t>Ronneberger, O., Fischer, P., and Brox, T. (2015). U-Net: Convolutional Networks for Biomedical Image Segmentation. MICCAI, LNCS 9351, 234–241. https://doi.org/10.1007/978-3-319-24574-4_28</w:t>
      </w:r>
    </w:p>
    <w:p>
      <w:pPr>
        <w:ind w:left="360" w:hanging="360"/>
      </w:pPr>
      <w:r>
        <w:rPr>
          <w:sz w:val="19"/>
        </w:rPr>
        <w:t>Ryan, K. C., and Reinhardt, E. D. (1988). Predicting postfire mortality of seven western conifers. Canadian Journal of Forest Research, 18(10), 1291–1297. https://doi.org/10.1139/x88-199</w:t>
      </w:r>
    </w:p>
    <w:p>
      <w:pPr>
        <w:ind w:left="360" w:hanging="360"/>
      </w:pPr>
      <w:r>
        <w:rPr>
          <w:sz w:val="19"/>
        </w:rPr>
        <w:t>Safonova, A., Tabik, S., Alcaraz-Segura, D., Rubtsov, A., Maglinets, Y., and Herrera, F. (2019). Detection of Fir Trees (Abies sibirica) Damaged by the Bark Beetle in Unmanned Aerial Vehicle Images with Deep Learning. Remote Sensing, 11(6), 643. https://doi.org/10.3390/rs11060643</w:t>
      </w:r>
    </w:p>
    <w:p>
      <w:pPr>
        <w:ind w:left="360" w:hanging="360"/>
      </w:pPr>
      <w:r>
        <w:rPr>
          <w:sz w:val="19"/>
        </w:rPr>
        <w:t>Sapkota, R., and Karkee, M. (2024). Comparing YOLOv11 and YOLOv8 for instance segmentation of occluded and non-occluded immature green fruits in complex orchard environment. arXiv:2410.19869. https://doi.org/10.48550/arXiv.2410.19869</w:t>
      </w:r>
    </w:p>
    <w:p>
      <w:pPr>
        <w:ind w:left="360" w:hanging="360"/>
      </w:pPr>
      <w:r>
        <w:rPr>
          <w:sz w:val="19"/>
        </w:rPr>
        <w:t>Sykes, J. M., Horrill, A. D., and Mountford, M. O. (1983). Use of visual cover assessments as quantitative estimators of some British woodland taxa. Journal of Ecology, 71(2), 437–450. https://doi.org/10.2307/2259726</w:t>
      </w:r>
    </w:p>
    <w:p>
      <w:pPr>
        <w:ind w:left="360" w:hanging="360"/>
      </w:pPr>
      <w:r>
        <w:rPr>
          <w:sz w:val="19"/>
        </w:rPr>
        <w:t>Tatsumi, S., Yamaguchi, K., and Furuya, N. (2023). ForestScanner: A mobile application for measuring and mapping trees with LiDAR-equipped iPhone and iPad. Methods in Ecology and Evolution, 14(7), 1603–1609. https://doi.org/10.1111/2041-210X.13900</w:t>
      </w:r>
    </w:p>
    <w:p>
      <w:pPr>
        <w:ind w:left="360" w:hanging="360"/>
      </w:pPr>
      <w:r>
        <w:rPr>
          <w:sz w:val="19"/>
        </w:rPr>
        <w:t>Ultralytics. (2026). Ultralytics YOLO26: Unified Real-Time End-to-End Vision Models. arXiv:2606.03748. https://doi.org/10.48550/arXiv.2606.03748</w:t>
      </w:r>
    </w:p>
    <w:p>
      <w:pPr>
        <w:ind w:left="360" w:hanging="360"/>
      </w:pPr>
      <w:r>
        <w:rPr>
          <w:sz w:val="19"/>
        </w:rPr>
        <w:t>Varner, J. M., Hood, S. M., Aubrey, D. P., Yedinak, K., Hiers, J. K., Jolly, W. M., Shearman, T. M., McDaniel, J. K., O'Brien, J. J., and Rowell, E. M. (2021). Tree crown injury from wildland fires: causes, measurement and ecological and physiological consequences. New Phytologist, 231(5), 1676–1685. https://doi.org/10.1111/nph.17539</w:t>
      </w:r>
    </w:p>
    <w:p>
      <w:pPr>
        <w:ind w:left="360" w:hanging="360"/>
      </w:pPr>
      <w:r>
        <w:rPr>
          <w:sz w:val="19"/>
        </w:rPr>
        <w:t>Vittoz, P., and Guisan, A. (2007). How reliable is the monitoring of permanent vegetation plots? A test with multiple observers. Journal of Vegetation Science, 18(3), 413–422. https://doi.org/10.1111/j.1654-1103.2007.tb02553.x</w:t>
      </w:r>
    </w:p>
    <w:p>
      <w:pPr>
        <w:ind w:left="360" w:hanging="360"/>
      </w:pPr>
      <w:r>
        <w:rPr>
          <w:sz w:val="19"/>
        </w:rPr>
        <w:t>Woolley, T., Shaw, D. C., Ganio, L. M., and Fitzgerald, S. (2012). A review of logistic regression models used to predict post-fire tree mortality of western North American conifers. International Journal of Wildland Fire, 21(1), 1–35. https://doi.org/10.1071/WF09039</w:t>
      </w:r>
    </w:p>
    <w:p>
      <w:pPr>
        <w:ind w:left="360" w:hanging="360"/>
      </w:pPr>
      <w:r>
        <w:rPr>
          <w:sz w:val="19"/>
        </w:rPr>
        <w:t>World Weather Attribution. (2025). Climate change made weather conditions leading to deadly South Korean wildfires about twice as likely. Imperial College London (published 30 April 2025). https://doi.org/10.25560/122300</w:t>
      </w:r>
    </w:p>
    <w:p>
      <w:pPr>
        <w:ind w:left="360" w:hanging="360"/>
      </w:pPr>
      <w:r>
        <w:rPr>
          <w:sz w:val="19"/>
        </w:rPr>
        <w:t>Xie, E., Wang, W., Yu, Z., Anandkumar, A., Alvarez, J. M., and Luo, P. (2021). SegFormer: Simple and Efficient Design for Semantic Segmentation with Transformers. Advances in Neural Information Processing Systems (NeurIPS), 34, 12077–12090. https://arxiv.org/abs/2105.15203</w:t>
      </w:r>
    </w:p>
    <w:sectPr>
      <w:pgSz w:w="12240" w:h="15840"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lvl w:ilvl="1" w15:tentative="1">
      <w:start w:val="1"/>
      <w:numFmt w:val="bullet"/>
      <w:lvlText w:val=""/>
      <w:lvlJc w:val="left"/>
      <w:pPr>
        <w:ind w:left="1440" w:hanging="360"/>
      </w:pPr>
      <w:rPr>
        <w:rFonts w:ascii="Wingdings" w:cs="Wingdings" w:eastAsia="Wingdings" w:hAnsi="Wingdings"/>
      </w:rPr>
    </w:lvl>
    <w:lvl w:ilvl="2" w15:tentative="1">
      <w:start w:val="1"/>
      <w:numFmt w:val="bullet"/>
      <w:lvlText w:val="▪"/>
      <w:lvlJc w:val="left"/>
      <w:pPr>
        <w:ind w:left="2160" w:hanging="360"/>
      </w:pPr>
      <w:rPr>
        <w:rFonts w:ascii="Symbol" w:cs="Symbol" w:eastAsia="Symbol" w:hAnsi="Symbo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line="276"/>
      <w:outlineLvl w:val="0"/>
    </w:pPr>
    <w:rPr>
      <w:rFonts w:ascii="Pretendard" w:cs="Pretendard" w:eastAsia="Pretendard" w:hAnsi="Pretendard"/>
      <w:b/>
      <w:bCs/>
      <w:sz w:val="28"/>
      <w:szCs w:val="28"/>
    </w:rPr>
  </w:style>
  <w:style w:type="paragraph" w:styleId="Heading2">
    <w:name w:val="Heading 2"/>
    <w:basedOn w:val="Normal"/>
    <w:next w:val="Normal"/>
    <w:qFormat/>
    <w:pPr>
      <w:spacing w:after="80" w:before="200" w:line="276"/>
      <w:outlineLvl w:val="1"/>
    </w:pPr>
    <w:rPr>
      <w:rFonts w:ascii="Pretendard" w:cs="Pretendard" w:eastAsia="Pretendard" w:hAnsi="Pretendard"/>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2026-06-18T22:16:28.691Z</dcterms:created>
  <dcterms:modified xsi:type="dcterms:W3CDTF">2026-06-18T22:16:28.692Z</dcterms:modified>
</cp:coreProperties>
</file>

<file path=docProps/custom.xml><?xml version="1.0" encoding="utf-8"?>
<Properties xmlns="http://schemas.openxmlformats.org/officeDocument/2006/custom-properties" xmlns:vt="http://schemas.openxmlformats.org/officeDocument/2006/docPropsVTypes"/>
</file>