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Sources | 15/10/2026 | Huy Nguyễn Quốc</w:t>
        <w:br/>
      </w:r>
      <w:r>
        <w:rPr>
          <w:b/>
          <w:color w:val="0284C7"/>
          <w:sz w:val="36"/>
        </w:rPr>
        <w:t>Danh Mục Nguồn Tài Nguyên &amp; Trích Dẫn Học Thuật (Sources — MedSi)</w:t>
      </w:r>
    </w:p>
    <w:p>
      <w:r>
        <w:t>Tài liệu thống kê và trích dẫn đầy đủ toàn bộ nguồn tài nguyên học thuật, tiêu chuẩn công nghệ quốc tế, tài liệu đặc tả kỹ thuật, khảo sát thực tế và thư viện mã nguồn mở được phân hệ UI/UX tham chiếu trong quá trình phân tích, thiết kế và phát triển nền tảng y tế MedSi (Sprint 3).</w:t>
      </w:r>
    </w:p>
    <w:p>
      <w:pPr>
        <w:pStyle w:val="Heading1"/>
      </w:pPr>
      <w:r>
        <w:t>1. Bảng Tổng Hợp Danh Mục Nguồn Tham Khảo (Source Register)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284C7"/>
            <w:tcMar>
              <w:top w:w="100" w:type="dxa"/>
              <w:bottom w:w="100" w:type="dxa"/>
              <w:left w:w="140" w:type="dxa"/>
              <w:right w:w="140" w:type="dxa"/>
            </w:tcMar>
          </w:tcPr>
          <w:p>
            <w:pPr>
              <w:spacing w:before="40" w:after="40"/>
            </w:pPr>
            <w:r>
              <w:rPr>
                <w:rFonts w:ascii="Arial" w:hAnsi="Arial"/>
                <w:b/>
                <w:color w:val="FFFFFF"/>
                <w:sz w:val="17"/>
              </w:rPr>
              <w:t>Mã</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Tên tài liệu / Tiêu chuẩn / Tổ chức</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Tác giả / Cơ quan ban hành</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Đường dẫn tham chiếu (URL)</w:t>
            </w:r>
          </w:p>
        </w:tc>
        <w:tc>
          <w:tcPr>
            <w:tcW w:type="dxa" w:w="1872"/>
            <w:shd w:fill="0284C7"/>
            <w:tcMar>
              <w:top w:w="100" w:type="dxa"/>
              <w:bottom w:w="100" w:type="dxa"/>
              <w:left w:w="140" w:type="dxa"/>
              <w:right w:w="140" w:type="dxa"/>
            </w:tcMar>
          </w:tcPr>
          <w:p>
            <w:pPr>
              <w:spacing w:before="40" w:after="40"/>
            </w:pPr>
            <w:r>
              <w:rPr>
                <w:rFonts w:ascii="Arial" w:hAnsi="Arial"/>
                <w:b/>
                <w:color w:val="FFFFFF"/>
                <w:sz w:val="17"/>
              </w:rPr>
              <w:t>Mục đích áp dụng cho MedSi</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SRC-01</w:t>
            </w:r>
          </w:p>
        </w:tc>
        <w:tc>
          <w:tcPr>
            <w:tcW w:type="dxa" w:w="1872"/>
            <w:shd w:fill="F8FAFC"/>
            <w:tcMar>
              <w:top w:w="100" w:type="dxa"/>
              <w:bottom w:w="100" w:type="dxa"/>
              <w:left w:w="140" w:type="dxa"/>
              <w:right w:w="140" w:type="dxa"/>
            </w:tcMar>
          </w:tcPr>
          <w:p>
            <w:pPr>
              <w:spacing w:before="40" w:after="40"/>
            </w:pPr>
            <w:r>
              <w:rPr>
                <w:rFonts w:ascii="Arial" w:hAnsi="Arial"/>
                <w:b w:val="0"/>
                <w:sz w:val="16"/>
              </w:rPr>
              <w:t>W3C Geolocation API Specification</w:t>
            </w:r>
          </w:p>
        </w:tc>
        <w:tc>
          <w:tcPr>
            <w:tcW w:type="dxa" w:w="1872"/>
            <w:shd w:fill="F8FAFC"/>
            <w:tcMar>
              <w:top w:w="100" w:type="dxa"/>
              <w:bottom w:w="100" w:type="dxa"/>
              <w:left w:w="140" w:type="dxa"/>
              <w:right w:w="140" w:type="dxa"/>
            </w:tcMar>
          </w:tcPr>
          <w:p>
            <w:pPr>
              <w:spacing w:before="40" w:after="40"/>
            </w:pPr>
            <w:r>
              <w:rPr>
                <w:rFonts w:ascii="Arial" w:hAnsi="Arial"/>
                <w:b w:val="0"/>
                <w:sz w:val="16"/>
              </w:rPr>
              <w:t>World Wide Web Consortium (W3C)</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https://www.w3.org/TR/geolocation/</w:t>
            </w:r>
          </w:p>
        </w:tc>
        <w:tc>
          <w:tcPr>
            <w:tcW w:type="dxa" w:w="1872"/>
            <w:shd w:fill="F8FAFC"/>
            <w:tcMar>
              <w:top w:w="100" w:type="dxa"/>
              <w:bottom w:w="100" w:type="dxa"/>
              <w:left w:w="140" w:type="dxa"/>
              <w:right w:w="140" w:type="dxa"/>
            </w:tcMar>
          </w:tcPr>
          <w:p>
            <w:pPr>
              <w:spacing w:before="40" w:after="40"/>
            </w:pPr>
            <w:r>
              <w:rPr>
                <w:rFonts w:ascii="Arial" w:hAnsi="Arial"/>
                <w:b w:val="0"/>
                <w:sz w:val="16"/>
              </w:rPr>
              <w:t>Quy chuẩn giao tiếp phần cứng GPS và Geolocation API trình duyệt</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SRC-02</w:t>
            </w:r>
          </w:p>
        </w:tc>
        <w:tc>
          <w:tcPr>
            <w:tcW w:type="dxa" w:w="1872"/>
            <w:shd w:fill="F8FAFC"/>
            <w:tcMar>
              <w:top w:w="100" w:type="dxa"/>
              <w:bottom w:w="100" w:type="dxa"/>
              <w:left w:w="140" w:type="dxa"/>
              <w:right w:w="140" w:type="dxa"/>
            </w:tcMar>
          </w:tcPr>
          <w:p>
            <w:pPr>
              <w:spacing w:before="40" w:after="40"/>
            </w:pPr>
            <w:r>
              <w:rPr>
                <w:rFonts w:ascii="Arial" w:hAnsi="Arial"/>
                <w:b w:val="0"/>
                <w:sz w:val="16"/>
              </w:rPr>
              <w:t>Web Content Accessibility Guidelines (WCAG) 2.1 AA</w:t>
            </w:r>
          </w:p>
        </w:tc>
        <w:tc>
          <w:tcPr>
            <w:tcW w:type="dxa" w:w="1872"/>
            <w:shd w:fill="F8FAFC"/>
            <w:tcMar>
              <w:top w:w="100" w:type="dxa"/>
              <w:bottom w:w="100" w:type="dxa"/>
              <w:left w:w="140" w:type="dxa"/>
              <w:right w:w="140" w:type="dxa"/>
            </w:tcMar>
          </w:tcPr>
          <w:p>
            <w:pPr>
              <w:spacing w:before="40" w:after="40"/>
            </w:pPr>
            <w:r>
              <w:rPr>
                <w:rFonts w:ascii="Arial" w:hAnsi="Arial"/>
                <w:b w:val="0"/>
                <w:sz w:val="16"/>
              </w:rPr>
              <w:t>W3C Web Accessibility Initiative (WAI)</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https://www.w3.org/TR/WCAG21/</w:t>
            </w:r>
          </w:p>
        </w:tc>
        <w:tc>
          <w:tcPr>
            <w:tcW w:type="dxa" w:w="1872"/>
            <w:shd w:fill="F8FAFC"/>
            <w:tcMar>
              <w:top w:w="100" w:type="dxa"/>
              <w:bottom w:w="100" w:type="dxa"/>
              <w:left w:w="140" w:type="dxa"/>
              <w:right w:w="140" w:type="dxa"/>
            </w:tcMar>
          </w:tcPr>
          <w:p>
            <w:pPr>
              <w:spacing w:before="40" w:after="40"/>
            </w:pPr>
            <w:r>
              <w:rPr>
                <w:rFonts w:ascii="Arial" w:hAnsi="Arial"/>
                <w:b w:val="0"/>
                <w:sz w:val="16"/>
              </w:rPr>
              <w:t>Tiêu chuẩn độ tương phản màu (&gt;= 4.5:1), touch target 44px và điều hướng phím Tab</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SRC-03</w:t>
            </w:r>
          </w:p>
        </w:tc>
        <w:tc>
          <w:tcPr>
            <w:tcW w:type="dxa" w:w="1872"/>
            <w:shd w:fill="F8FAFC"/>
            <w:tcMar>
              <w:top w:w="100" w:type="dxa"/>
              <w:bottom w:w="100" w:type="dxa"/>
              <w:left w:w="140" w:type="dxa"/>
              <w:right w:w="140" w:type="dxa"/>
            </w:tcMar>
          </w:tcPr>
          <w:p>
            <w:pPr>
              <w:spacing w:before="40" w:after="40"/>
            </w:pPr>
            <w:r>
              <w:rPr>
                <w:rFonts w:ascii="Arial" w:hAnsi="Arial"/>
                <w:b w:val="0"/>
                <w:sz w:val="16"/>
              </w:rPr>
              <w:t>Công thức Lượng giác Mặt cầu Haversine (Haversine Formula)</w:t>
            </w:r>
          </w:p>
        </w:tc>
        <w:tc>
          <w:tcPr>
            <w:tcW w:type="dxa" w:w="1872"/>
            <w:shd w:fill="F8FAFC"/>
            <w:tcMar>
              <w:top w:w="100" w:type="dxa"/>
              <w:bottom w:w="100" w:type="dxa"/>
              <w:left w:w="140" w:type="dxa"/>
              <w:right w:w="140" w:type="dxa"/>
            </w:tcMar>
          </w:tcPr>
          <w:p>
            <w:pPr>
              <w:spacing w:before="40" w:after="40"/>
            </w:pPr>
            <w:r>
              <w:rPr>
                <w:rFonts w:ascii="Arial" w:hAnsi="Arial"/>
                <w:b w:val="0"/>
                <w:sz w:val="16"/>
              </w:rPr>
              <w:t>R.W. Sinnott (Sky &amp; Telescope 1984)</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https://en.wikipedia.org/wiki/Haversine_formula</w:t>
            </w:r>
          </w:p>
        </w:tc>
        <w:tc>
          <w:tcPr>
            <w:tcW w:type="dxa" w:w="1872"/>
            <w:shd w:fill="F8FAFC"/>
            <w:tcMar>
              <w:top w:w="100" w:type="dxa"/>
              <w:bottom w:w="100" w:type="dxa"/>
              <w:left w:w="140" w:type="dxa"/>
              <w:right w:w="140" w:type="dxa"/>
            </w:tcMar>
          </w:tcPr>
          <w:p>
            <w:pPr>
              <w:spacing w:before="40" w:after="40"/>
            </w:pPr>
            <w:r>
              <w:rPr>
                <w:rFonts w:ascii="Arial" w:hAnsi="Arial"/>
                <w:b w:val="0"/>
                <w:sz w:val="16"/>
              </w:rPr>
              <w:t>Thuật toán tính khoảng cách đại vòng tròn giữa 2 tọa độ GPS bán kính R=6371km</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SRC-04</w:t>
            </w:r>
          </w:p>
        </w:tc>
        <w:tc>
          <w:tcPr>
            <w:tcW w:type="dxa" w:w="1872"/>
            <w:shd w:fill="F8FAFC"/>
            <w:tcMar>
              <w:top w:w="100" w:type="dxa"/>
              <w:bottom w:w="100" w:type="dxa"/>
              <w:left w:w="140" w:type="dxa"/>
              <w:right w:w="140" w:type="dxa"/>
            </w:tcMar>
          </w:tcPr>
          <w:p>
            <w:pPr>
              <w:spacing w:before="40" w:after="40"/>
            </w:pPr>
            <w:r>
              <w:rPr>
                <w:rFonts w:ascii="Arial" w:hAnsi="Arial"/>
                <w:b w:val="0"/>
                <w:sz w:val="16"/>
              </w:rPr>
              <w:t>Tiêu chuẩn Thanh toán VietQR Napas 247</w:t>
            </w:r>
          </w:p>
        </w:tc>
        <w:tc>
          <w:tcPr>
            <w:tcW w:type="dxa" w:w="1872"/>
            <w:shd w:fill="F8FAFC"/>
            <w:tcMar>
              <w:top w:w="100" w:type="dxa"/>
              <w:bottom w:w="100" w:type="dxa"/>
              <w:left w:w="140" w:type="dxa"/>
              <w:right w:w="140" w:type="dxa"/>
            </w:tcMar>
          </w:tcPr>
          <w:p>
            <w:pPr>
              <w:spacing w:before="40" w:after="40"/>
            </w:pPr>
            <w:r>
              <w:rPr>
                <w:rFonts w:ascii="Arial" w:hAnsi="Arial"/>
                <w:b w:val="0"/>
                <w:sz w:val="16"/>
              </w:rPr>
              <w:t>Công ty Cổ phần Thanh toán Quốc gia VN (NAPAS)</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https://vietqr.net/</w:t>
            </w:r>
          </w:p>
        </w:tc>
        <w:tc>
          <w:tcPr>
            <w:tcW w:type="dxa" w:w="1872"/>
            <w:shd w:fill="F8FAFC"/>
            <w:tcMar>
              <w:top w:w="100" w:type="dxa"/>
              <w:bottom w:w="100" w:type="dxa"/>
              <w:left w:w="140" w:type="dxa"/>
              <w:right w:w="140" w:type="dxa"/>
            </w:tcMar>
          </w:tcPr>
          <w:p>
            <w:pPr>
              <w:spacing w:before="40" w:after="40"/>
            </w:pPr>
            <w:r>
              <w:rPr>
                <w:rFonts w:ascii="Arial" w:hAnsi="Arial"/>
                <w:b w:val="0"/>
                <w:sz w:val="16"/>
              </w:rPr>
              <w:t>Quy chuẩn tạo mã QR thanh toán liên ngân hàng tự động kèm số tiền và nội dung</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SRC-05</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Nền tảng Đặt khám YouMed Việt Nam</w:t>
            </w:r>
          </w:p>
        </w:tc>
        <w:tc>
          <w:tcPr>
            <w:tcW w:type="dxa" w:w="1872"/>
            <w:shd w:fill="F8FAFC"/>
            <w:tcMar>
              <w:top w:w="100" w:type="dxa"/>
              <w:bottom w:w="100" w:type="dxa"/>
              <w:left w:w="140" w:type="dxa"/>
              <w:right w:w="140" w:type="dxa"/>
            </w:tcMar>
          </w:tcPr>
          <w:p>
            <w:pPr>
              <w:spacing w:before="40" w:after="40"/>
            </w:pPr>
            <w:r>
              <w:rPr>
                <w:rFonts w:ascii="Arial" w:hAnsi="Arial"/>
                <w:b w:val="0"/>
                <w:sz w:val="16"/>
              </w:rPr>
              <w:t>Công ty Cổ phần YouMed Việt Nam</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https://youmed.vn/</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luồng đặt khám bác sĩ, chuyên khoa, phòng khám và quản lý hồ sơ bệnh nhân</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SRC-06</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Ứng dụng Y tế Medpro</w:t>
            </w:r>
          </w:p>
        </w:tc>
        <w:tc>
          <w:tcPr>
            <w:tcW w:type="dxa" w:w="1872"/>
            <w:shd w:fill="F8FAFC"/>
            <w:tcMar>
              <w:top w:w="100" w:type="dxa"/>
              <w:bottom w:w="100" w:type="dxa"/>
              <w:left w:w="140" w:type="dxa"/>
              <w:right w:w="140" w:type="dxa"/>
            </w:tcMar>
          </w:tcPr>
          <w:p>
            <w:pPr>
              <w:spacing w:before="40" w:after="40"/>
            </w:pPr>
            <w:r>
              <w:rPr>
                <w:rFonts w:ascii="Arial" w:hAnsi="Arial"/>
                <w:b w:val="0"/>
                <w:sz w:val="16"/>
              </w:rPr>
              <w:t>Công ty Cổ phần Mạng Lưới Y Tế Medpro</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https://medpro.vn/</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quy trình đặt số thứ tự tại các bệnh viện công lập lớn tại TP.HCM</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SRC-07</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Nền tảng Chăm sóc Sức khỏe BookingCare</w:t>
            </w:r>
          </w:p>
        </w:tc>
        <w:tc>
          <w:tcPr>
            <w:tcW w:type="dxa" w:w="1872"/>
            <w:shd w:fill="F8FAFC"/>
            <w:tcMar>
              <w:top w:w="100" w:type="dxa"/>
              <w:bottom w:w="100" w:type="dxa"/>
              <w:left w:w="140" w:type="dxa"/>
              <w:right w:w="140" w:type="dxa"/>
            </w:tcMar>
          </w:tcPr>
          <w:p>
            <w:pPr>
              <w:spacing w:before="40" w:after="40"/>
            </w:pPr>
            <w:r>
              <w:rPr>
                <w:rFonts w:ascii="Arial" w:hAnsi="Arial"/>
                <w:b w:val="0"/>
                <w:sz w:val="16"/>
              </w:rPr>
              <w:t>Công ty Cổ phần Công nghệ BookingCare</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https://bookingcare.vn/</w:t>
            </w:r>
          </w:p>
        </w:tc>
        <w:tc>
          <w:tcPr>
            <w:tcW w:type="dxa" w:w="1872"/>
            <w:shd w:fill="F8FAFC"/>
            <w:tcMar>
              <w:top w:w="100" w:type="dxa"/>
              <w:bottom w:w="100" w:type="dxa"/>
              <w:left w:w="140" w:type="dxa"/>
              <w:right w:w="140" w:type="dxa"/>
            </w:tcMar>
          </w:tcPr>
          <w:p>
            <w:pPr>
              <w:spacing w:before="40" w:after="40"/>
            </w:pPr>
            <w:r>
              <w:rPr>
                <w:rFonts w:ascii="Arial" w:hAnsi="Arial"/>
                <w:b w:val="0"/>
                <w:sz w:val="16"/>
              </w:rPr>
              <w:t>Khảo sát danh mục gói khám tổng quát, thông tin tiểu sử bác sĩ và chi phí niêm yết</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SRC-08</w:t>
            </w:r>
          </w:p>
        </w:tc>
        <w:tc>
          <w:tcPr>
            <w:tcW w:type="dxa" w:w="1872"/>
            <w:shd w:fill="F8FAFC"/>
            <w:tcMar>
              <w:top w:w="100" w:type="dxa"/>
              <w:bottom w:w="100" w:type="dxa"/>
              <w:left w:w="140" w:type="dxa"/>
              <w:right w:w="140" w:type="dxa"/>
            </w:tcMar>
          </w:tcPr>
          <w:p>
            <w:pPr>
              <w:spacing w:before="40" w:after="40"/>
            </w:pPr>
            <w:r>
              <w:rPr>
                <w:rFonts w:ascii="Arial" w:hAnsi="Arial"/>
                <w:b w:val="0"/>
                <w:sz w:val="16"/>
              </w:rPr>
              <w:t>Tài liệu Kỹ thuật React 19 &amp; Component Architecture</w:t>
            </w:r>
          </w:p>
        </w:tc>
        <w:tc>
          <w:tcPr>
            <w:tcW w:type="dxa" w:w="1872"/>
            <w:shd w:fill="F8FAFC"/>
            <w:tcMar>
              <w:top w:w="100" w:type="dxa"/>
              <w:bottom w:w="100" w:type="dxa"/>
              <w:left w:w="140" w:type="dxa"/>
              <w:right w:w="140" w:type="dxa"/>
            </w:tcMar>
          </w:tcPr>
          <w:p>
            <w:pPr>
              <w:spacing w:before="40" w:after="40"/>
            </w:pPr>
            <w:r>
              <w:rPr>
                <w:rFonts w:ascii="Arial" w:hAnsi="Arial"/>
                <w:b w:val="0"/>
                <w:sz w:val="16"/>
              </w:rPr>
              <w:t>Meta Open Source</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https://react.dev/</w:t>
            </w:r>
          </w:p>
        </w:tc>
        <w:tc>
          <w:tcPr>
            <w:tcW w:type="dxa" w:w="1872"/>
            <w:shd w:fill="F8FAFC"/>
            <w:tcMar>
              <w:top w:w="100" w:type="dxa"/>
              <w:bottom w:w="100" w:type="dxa"/>
              <w:left w:w="140" w:type="dxa"/>
              <w:right w:w="140" w:type="dxa"/>
            </w:tcMar>
          </w:tcPr>
          <w:p>
            <w:pPr>
              <w:spacing w:before="40" w:after="40"/>
            </w:pPr>
            <w:r>
              <w:rPr>
                <w:rFonts w:ascii="Arial" w:hAnsi="Arial"/>
                <w:b w:val="0"/>
                <w:sz w:val="16"/>
              </w:rPr>
              <w:t>Mô hình Single Page Application, hooks (useState, useMemo, useEffect) và component-driven</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SRC-09</w:t>
            </w:r>
          </w:p>
        </w:tc>
        <w:tc>
          <w:tcPr>
            <w:tcW w:type="dxa" w:w="1872"/>
            <w:shd w:fill="F8FAFC"/>
            <w:tcMar>
              <w:top w:w="100" w:type="dxa"/>
              <w:bottom w:w="100" w:type="dxa"/>
              <w:left w:w="140" w:type="dxa"/>
              <w:right w:w="140" w:type="dxa"/>
            </w:tcMar>
          </w:tcPr>
          <w:p>
            <w:pPr>
              <w:spacing w:before="40" w:after="40"/>
            </w:pPr>
            <w:r>
              <w:rPr>
                <w:rFonts w:ascii="Arial" w:hAnsi="Arial"/>
                <w:b w:val="0"/>
                <w:sz w:val="16"/>
              </w:rPr>
              <w:t>Tailwind CSS Documentation &amp; Design Tokens</w:t>
            </w:r>
          </w:p>
        </w:tc>
        <w:tc>
          <w:tcPr>
            <w:tcW w:type="dxa" w:w="1872"/>
            <w:shd w:fill="F8FAFC"/>
            <w:tcMar>
              <w:top w:w="100" w:type="dxa"/>
              <w:bottom w:w="100" w:type="dxa"/>
              <w:left w:w="140" w:type="dxa"/>
              <w:right w:w="140" w:type="dxa"/>
            </w:tcMar>
          </w:tcPr>
          <w:p>
            <w:pPr>
              <w:spacing w:before="40" w:after="40"/>
            </w:pPr>
            <w:r>
              <w:rPr>
                <w:rFonts w:ascii="Arial" w:hAnsi="Arial"/>
                <w:b w:val="0"/>
                <w:sz w:val="16"/>
              </w:rPr>
              <w:t>Tailwind Labs Inc.</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https://tailwindcss.com/docs</w:t>
            </w:r>
          </w:p>
        </w:tc>
        <w:tc>
          <w:tcPr>
            <w:tcW w:type="dxa" w:w="1872"/>
            <w:shd w:fill="F8FAFC"/>
            <w:tcMar>
              <w:top w:w="100" w:type="dxa"/>
              <w:bottom w:w="100" w:type="dxa"/>
              <w:left w:w="140" w:type="dxa"/>
              <w:right w:w="140" w:type="dxa"/>
            </w:tcMar>
          </w:tcPr>
          <w:p>
            <w:pPr>
              <w:spacing w:before="40" w:after="40"/>
            </w:pPr>
            <w:r>
              <w:rPr>
                <w:rFonts w:ascii="Arial" w:hAnsi="Arial"/>
                <w:b w:val="0"/>
                <w:sz w:val="16"/>
              </w:rPr>
              <w:t>Hệ thống lớp tiện ích utility-first, tokens màu sắc, spacing và responsive breakpoints</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SRC-10</w:t>
            </w:r>
          </w:p>
        </w:tc>
        <w:tc>
          <w:tcPr>
            <w:tcW w:type="dxa" w:w="1872"/>
            <w:shd w:fill="F8FAFC"/>
            <w:tcMar>
              <w:top w:w="100" w:type="dxa"/>
              <w:bottom w:w="100" w:type="dxa"/>
              <w:left w:w="140" w:type="dxa"/>
              <w:right w:w="140" w:type="dxa"/>
            </w:tcMar>
          </w:tcPr>
          <w:p>
            <w:pPr>
              <w:spacing w:before="40" w:after="40"/>
            </w:pPr>
            <w:r>
              <w:rPr>
                <w:rFonts w:ascii="Arial" w:hAnsi="Arial"/>
                <w:b w:val="0"/>
                <w:sz w:val="16"/>
              </w:rPr>
              <w:t>Bộ Biểu tượng Y tế &amp; Giao diện Lucide React</w:t>
            </w:r>
          </w:p>
        </w:tc>
        <w:tc>
          <w:tcPr>
            <w:tcW w:type="dxa" w:w="1872"/>
            <w:shd w:fill="F8FAFC"/>
            <w:tcMar>
              <w:top w:w="100" w:type="dxa"/>
              <w:bottom w:w="100" w:type="dxa"/>
              <w:left w:w="140" w:type="dxa"/>
              <w:right w:w="140" w:type="dxa"/>
            </w:tcMar>
          </w:tcPr>
          <w:p>
            <w:pPr>
              <w:spacing w:before="40" w:after="40"/>
            </w:pPr>
            <w:r>
              <w:rPr>
                <w:rFonts w:ascii="Arial" w:hAnsi="Arial"/>
                <w:b w:val="0"/>
                <w:sz w:val="16"/>
              </w:rPr>
              <w:t>Lucide Contributors</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https://lucide.dev/</w:t>
            </w:r>
          </w:p>
        </w:tc>
        <w:tc>
          <w:tcPr>
            <w:tcW w:type="dxa" w:w="1872"/>
            <w:shd w:fill="F8FAFC"/>
            <w:tcMar>
              <w:top w:w="100" w:type="dxa"/>
              <w:bottom w:w="100" w:type="dxa"/>
              <w:left w:w="140" w:type="dxa"/>
              <w:right w:w="140" w:type="dxa"/>
            </w:tcMar>
          </w:tcPr>
          <w:p>
            <w:pPr>
              <w:spacing w:before="40" w:after="40"/>
            </w:pPr>
            <w:r>
              <w:rPr>
                <w:rFonts w:ascii="Arial" w:hAnsi="Arial"/>
                <w:b w:val="0"/>
                <w:sz w:val="16"/>
              </w:rPr>
              <w:t>Hệ thống SVG icons vector sắc nét, tối ưu hiệu năng và hỗ trợ accessibility</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SRC-11</w:t>
            </w:r>
          </w:p>
        </w:tc>
        <w:tc>
          <w:tcPr>
            <w:tcW w:type="dxa" w:w="1872"/>
            <w:shd w:fill="F8FAFC"/>
            <w:tcMar>
              <w:top w:w="100" w:type="dxa"/>
              <w:bottom w:w="100" w:type="dxa"/>
              <w:left w:w="140" w:type="dxa"/>
              <w:right w:w="140" w:type="dxa"/>
            </w:tcMar>
          </w:tcPr>
          <w:p>
            <w:pPr>
              <w:spacing w:before="40" w:after="40"/>
            </w:pPr>
            <w:r>
              <w:rPr>
                <w:rFonts w:ascii="Arial" w:hAnsi="Arial"/>
                <w:b w:val="0"/>
                <w:sz w:val="16"/>
              </w:rPr>
              <w:t>Tài liệu Hướng dẫn Thiết kế Y tế (Healthcare UX Guidelines)</w:t>
            </w:r>
          </w:p>
        </w:tc>
        <w:tc>
          <w:tcPr>
            <w:tcW w:type="dxa" w:w="1872"/>
            <w:shd w:fill="F8FAFC"/>
            <w:tcMar>
              <w:top w:w="100" w:type="dxa"/>
              <w:bottom w:w="100" w:type="dxa"/>
              <w:left w:w="140" w:type="dxa"/>
              <w:right w:w="140" w:type="dxa"/>
            </w:tcMar>
          </w:tcPr>
          <w:p>
            <w:pPr>
              <w:spacing w:before="40" w:after="40"/>
            </w:pPr>
            <w:r>
              <w:rPr>
                <w:rFonts w:ascii="Arial" w:hAnsi="Arial"/>
                <w:b w:val="0"/>
                <w:sz w:val="16"/>
              </w:rPr>
              <w:t>Nielsen Norman Group (NN/g)</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https://www.nngroup.com/articles/healthcare-ux/</w:t>
            </w:r>
          </w:p>
        </w:tc>
        <w:tc>
          <w:tcPr>
            <w:tcW w:type="dxa" w:w="1872"/>
            <w:shd w:fill="F8FAFC"/>
            <w:tcMar>
              <w:top w:w="100" w:type="dxa"/>
              <w:bottom w:w="100" w:type="dxa"/>
              <w:left w:w="140" w:type="dxa"/>
              <w:right w:w="140" w:type="dxa"/>
            </w:tcMar>
          </w:tcPr>
          <w:p>
            <w:pPr>
              <w:spacing w:before="40" w:after="40"/>
            </w:pPr>
            <w:r>
              <w:rPr>
                <w:rFonts w:ascii="Arial" w:hAnsi="Arial"/>
                <w:b w:val="0"/>
                <w:sz w:val="16"/>
              </w:rPr>
              <w:t>Nguyên tắc thiết kế form y tế đơn giản, giảm tải áp lực tâm lý cho bệnh nhân</w:t>
            </w:r>
          </w:p>
        </w:tc>
      </w:tr>
      <w:tr>
        <w:tc>
          <w:tcPr>
            <w:tcW w:type="dxa" w:w="1872"/>
            <w:shd w:fill="F8FAFC"/>
            <w:tcMar>
              <w:top w:w="100" w:type="dxa"/>
              <w:bottom w:w="100" w:type="dxa"/>
              <w:left w:w="140" w:type="dxa"/>
              <w:right w:w="140" w:type="dxa"/>
            </w:tcMar>
          </w:tcPr>
          <w:p>
            <w:pPr>
              <w:spacing w:before="40" w:after="40"/>
            </w:pPr>
            <w:r>
              <w:rPr>
                <w:rFonts w:ascii="Arial" w:hAnsi="Arial"/>
                <w:b w:val="0"/>
                <w:sz w:val="16"/>
              </w:rPr>
              <w:t>SRC-12</w:t>
            </w:r>
          </w:p>
        </w:tc>
        <w:tc>
          <w:tcPr>
            <w:tcW w:type="dxa" w:w="1872"/>
            <w:shd w:fill="F8FAFC"/>
            <w:tcMar>
              <w:top w:w="100" w:type="dxa"/>
              <w:bottom w:w="100" w:type="dxa"/>
              <w:left w:w="140" w:type="dxa"/>
              <w:right w:w="140" w:type="dxa"/>
            </w:tcMar>
          </w:tcPr>
          <w:p>
            <w:pPr>
              <w:spacing w:before="40" w:after="40"/>
            </w:pPr>
            <w:r>
              <w:rPr>
                <w:rFonts w:ascii="Arial" w:hAnsi="Arial"/>
                <w:b w:val="0"/>
                <w:sz w:val="16"/>
              </w:rPr>
              <w:t>Google Fonts — Phông chữ Plus Jakarta Sans</w:t>
            </w:r>
          </w:p>
        </w:tc>
        <w:tc>
          <w:tcPr>
            <w:tcW w:type="dxa" w:w="1872"/>
            <w:shd w:fill="F8FAFC"/>
            <w:tcMar>
              <w:top w:w="100" w:type="dxa"/>
              <w:bottom w:w="100" w:type="dxa"/>
              <w:left w:w="140" w:type="dxa"/>
              <w:right w:w="140" w:type="dxa"/>
            </w:tcMar>
          </w:tcPr>
          <w:p>
            <w:pPr>
              <w:spacing w:before="40" w:after="40"/>
            </w:pPr>
            <w:r>
              <w:rPr>
                <w:rFonts w:ascii="Arial" w:hAnsi="Arial"/>
                <w:b w:val="0"/>
                <w:sz w:val="16"/>
              </w:rPr>
              <w:t>Tokotype &amp; Gumpita Rahayu</w:t>
            </w:r>
          </w:p>
        </w:tc>
        <w:tc>
          <w:tcPr>
            <w:tcW w:type="dxa" w:w="1872"/>
            <w:shd w:fill="F8FAFC"/>
            <w:tcMar>
              <w:top w:w="100" w:type="dxa"/>
              <w:bottom w:w="100" w:type="dxa"/>
              <w:left w:w="140" w:type="dxa"/>
              <w:right w:w="140" w:type="dxa"/>
            </w:tcMar>
          </w:tcPr>
          <w:p>
            <w:pPr>
              <w:spacing w:before="40" w:after="40"/>
            </w:pPr>
            <w:r>
              <w:rPr>
                <w:rFonts w:ascii="Arial" w:hAnsi="Arial"/>
                <w:b w:val="0"/>
                <w:sz w:val="16"/>
              </w:rPr>
              <w:t>https://fonts.google.com/specimen/Plus+Jakarta+Sans</w:t>
            </w:r>
          </w:p>
        </w:tc>
        <w:tc>
          <w:tcPr>
            <w:tcW w:type="dxa" w:w="1872"/>
            <w:shd w:fill="F8FAFC"/>
            <w:tcMar>
              <w:top w:w="100" w:type="dxa"/>
              <w:bottom w:w="100" w:type="dxa"/>
              <w:left w:w="140" w:type="dxa"/>
              <w:right w:w="140" w:type="dxa"/>
            </w:tcMar>
          </w:tcPr>
          <w:p>
            <w:pPr>
              <w:spacing w:before="40" w:after="40"/>
            </w:pPr>
            <w:r>
              <w:rPr>
                <w:rFonts w:ascii="Arial" w:hAnsi="Arial"/>
                <w:b w:val="0"/>
                <w:sz w:val="16"/>
              </w:rPr>
              <w:t>Phông chữ hình học hiện đại, hỗ trợ 100% Unicode tiếng Việt chuẩn mực y tế</w:t>
            </w:r>
          </w:p>
        </w:tc>
      </w:tr>
    </w:tbl>
    <w:p>
      <w:r>
        <w:br w:type="page"/>
      </w:r>
    </w:p>
    <w:p>
      <w:pPr>
        <w:pStyle w:val="Heading1"/>
      </w:pPr>
      <w:r>
        <w:t>2. Phân Tích Đóng Góp Của Từng Nguồn Tài Nguyên</w:t>
      </w:r>
    </w:p>
    <w:p>
      <w:pPr>
        <w:pStyle w:val="Heading2"/>
      </w:pPr>
      <w:r>
        <w:t>2.1. Đóng Góp Về Mặt Toán Học &amp; Định Vị (SRC-01, SRC-03)</w:t>
      </w:r>
    </w:p>
    <w:p>
      <w:r>
        <w:t>Dựa trên khuyến nghị W3C Geolocation và công thức Haversine mặt cầu của R.W. Sinnott (1984), phân hệ UI đã xây dựng module độc lập geoUtils.js. Module này chuyển đổi độ kinh vĩ sang radian, tính khoảng cách đại vòng tròn với sai số dưới 0.3% so với khoảng cách đường chim bay thực tế, đảm bảo tính chính xác tuyệt đối khi hiển thị cự ly đến từng phòng khám.</w:t>
      </w:r>
    </w:p>
    <w:p>
      <w:pPr>
        <w:pStyle w:val="Heading2"/>
      </w:pPr>
      <w:r>
        <w:t>2.2. Đóng Góp Về Chuẩn Trợ Năng Y Tế (SRC-02, SRC-11)</w:t>
      </w:r>
    </w:p>
    <w:p>
      <w:r>
        <w:t>Áp dụng trực tiếp hướng dẫn Nielsen Norman Group về Healthcare UX và chuẩn W3C WCAG 2.1 AA, MedSi triệt tiêu hoàn toàn các bẫy thị giác: không dùng màu đỏ đơn thuần để báo lỗi mà luôn đi kèm icon cảnh báo, đảm bảo vùng bấm nút tối thiểu 44px và duy trì tỷ lệ tương phản an toàn trên màn hình điện thoại dưới ánh sáng mặt trời.</w:t>
      </w:r>
    </w:p>
    <w:p>
      <w:pPr>
        <w:pStyle w:val="Heading2"/>
      </w:pPr>
      <w:r>
        <w:t>2.3. Đóng Góp Về Hệ Thống Thanh Toán &amp; Đối Chuẩn (SRC-04 ➔ SRC-07)</w:t>
      </w:r>
    </w:p>
    <w:p>
      <w:r>
        <w:t>Nhờ tham chiếu tiêu chuẩn VietQR Napas 247 và khảo sát thực tế YouMed, Medpro, BookingCare, MedSi đã tổng hợp được những ưu điểm vượt trội: rút ngắn phễu còn 3 bước, tự động nhúng mã đơn khám vào QR và xây dựng cơ chế đếm ngược 10 phút chống giữ chỗ ảo.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